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RECYM: An Automated Multi-Feeder Workflow for Demand Allocation and Load-Flow Studies in CYMDIST Distribution Networks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Mac Tapia Ccosyo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Electro Dunas S.A.A., Peru</w:t>
      </w:r>
    </w:p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e-mail: mtapia@electrodunas.com</w:t>
      </w:r>
    </w:p>
    <w:p>
      <w:pPr>
        <w:spacing w:after="160" w:before="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Abstract—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Distribution utilities need repeatable procedures to clean network models, allocate measured headroom demand, inject important-customer and prospective spot loads, and compare situational versus projected operating cases. This paper presents RECYM, a multi-feeder software suite that couples CYMDIST/CymPy with a seven-step SPA and a batch pipeline. The workflow integrates network diagnostics, large-customer energy/power mapping to SED nodes, kWh-based load allocation via the CYMDIST COM API, locked three-phase spot loads, dual load-flow scenarios, and campaign artifacts. RECYM is wired to the Electro Dunas Access database with 97 feeder configurations and multiple .zxst studies; PA217 (22.9 kV) is the representative experimental sample. On PA217 the campaign achieved zero diagnostic problems, verified customer precision, allocation balance error eps_P ~ 7.6e-5%, a 1420 kW spot load, and dual load flows with delta_P = +17.17%.</w:t>
      </w:r>
    </w:p>
    <w:p>
      <w:pPr>
        <w:spacing w:after="200" w:before="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Index Terms—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CYMDIST, demand studies, distribution networks, load allocation, load flow analysis, power system modeling, software tools.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900" w:bottom="1440" w:left="900" w:header="708" w:footer="708" w:gutter="0"/>
          <w:pgNumType/>
          <w:docGrid w:linePitch="360"/>
        </w:sectPr>
      </w:pP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I. INTRODUCTION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Distribution planning relies on detailed three-phase feeder models [1], [2]. CYMDIST provides allocation and unbalanced load flow [3], [4], yet campaigns often remain manual. OpenDSS and pandapower automate research [11], [12]; theses often migrate CYMDIST models [13]-[15]. RECYM instead orchestrates COM/CymPy on native .zxst/.mdb assets, with a multi-feeder architecture (97 configs), a §§1-7 campaign, and validation on sample feeder PA217.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Contributions: (i) layered architecture L1-L5; (ii) mathematical models for kWh allocation and dual LF with pseudocode; (iii) experimental statistical validation on PA217 as a sample from the Electro Dunas catalog.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II. THEORETICAL FRAMEWORK AND RELATED WORK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Three-Phase Flow and Allocation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Kersting [1] and Cheng-Shirmohammadi [9], [10] underpin radial/weakly meshed flow. Energy-based allocation often outperforms connected-kVA when measurements exist [7], [8]. CYMDIST implements Connected+Total templates [4].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Positioning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Unlike CYMDIST→OpenDSS conversions [13]-[15], RECYM keeps the system of record. Versus utility integrations [16], [17], it adds SPA/job orchestration, Locked SpotLoad, and situational/projected scenarios [23]-[25].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III. SYSTEM ARCHITECTURE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RECYM is a five-layer stack L1..L5 (Fig. 1): React SPA; FastAPI/SSE API + Flask bridge; domain pipeline/analysis/optimization; CymPy/COM core; .zxst/.mdb/Excel data. Configuration (S, F) with |F|=97 feeders plus ELD study.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2000250"/>
            <wp:effectExtent t="0" r="0" b="0" l="0"/>
            <wp:docPr id="1" name="fig1_architecture.png" descr="Fig. 1" title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1. RECYM layered architecture.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1333500"/>
            <wp:effectExtent t="0" r="0" b="0" l="0"/>
            <wp:docPr id="1" name="fig2_workflow.png" descr="Fig. 2" title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2. Operational campaign §§1-7.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IV. MATHEMATICAL MODELS AND ALGORITHMS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kWh Allocation Model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Let Pcab be headroom active power and L = F ∪ U the Locked/unlocked partition. Residual and allocation are Pcab_res = Pcab − Σ_j∈F Pj_fix and Pi = Pcab_res · Ei / Σ_u∈U Eu for i∈U. Balance error is eps_P = |Σ_i Pi − Pcab| / Pcab · 100%. Precision uses MAE_P and RMSE_P of |ΔPi| with tolerance 0.01 kW (0.5 kWh for energy). This paragraph states the first closed-form mathematical model [7], [8], [4].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Spot-Load and Dual LF Model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 SpotLoad (P3φ, Q3φ): Pφ = P3φ/3, Qφ = Q3φ/3, φ∈{A,B,C}, Locked. With flag c∈{0,1}, y_sit = F(x; c=0) and y_prj = F(x; c=1); Δy = y_prj − y_sit; δP = 100·ΔP/Psit. This paragraph states the second mathematical model [9], [10], [23]-[25].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Pseudocode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Algorithm 1 (allocation): compute Pcab_res; distribute Pi by Ei; COM write; return eps_P. Algorithm 2 (dual LF): disconnect SpotLoad → situational LF; connect → projected LF; Δy. Algorithm 3 (campaign): headroom → diagnose Nmsg=0 → Alg.1 → SpotLoad → Alg.2 → artifacts/closure.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V. EXPERIMENTATION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Corpus: 97 configs + ELD, shared Access DB, multiple .zxst. Sample: PA217 (22.9 kV), 1324 nodes, 253 loads. Headroom L-PA235: P=9537.88 kW, Q=2587.65 kvar. Protocol dry_run=false §§1-7. The utility delivery report (doc/informe.*) is a different product; here we validate software and method.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VI. RESULTS AND VALIDATION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Diagnostics: Nmsg=0. Precision: 11/11 OK, p-hat=1.00 (Clopper-Pearson 95% CI [0.72, 1.00]), MAE=RMSE=0. Allocation: eps_P ≈ 7.6×10^−5%. SpotLoad 1420 kW; phase imbalance 0. Dual LF: ΔP=+1744 kW (δP=+17.17%), ΔQ=+986 kvar, ΔS=+1969.7 kVA; Vhead=99.84% both cases. Closure 21/21.</w:t>
      </w:r>
    </w:p>
    <w:p>
      <w:pPr>
        <w:spacing w:after="6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6"/>
          <w:szCs w:val="16"/>
        </w:rPr>
        <w:t xml:space="preserve">TABLE I. CUSTOMER PRECISION (SAMPLE)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100"/>
        <w:gridCol w:w="108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Customer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Pot kW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Caliza cementos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SE30940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3800.57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Minerales Paracas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SE30480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1273.76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LJMetales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SE30642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956.49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Emsalsa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SE30353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458.00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857500" cy="1666875"/>
            <wp:effectExtent t="0" r="0" b="0" l="0"/>
            <wp:docPr id="1" name="fig6_lf_demand_compare.png" descr="Fig. 6" title="Fig.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3. Situational vs projected demand (PA217).</w:t>
      </w:r>
    </w:p>
    <w:p>
      <w:pPr>
        <w:spacing w:after="40" w:before="120"/>
        <w:jc w:val="center"/>
      </w:pPr>
      <w:r>
        <w:drawing>
          <wp:inline distT="0" distB="0" distL="0" distR="0">
            <wp:extent cx="2667000" cy="1905000"/>
            <wp:effectExtent t="0" r="0" b="0" l="0"/>
            <wp:docPr id="1" name="fig3_topologia.png" descr="Topo" title="To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4. SpotLoad 1420 kW location (campaign).</w:t>
      </w:r>
    </w:p>
    <w:p>
      <w:pPr>
        <w:spacing w:after="40" w:before="120"/>
        <w:jc w:val="center"/>
      </w:pPr>
      <w:r>
        <w:drawing>
          <wp:inline distT="0" distB="0" distL="0" distR="0">
            <wp:extent cx="2286000" cy="1619250"/>
            <wp:effectExtent t="0" r="0" b="0" l="0"/>
            <wp:docPr id="1" name="fig4a_situacional_tension.png" descr="Vsit" title="V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5. Situational voltage map.</w:t>
      </w:r>
    </w:p>
    <w:p>
      <w:pPr>
        <w:spacing w:after="40" w:before="120"/>
        <w:jc w:val="center"/>
      </w:pPr>
      <w:r>
        <w:drawing>
          <wp:inline distT="0" distB="0" distL="0" distR="0">
            <wp:extent cx="2286000" cy="1619250"/>
            <wp:effectExtent t="0" r="0" b="0" l="0"/>
            <wp:docPr id="1" name="fig4b_proyectado_tension.png" descr="Vprj" title="Vp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6. Projected voltage map.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VII. CONCLUSION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RECYM formalizes architecture, allocation/dual-LF models, pseudocode, and validation on a 97-feeder catalog, with PA217 as sample. Future work: fleet KPIs, official IEEEtran camera-ready, and AMI.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REFERENCES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[1] W. H. Kersting, Distribution System Modeling and Analysis, 4th ed. CRC Press, 2017.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[2] T. Gonen, Electric Power Distribution Engineering, 3rd ed. CRC Press, 2014.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[3] H. L. Willis, Power Distribution Planning Reference Book, 2nd ed. Marcel Dekker, 2004.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[4] Eaton CYME, CYMDIST Reference Manual, v9.2, 2022.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[5] A. K. Ghosh et al., IEEE Trans. Power Del., vol. 12, no. 2, pp. 999-1005, 1997.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[6] M. E. Baran and A. W. Kelley, IEEE Trans. Power Syst., vol. 9, no. 3, pp. 1601-1609, 1994.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[7] R. F. Arritt et al., in Proc. IEEE REPC, 2012.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[8] J. Peppanen et al., in Proc. IEEE PSC, 2018.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[9] D. Shirmohammadi et al., IEEE Trans. Power Syst., vol. 3, no. 2, pp. 753-762, 1988.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[10] C. S. Cheng and D. Shirmohammadi, IEEE Trans. Power Syst., vol. 10, no. 2, pp. 671-679, 1995.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[11] R. C. Dugan and T. E. McDermott, in Proc. IEEE PES GM, 2011.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[12] L. Thurner et al., IEEE Trans. Power Syst., vol. 33, no. 6, pp. 6510-6521, 2018.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[13] V. Ramachandran, M.S. thesis, West Virginia Univ., 2011.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[16] R. H. Chumbi and T. I. Verdugo, Tesis, Univ. de Cuenca, 2013.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[17] N. A. Ramos and W. E. Espinoza, Tesis de maestria, UNAC, 2023.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[18] D. W. Puma Ttito, Tesis doctoral, UNI, 2024.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[23] M. Rylander et al., in Proc. IEEE REPC, 2015.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[26] IEEE Std 1547-2018.</w:t>
      </w:r>
    </w:p>
    <w:sectPr>
      <w:headerReference w:type="default" r:id="rId9"/>
      <w:footerReference w:type="default" r:id="rId10"/>
      <w:pgSz w:w="12240" w:h="15840" w:orient="portrait"/>
      <w:pgMar w:top="1080" w:right="900" w:bottom="1440" w:left="90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/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sz w:val="14"/>
        <w:szCs w:val="14"/>
      </w:rPr>
      <w:t xml:space="preserve">RECYM — IEEE-format draft (review)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center"/>
    </w:pPr>
    <w:r>
      <w:rPr>
        <w:rFonts w:ascii="Times New Roman" w:cs="Times New Roman" w:eastAsia="Times New Roman" w:hAnsi="Times New Roman"/>
        <w:b w:val="false"/>
        <w:bCs w:val="false"/>
        <w:i/>
        <w:iCs/>
        <w:sz w:val="14"/>
        <w:szCs w:val="14"/>
      </w:rPr>
      <w:t xml:space="preserve">Mac Tapia Ccosyo: RECYM multi-feeder CYMDIST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76f7c0fee7bdaf218de06fa0bd74f08f05d70ef.png"/><Relationship Id="rId12" Type="http://schemas.openxmlformats.org/officeDocument/2006/relationships/image" Target="media/6f1991285cee9805c487f798fb99f9d51763b5bd.png"/><Relationship Id="rId13" Type="http://schemas.openxmlformats.org/officeDocument/2006/relationships/image" Target="media/f734177a65907683caad04fe09191a2fbe65afd4.png"/><Relationship Id="rId14" Type="http://schemas.openxmlformats.org/officeDocument/2006/relationships/image" Target="media/5b68a422ad2f026c991401938626e5d83a271d9c.png"/><Relationship Id="rId15" Type="http://schemas.openxmlformats.org/officeDocument/2006/relationships/image" Target="media/b382f81b702cdcc0177c740318017958a2a9d7a9.png"/><Relationship Id="rId16" Type="http://schemas.openxmlformats.org/officeDocument/2006/relationships/image" Target="media/894058386e0e4d64ddce627316fd87db90b02cb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2026-09-23T04:38:58.449Z</dcterms:created>
  <dcterms:modified xsi:type="dcterms:W3CDTF">2026-09-23T04:38:58.449Z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