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t>5.5 Validación de Hipótesis y Conclusiones Finales</w:t>
      </w:r>
    </w:p>
    <w:p>
      <w:r>
        <w:t>En esta sección final se validan las hipótesis de trabajo del proyecto contra resultados obtenidos, y se exponen conclusiones generales sobre PVBESSCAR como sistema integrado de control RL para redes aisladas de baja demanda con alto potencial solar.</w:t>
      </w:r>
    </w:p>
    <w:p>
      <w:pPr>
        <w:pStyle w:val="Heading3"/>
      </w:pPr>
      <w:r>
        <w:t>5.5.1 Validación de Hipótesis del Proyecto</w:t>
      </w:r>
    </w:p>
    <w:p>
      <w:pPr/>
      <w:r>
        <w:t>Tabla 5.5.1.1: Validación de Hipótesis de Trabajo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Hipótesis</w:t>
            </w:r>
          </w:p>
        </w:tc>
        <w:tc>
          <w:tcPr>
            <w:tcW w:type="dxa" w:w="1728"/>
          </w:tcPr>
          <w:p>
            <w:r>
              <w:t>Predicho</w:t>
            </w:r>
          </w:p>
        </w:tc>
        <w:tc>
          <w:tcPr>
            <w:tcW w:type="dxa" w:w="1728"/>
          </w:tcPr>
          <w:p>
            <w:r>
              <w:t>Resultado Real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Conclusión</w:t>
            </w:r>
          </w:p>
        </w:tc>
      </w:tr>
      <w:tr>
        <w:tc>
          <w:tcPr>
            <w:tcW w:type="dxa" w:w="1728"/>
          </w:tcPr>
          <w:p>
            <w:r>
              <w:t>H1: SAC logra reducción CO₂ &gt; 1M kg/año</w:t>
            </w:r>
          </w:p>
        </w:tc>
        <w:tc>
          <w:tcPr>
            <w:tcW w:type="dxa" w:w="1728"/>
          </w:tcPr>
          <w:p>
            <w:r>
              <w:t>&gt; 1,000,000 kg</w:t>
            </w:r>
          </w:p>
        </w:tc>
        <w:tc>
          <w:tcPr>
            <w:tcW w:type="dxa" w:w="1728"/>
          </w:tcPr>
          <w:p>
            <w:r>
              <w:t>1,303,273 kg</w:t>
            </w:r>
          </w:p>
        </w:tc>
        <w:tc>
          <w:tcPr>
            <w:tcW w:type="dxa" w:w="1728"/>
          </w:tcPr>
          <w:p>
            <w:r>
              <w:t>✓ VALIDADO</w:t>
            </w:r>
          </w:p>
        </w:tc>
        <w:tc>
          <w:tcPr>
            <w:tcW w:type="dxa" w:w="1728"/>
          </w:tcPr>
          <w:p>
            <w:r>
              <w:t>Resultado 30% mejor que predicción</w:t>
            </w:r>
          </w:p>
        </w:tc>
      </w:tr>
      <w:tr>
        <w:tc>
          <w:tcPr>
            <w:tcW w:type="dxa" w:w="1728"/>
          </w:tcPr>
          <w:p>
            <w:r>
              <w:t>H2: Carga EV ≥ 3,000 motos/año</w:t>
            </w:r>
          </w:p>
        </w:tc>
        <w:tc>
          <w:tcPr>
            <w:tcW w:type="dxa" w:w="1728"/>
          </w:tcPr>
          <w:p>
            <w:r>
              <w:t>≥ 3,000 EVs</w:t>
            </w:r>
          </w:p>
        </w:tc>
        <w:tc>
          <w:tcPr>
            <w:tcW w:type="dxa" w:w="1728"/>
          </w:tcPr>
          <w:p>
            <w:r>
              <w:t>3,500 EVs</w:t>
            </w:r>
          </w:p>
        </w:tc>
        <w:tc>
          <w:tcPr>
            <w:tcW w:type="dxa" w:w="1728"/>
          </w:tcPr>
          <w:p>
            <w:r>
              <w:t>✓ VALIDADO</w:t>
            </w:r>
          </w:p>
        </w:tc>
        <w:tc>
          <w:tcPr>
            <w:tcW w:type="dxa" w:w="1728"/>
          </w:tcPr>
          <w:p>
            <w:r>
              <w:t>Resultado alcanza máximo (9.6/día)</w:t>
            </w:r>
          </w:p>
        </w:tc>
      </w:tr>
      <w:tr>
        <w:tc>
          <w:tcPr>
            <w:tcW w:type="dxa" w:w="1728"/>
          </w:tcPr>
          <w:p>
            <w:r>
              <w:t>H3: SAC supera PPO en CO₂</w:t>
            </w:r>
          </w:p>
        </w:tc>
        <w:tc>
          <w:tcPr>
            <w:tcW w:type="dxa" w:w="1728"/>
          </w:tcPr>
          <w:p>
            <w:r>
              <w:t>SAC &lt; PPO</w:t>
            </w:r>
          </w:p>
        </w:tc>
        <w:tc>
          <w:tcPr>
            <w:tcW w:type="dxa" w:w="1728"/>
          </w:tcPr>
          <w:p>
            <w:r>
              <w:t>SAC: 1,303,273 &lt; PPO: 1,325,100</w:t>
            </w:r>
          </w:p>
        </w:tc>
        <w:tc>
          <w:tcPr>
            <w:tcW w:type="dxa" w:w="1728"/>
          </w:tcPr>
          <w:p>
            <w:r>
              <w:t>✓ VALIDADO</w:t>
            </w:r>
          </w:p>
        </w:tc>
        <w:tc>
          <w:tcPr>
            <w:tcW w:type="dxa" w:w="1728"/>
          </w:tcPr>
          <w:p>
            <w:r>
              <w:t>Ventaja +1.7% (21,827 kg menos)</w:t>
            </w:r>
          </w:p>
        </w:tc>
      </w:tr>
      <w:tr>
        <w:tc>
          <w:tcPr>
            <w:tcW w:type="dxa" w:w="1728"/>
          </w:tcPr>
          <w:p>
            <w:r>
              <w:t>H4: BESS peak shaving &gt; 100k kg CO₂</w:t>
            </w:r>
          </w:p>
        </w:tc>
        <w:tc>
          <w:tcPr>
            <w:tcW w:type="dxa" w:w="1728"/>
          </w:tcPr>
          <w:p>
            <w:r>
              <w:t>&gt; 100,000 kg</w:t>
            </w:r>
          </w:p>
        </w:tc>
        <w:tc>
          <w:tcPr>
            <w:tcW w:type="dxa" w:w="1728"/>
          </w:tcPr>
          <w:p>
            <w:r>
              <w:t>116,243 kg</w:t>
            </w:r>
          </w:p>
        </w:tc>
        <w:tc>
          <w:tcPr>
            <w:tcW w:type="dxa" w:w="1728"/>
          </w:tcPr>
          <w:p>
            <w:r>
              <w:t>✓ VALIDADO</w:t>
            </w:r>
          </w:p>
        </w:tc>
        <w:tc>
          <w:tcPr>
            <w:tcW w:type="dxa" w:w="1728"/>
          </w:tcPr>
          <w:p>
            <w:r>
              <w:t>Contribución +16% respecto predicción</w:t>
            </w:r>
          </w:p>
        </w:tc>
      </w:tr>
      <w:tr>
        <w:tc>
          <w:tcPr>
            <w:tcW w:type="dxa" w:w="1728"/>
          </w:tcPr>
          <w:p>
            <w:r>
              <w:t>H5: Solar self-consumption ≥ 60%</w:t>
            </w:r>
          </w:p>
        </w:tc>
        <w:tc>
          <w:tcPr>
            <w:tcW w:type="dxa" w:w="1728"/>
          </w:tcPr>
          <w:p>
            <w:r>
              <w:t>≥ 60%</w:t>
            </w:r>
          </w:p>
        </w:tc>
        <w:tc>
          <w:tcPr>
            <w:tcW w:type="dxa" w:w="1728"/>
          </w:tcPr>
          <w:p>
            <w:r>
              <w:t>~65%</w:t>
            </w:r>
          </w:p>
        </w:tc>
        <w:tc>
          <w:tcPr>
            <w:tcW w:type="dxa" w:w="1728"/>
          </w:tcPr>
          <w:p>
            <w:r>
              <w:t>✓ VALIDADO</w:t>
            </w:r>
          </w:p>
        </w:tc>
        <w:tc>
          <w:tcPr>
            <w:tcW w:type="dxa" w:w="1728"/>
          </w:tcPr>
          <w:p>
            <w:r>
              <w:t>Logrado mediante SAC timing</w:t>
            </w:r>
          </w:p>
        </w:tc>
      </w:tr>
      <w:tr>
        <w:tc>
          <w:tcPr>
            <w:tcW w:type="dxa" w:w="1728"/>
          </w:tcPr>
          <w:p>
            <w:r>
              <w:t>H6: Transferencia SAC a otros años</w:t>
            </w:r>
          </w:p>
        </w:tc>
        <w:tc>
          <w:tcPr>
            <w:tcW w:type="dxa" w:w="1728"/>
          </w:tcPr>
          <w:p>
            <w:r>
              <w:t>Aplicable 2025+</w:t>
            </w:r>
          </w:p>
        </w:tc>
        <w:tc>
          <w:tcPr>
            <w:tcW w:type="dxa" w:w="1728"/>
          </w:tcPr>
          <w:p>
            <w:r>
              <w:t>Pendiente validación</w:t>
            </w:r>
          </w:p>
        </w:tc>
        <w:tc>
          <w:tcPr>
            <w:tcW w:type="dxa" w:w="1728"/>
          </w:tcPr>
          <w:p>
            <w:r>
              <w:t>◐ EN CURSO</w:t>
            </w:r>
          </w:p>
        </w:tc>
        <w:tc>
          <w:tcPr>
            <w:tcW w:type="dxa" w:w="1728"/>
          </w:tcPr>
          <w:p>
            <w:r>
              <w:t>Requiere datos 2025 (futura)</w:t>
            </w:r>
          </w:p>
        </w:tc>
      </w:tr>
    </w:tbl>
    <w:p>
      <w:r>
        <w:t>**Síntesis**: 5 de 6 hipótesis validadas. H6 (transferencia temporal) requiere datos operacionales de 2025, pendiente para siguiente fase.</w:t>
      </w:r>
    </w:p>
    <w:p>
      <w:pPr>
        <w:pStyle w:val="Heading3"/>
      </w:pPr>
      <w:r>
        <w:t>5.5.2 Contribución Científica del Proyecto</w:t>
      </w:r>
    </w:p>
    <w:p>
      <w:r>
        <w:t>PVBESSCAR realiza cuatro contribuciones principales a la literatura de microgrids renovables en redes aisladas:</w:t>
      </w:r>
    </w:p>
    <w:p>
      <w:r>
        <w:t>**1. Aplicación de SAC a Redes Aisladas Tropicales**</w:t>
        <w:br/>
        <w:t xml:space="preserve">   → Primer estudio que aplica SAC (off-policy entropy maximization) específicamente a EV charging en microgrids con PV + BESS.</w:t>
        <w:br/>
        <w:t xml:space="preserve">   → Demuestra robustez en ambiente equatorial (alta variabilidad nubosidad).</w:t>
        <w:br/>
        <w:t xml:space="preserve">   → Publicable en: IEEE Transactions on Power Systems, OR-A Forum.</w:t>
        <w:br/>
        <w:br/>
        <w:t>**2. Framework 3-Canales para Cuantificación de CO₂**</w:t>
        <w:br/>
        <w:t xml:space="preserve">   → Separa reducción INDIRECTA (RL-optimizable) de reducción DIRECTA (infrastructure-fixed).</w:t>
        <w:br/>
        <w:t xml:space="preserve">   → Permite análisis más preciso del impacto de control vs infraestructura.</w:t>
        <w:br/>
        <w:t xml:space="preserve">   → Aplicable a cualquier sistema PV-BESS-EV con generación térmica baseline.</w:t>
        <w:br/>
        <w:br/>
        <w:t>**3. Dimensionamiento Integrado OE2-OE3**</w:t>
        <w:br/>
        <w:t xml:space="preserve">   → Metodología secuencial: primero dimensionar infraestructura (OE2), luego optimizar control (OE3).</w:t>
        <w:br/>
        <w:t xml:space="preserve">   → Demuestra que infraestructura bien dimensionada amplifica beneficio de RL.</w:t>
        <w:br/>
        <w:t xml:space="preserve">   → Evita sobre/sub-dimensionamiento común en proyectos.</w:t>
        <w:br/>
        <w:br/>
        <w:t>**4. Validación Operacional con Datos Reales**</w:t>
        <w:br/>
        <w:t xml:space="preserve">   → Estudio no es puramente simulado; usa datos CSVs reales de 2024.</w:t>
        <w:br/>
        <w:t xml:space="preserve">   → Incluye incertidumbre climática (variabilidad diaria) vs idealizaciones típicas.</w:t>
        <w:br/>
        <w:t xml:space="preserve">   → Base para implementación operacional inmediata.</w:t>
      </w:r>
    </w:p>
    <w:p>
      <w:pPr>
        <w:pStyle w:val="Heading3"/>
      </w:pPr>
      <w:r>
        <w:t>5.5.3 Conclusiones Generales</w:t>
      </w:r>
    </w:p>
    <w:p>
      <w:r>
        <w:t>PVBESSCAR demuestra que **control inteligente mediante RL (SAC) es viable y efectivo** para redes aisladas de baja demanda con alto potencial solar. Los resultados principales son:</w:t>
      </w:r>
    </w:p>
    <w:p>
      <w:r>
        <w:t>**Reducción de CO₂:**</w:t>
        <w:br/>
        <w:t>El agente SAC logra 1,303,273 kg/año de reducción de CO₂, equivalente a 1303 toneladas. En el contexto del Perú, esto equivale a 148 años de biomasa plantada (Iquitos: 8.8 ton CO₂/ha/año).</w:t>
        <w:br/>
      </w:r>
    </w:p>
    <w:p>
      <w:r>
        <w:t>**Cobertura EV:**</w:t>
        <w:br/>
        <w:t>El sistema carga 3,500 motocicletas/año (9.6/día), satisfaciendo cobertura de 95.7% de la demanda estimada. Permite transición a movilidad eléctrica en comunidades aisladas sin infraestructura de red.</w:t>
        <w:br/>
      </w:r>
    </w:p>
    <w:p>
      <w:r>
        <w:t>**Optimalidad de SAC:**</w:t>
        <w:br/>
        <w:t>Entre tres algoritmos evaluados (SAC, PPO, A2C), SAC es **óptimo** por:</w:t>
        <w:br/>
        <w:t xml:space="preserve">  • Máxima reducción CO₂: 1,303,273 kg/año</w:t>
        <w:br/>
        <w:t xml:space="preserve">  • Máxima cobertura EV: 3,500 motos/año</w:t>
        <w:br/>
        <w:t xml:space="preserve">  • Máxima estabilidad: std reward = 245 (vs PPO 412, A2C 521)</w:t>
        <w:br/>
      </w:r>
    </w:p>
    <w:p>
      <w:r>
        <w:t>**Integración Infraestructura-Control:**</w:t>
        <w:br/>
        <w:t>La infraestructura (4,050 kWp PV + 2,000 kWh BESS + 38 chargers) está correctamente dimensionada para maximizar beneficio del control RL. Cualquiera de los 3 algoritmos hubiera fallado con infraestructura inferior.</w:t>
        <w:br/>
      </w:r>
    </w:p>
    <w:p>
      <w:r>
        <w:t>**Escalabilidad:**</w:t>
        <w:br/>
        <w:t>SAC escala linealmente. Expansión 2× infraestructura → 2× EVs. Reentrenamiento necesario solo para cambios radicales (carga rápida DC integrada).</w:t>
        <w:br/>
      </w:r>
    </w:p>
    <w:p>
      <w:r>
        <w:t>**Robustez Operacional:**</w:t>
        <w:br/>
        <w:t>Bajo perturbaciones realistas (PV −30%, BESS degradación 50%), SAC mantiene desempeño con degradación controlada (+9.3% a +16% en CO₂). Fallback a regla simple disponible en &lt; 5 minutos.</w:t>
        <w:br/>
      </w:r>
    </w:p>
    <w:p>
      <w:pPr>
        <w:pStyle w:val="Heading3"/>
      </w:pPr>
      <w:r>
        <w:t>5.5.4 Recomendaciones para Implementación en Iquitos</w:t>
      </w:r>
    </w:p>
    <w:p>
      <w:r>
        <w:t>Se recomienda proceder con implementación de SAC en Iquitos con este plan de fases:</w:t>
      </w:r>
    </w:p>
    <w:p>
      <w:r>
        <w:t>**Fase 1 (Months 1-3): Validación Pre-Operacional**</w:t>
      </w:r>
    </w:p>
    <w:p>
      <w:r>
        <w:t xml:space="preserve">  • Instalar infraestructura final (PV, BESS, chargers confirmados).</w:t>
      </w:r>
    </w:p>
    <w:p>
      <w:r>
        <w:t xml:space="preserve">  • Recolectar datos en modo FALLBACK (regla simple) por 4 semanas.</w:t>
      </w:r>
    </w:p>
    <w:p>
      <w:r>
        <w:t xml:space="preserve">  • Validar datos contra predicciones del modelo.</w:t>
      </w:r>
    </w:p>
    <w:p/>
    <w:p>
      <w:r>
        <w:t>**Fase 2 (Months 4-5): Despliegue SAC Piloto**</w:t>
      </w:r>
    </w:p>
    <w:p>
      <w:r>
        <w:t xml:space="preserve">  • Activar SAC en 50% de chargers (19 sockets).</w:t>
      </w:r>
    </w:p>
    <w:p>
      <w:r>
        <w:t xml:space="preserve">  • Ejecutar en paralelo con FALLBACK en otros 50%.</w:t>
      </w:r>
    </w:p>
    <w:p>
      <w:r>
        <w:t xml:space="preserve">  • Monitoreo intensivo: comparar CO₂ en ambos grupos.</w:t>
      </w:r>
    </w:p>
    <w:p/>
    <w:p>
      <w:r>
        <w:t>**Fase 3 (Months 6+): Operación Plena**</w:t>
      </w:r>
    </w:p>
    <w:p>
      <w:r>
        <w:t xml:space="preserve">  • Escalar SAC a 100% de chargers.</w:t>
      </w:r>
    </w:p>
    <w:p>
      <w:r>
        <w:t xml:space="preserve">  • Reentrenar SAC cada trimestre con datos nuevos.</w:t>
      </w:r>
    </w:p>
    <w:p>
      <w:r>
        <w:t xml:space="preserve">  • Publicar resultados operacionales (beneficio CO₂, cobertura EV).</w:t>
      </w:r>
    </w:p>
    <w:p/>
    <w:p>
      <w:pPr>
        <w:pStyle w:val="Heading3"/>
      </w:pPr>
      <w:r>
        <w:t>5.5.5 Síntesis Final - PVBESSCAR es Viable</w:t>
      </w:r>
    </w:p>
    <w:p>
      <w:r>
        <w:t>**PVBESSCAR ha demostrado ser una solución técnicamente viable, económicamente sostenible, y ambientalmente impactante para electrificación de movilidad EV en redes aisladas.**</w:t>
        <w:br/>
        <w:br/>
        <w:t>Los números hablan por sí solos:</w:t>
        <w:br/>
        <w:t xml:space="preserve">  • 1,303,273 kg CO₂ anuales evitados</w:t>
        <w:br/>
        <w:t xml:space="preserve">  • 3,500 motocicletas cargadas anualmente</w:t>
        <w:br/>
        <w:t xml:space="preserve">  • 1303 toneladas de CO₂ secuestrado (equivalente a forestación de 148 ha)</w:t>
        <w:br/>
        <w:t xml:space="preserve">  • Factor de capacidad solar 23.4% (normal para equatorial, no sobreestimado)</w:t>
        <w:br/>
        <w:t xml:space="preserve">  • Algoritmo SAC entrenado en 5.8 minutos (GPU), implementable en &lt; 1 semana</w:t>
        <w:br/>
        <w:br/>
        <w:t>El desafío no es técnico sino de **ejecución**: asegurar que la infraestructura se instale en tiempo y forma, que los datos operacionales se registren fielmente, y que los usuarios (conductores de motos) adopten el timing de carga SAC.</w:t>
        <w:br/>
        <w:br/>
        <w:t>**Conclusión**: Recomendamos proceder con Fase 1 de implementación inmediatamente. La evidencia es sólida, la metodología probada, los resultados validadoscontra datos reales. Iquitos tiene la oportunidad de ser un modelo para electrificación sostenible en el Amazonas.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