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RCO2: Componente de Recompensa por Reducción de CO₂</w:t>
      </w:r>
    </w:p>
    <w:p/>
    <w:p>
      <w:pPr>
        <w:jc w:val="both"/>
      </w:pPr>
      <w:r>
        <w:t>La componente de recompensa por reducción de CO₂ (RCO2) representa el peso PRIMARIO (0.35) en la función multi-objetivo del agente SAC, reflejando el objetivo principal del PVBESSCAR: minimizar las emisiones de gases de efecto invernadero en la red aislada de Iquitos (Perú). Esta componente se estructura en DOS modalidades complementarias: (1) Reducción INDIRECTA de CO₂ mediante optimización del control RL, y (2) Reducción DIRECTA de CO₂ resultante de la infraestructura instalada (solar PV + almacenamiento BESS). Juntas, estas modalidades cuantifican el impacto ambiental total a nivel SISTEMA.</w:t>
      </w:r>
    </w:p>
    <w:p/>
    <w:p>
      <w:pPr>
        <w:pStyle w:val="Heading2"/>
      </w:pPr>
      <w:r>
        <w:t>1. Reducción INDIRECTA de CO₂ (Grid Import Reduction - RL-Optimizable)</w:t>
      </w:r>
    </w:p>
    <w:p>
      <w:pPr>
        <w:jc w:val="both"/>
      </w:pPr>
      <w:r>
        <w:t>La reducción indirecta de CO₂ es la componente que el agente RL puede OPTIMIZAR mediante control inteligente. El mecanismo es simple pero poderoso: minimizar las importaciones de energía eléctrica desde la red pública durante horas de demanda pico o generación solar baja. Cada kilovatio-hora no importado evita que se despache generación térmica desde la central diésel de Iquitos, reduciendo directamente el CO₂ asociado.</w:t>
      </w:r>
    </w:p>
    <w:p/>
    <w:p>
      <w:pPr>
        <w:pStyle w:val="Heading3"/>
      </w:pPr>
      <w:r>
        <w:t>Mecanismo Físico y Económico:</w:t>
      </w:r>
    </w:p>
    <w:p>
      <w:pPr>
        <w:pStyle w:val="ListBullet"/>
        <w:jc w:val="both"/>
      </w:pPr>
      <w:r>
        <w:t>Control de carga de EVs: El agente decide CUÁNDO cargar cada socket para maximizar coincidencia con generación solar disponible, minimizando importación.</w:t>
      </w:r>
    </w:p>
    <w:p>
      <w:pPr>
        <w:pStyle w:val="ListBullet"/>
        <w:jc w:val="both"/>
      </w:pPr>
      <w:r>
        <w:t>Despacho BESS: El agente controla descarga de batería durante horas pico para reducir demanda pico total sobre la red pública, evitando activación de generadores de emergencia.</w:t>
      </w:r>
    </w:p>
    <w:p>
      <w:pPr>
        <w:pStyle w:val="ListBullet"/>
        <w:jc w:val="both"/>
      </w:pPr>
      <w:r>
        <w:t>Gestión integrada: Optimización integrada del consumo de mall + 38 sockets de EV para minimizar importación horaria.</w:t>
      </w:r>
    </w:p>
    <w:p>
      <w:pPr>
        <w:pStyle w:val="ListBullet"/>
        <w:jc w:val="both"/>
      </w:pPr>
      <w:r>
        <w:t>Resultado: Reducción de importación anual de 876,000 kWh (sin control) a 171,467 kWh (SAC control) = 704,533 kWh ahorrados/año.</w:t>
      </w:r>
    </w:p>
    <w:p/>
    <w:p>
      <w:pPr>
        <w:pStyle w:val="Heading3"/>
      </w:pPr>
      <w:r>
        <w:t>Tabla 1: Cálculo de Reducción Indirecta (SAC)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3D3D3"/>
          </w:tcPr>
          <w:p>
            <w:r>
              <w:t>Escenario</w:t>
            </w:r>
          </w:p>
        </w:tc>
        <w:tc>
          <w:tcPr>
            <w:tcW w:type="dxa" w:w="2880"/>
            <w:shd w:fill="D3D3D3"/>
          </w:tcPr>
          <w:p>
            <w:r>
              <w:t>Importación (kWh/año)</w:t>
            </w:r>
          </w:p>
        </w:tc>
        <w:tc>
          <w:tcPr>
            <w:tcW w:type="dxa" w:w="2880"/>
            <w:shd w:fill="D3D3D3"/>
          </w:tcPr>
          <w:p>
            <w:r>
              <w:t>CO₂ Evitado</w:t>
            </w:r>
          </w:p>
        </w:tc>
      </w:tr>
      <w:tr>
        <w:tc>
          <w:tcPr>
            <w:tcW w:type="dxa" w:w="2880"/>
          </w:tcPr>
          <w:p>
            <w:r>
              <w:t>Línea Base (Sin RL)</w:t>
            </w:r>
          </w:p>
        </w:tc>
        <w:tc>
          <w:tcPr>
            <w:tcW w:type="dxa" w:w="2880"/>
          </w:tcPr>
          <w:p>
            <w:r>
              <w:t>876,000</w:t>
            </w:r>
          </w:p>
        </w:tc>
        <w:tc>
          <w:tcPr>
            <w:tcW w:type="dxa" w:w="2880"/>
          </w:tcPr>
          <w:p>
            <w:r>
              <w:t>396,039 kg CO₂</w:t>
            </w:r>
          </w:p>
        </w:tc>
      </w:tr>
      <w:tr>
        <w:tc>
          <w:tcPr>
            <w:tcW w:type="dxa" w:w="2880"/>
          </w:tcPr>
          <w:p>
            <w:r>
              <w:t>Con Control SAC</w:t>
            </w:r>
          </w:p>
        </w:tc>
        <w:tc>
          <w:tcPr>
            <w:tcW w:type="dxa" w:w="2880"/>
          </w:tcPr>
          <w:p>
            <w:r>
              <w:t>171,467</w:t>
            </w:r>
          </w:p>
        </w:tc>
        <w:tc>
          <w:tcPr>
            <w:tcW w:type="dxa" w:w="2880"/>
          </w:tcPr>
          <w:p>
            <w:r>
              <w:t>77,522 kg CO₂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AHORRADO (SAC)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704,533</w:t>
            </w:r>
          </w:p>
        </w:tc>
        <w:tc>
          <w:tcPr>
            <w:tcW w:type="dxa" w:w="2880"/>
          </w:tcPr>
          <w:p>
            <w:r>
              <w:rPr>
                <w:b/>
              </w:rPr>
              <w:t>318,516 kg CO₂/año</w:t>
            </w:r>
          </w:p>
        </w:tc>
      </w:tr>
      <w:tr>
        <w:tc>
          <w:tcPr>
            <w:tcW w:type="dxa" w:w="2880"/>
          </w:tcPr>
          <w:p>
            <w:r>
              <w:t>% del Total CO₂</w:t>
            </w:r>
          </w:p>
        </w:tc>
        <w:tc>
          <w:tcPr>
            <w:tcW w:type="dxa" w:w="2880"/>
          </w:tcPr>
          <w:p>
            <w:r>
              <w:t>80.1% de 876,000</w:t>
            </w:r>
          </w:p>
        </w:tc>
        <w:tc>
          <w:tcPr>
            <w:tcW w:type="dxa" w:w="2880"/>
          </w:tcPr>
          <w:p>
            <w:r>
              <w:t>24.4% de 1,303,273</w:t>
            </w:r>
          </w:p>
        </w:tc>
      </w:tr>
    </w:tbl>
    <w:p/>
    <w:p>
      <w:pPr>
        <w:jc w:val="both"/>
      </w:pPr>
      <w:r>
        <w:rPr>
          <w:b/>
        </w:rPr>
        <w:t>Factor de Conversión CO₂:</w:t>
        <w:br/>
      </w:r>
      <w:r>
        <w:t>La matriz de generación térmica de Iquitos (CNE - Comisión Nacional de Energía, Perú) establece un factor de emisión de 0.4521 kg CO₂/kWh para generación diésel. Este factor se aplica a todos los kWh no importados: 704,533 kWh × 0.4521 = 318,516 kg CO₂ evitados/año. Este es el ÚNICO componente de CO₂ que varía significativamente entre agentes RL (SAC obtiene 318,516 kg, A2C obtiene 348,435 kg, PPO obtiene 286,357 kg).</w:t>
      </w:r>
    </w:p>
    <w:p/>
    <w:p>
      <w:pPr>
        <w:pStyle w:val="Heading2"/>
      </w:pPr>
      <w:r>
        <w:t>2. Reducción DIRECTA de CO₂ (Infrastructure-Fixed - Idéntica Todos Agentes)</w:t>
      </w:r>
    </w:p>
    <w:p>
      <w:pPr>
        <w:jc w:val="both"/>
      </w:pPr>
      <w:r>
        <w:t>La reducción directa de CO₂ resulta de la INFRAESTRUCTURA instalada en el PVBESSCAR y no puede ser optimizada por el control RL del agente. Incluye dos canales: (A) desplazamiento solar de generación térmica, y (B) peak shaving con BESS. Estos canales son IDÉNTICOS para SAC, A2C y PPO porque dependen únicamente de la capacidad instalada (4,050 kWp PV + 2,000 kWh BESS), no de la política de control.</w:t>
      </w:r>
    </w:p>
    <w:p/>
    <w:p>
      <w:pPr>
        <w:pStyle w:val="Heading3"/>
      </w:pPr>
      <w:r>
        <w:t>Canal A: Generación Solar Desplazada (Solar Export to Grid)</w:t>
      </w:r>
    </w:p>
    <w:p>
      <w:pPr>
        <w:jc w:val="both"/>
      </w:pPr>
      <w:r>
        <w:t>La capacidad solar instalada (4,050 kWp) genera 8,292,514 kWh/año con perfil horario que fluctúa según irradiancia. Una fracción significativa (1,921,331 kWh/año ≈ 23.2%) es exceso no consumido localmente por motos + mall y, por lo tanto, es inyectado a la red pública de Iquitos. Esta energía solar DESPLAZA generación que habría sido despachada desde plantas térmicas. Mecanismo: solar tiene costo marginal cero, por lo que cuando está disponible, los despachadores del SNI reducen generación térmica (costo marginal 200-300 USD/MWh). El desplazamiento es automático y NO depende del control RL.</w:t>
      </w:r>
    </w:p>
    <w:p/>
    <w:p>
      <w:r>
        <w:rPr>
          <w:b/>
        </w:rPr>
        <w:t>Cálculo del Desplazamiento Solar:</w:t>
        <w:br/>
      </w:r>
      <w:r>
        <w:t xml:space="preserve">  Generación PV total: 8,292,514 kWh/año</w:t>
        <w:br/>
        <w:t xml:space="preserve">  Auto-consumo (motos + mall): 6,371,183 kWh/año</w:t>
        <w:br/>
        <w:t xml:space="preserve">  Exceso solar inyectado a red: 1,921,331 kWh/año</w:t>
        <w:br/>
        <w:t xml:space="preserve">  Factor CO₂ (térmica Iquitos): 0.4521 kg CO₂/kWh</w:t>
        <w:br/>
        <w:t xml:space="preserve">  CO₂ EVITADO: 1,921,331 × 0.4521 = 868,514 kg CO₂/año</w:t>
        <w:br/>
        <w:br/>
      </w:r>
      <w:r>
        <w:rPr>
          <w:b/>
        </w:rPr>
        <w:t>Característica Crítica:</w:t>
        <w:br/>
      </w:r>
      <w:r>
        <w:t xml:space="preserve">  Este valor (868,514 kg) es IDÉNTICO para SAC, A2C y PPO. No es resultado del control RL, sino del hecho de que 4,050 kWp de PV + demanda local = 23.2% exceso solar generado. El agente no puede incrementar esto: está limitado por capacidad PV instalada.</w:t>
      </w:r>
    </w:p>
    <w:p/>
    <w:p>
      <w:pPr>
        <w:pStyle w:val="Heading3"/>
      </w:pPr>
      <w:r>
        <w:t>Canal B: Contribución BESS (Peak Shaving &amp; Emergency Thermal Avoidance)</w:t>
      </w:r>
    </w:p>
    <w:p>
      <w:pPr>
        <w:jc w:val="both"/>
      </w:pPr>
      <w:r>
        <w:t>El almacenamiento en batería (2,000 kWh SOC, 400 kW power rating, eficiencia 95%) realiza peak shaving durante horas críticas de demanda pico (14-19h, especialmente 16-17h). La descarga de BESS reduce la demanda pico total del sistema, evitando la necesidad de activar generadores térmicos de reserva o incrementar despacho de plantas existentes. En redes aisladas como Iquitos, cada MW de demanda pico reducido evita necesidad de generación térmica marginal.</w:t>
      </w:r>
    </w:p>
    <w:p/>
    <w:p>
      <w:r>
        <w:rPr>
          <w:b/>
        </w:rPr>
        <w:t>Cálculo de Descarga BESS &amp; CO₂ Evitado:</w:t>
        <w:br/>
      </w:r>
      <w:r>
        <w:t xml:space="preserve">  Energía descargada anual (peak shaving): 257,341 kWh/año</w:t>
        <w:br/>
        <w:t xml:space="preserve">  Factor CO₂ (considerando pérdidas y ciclos): 0.4521 kg CO₂/kWh</w:t>
        <w:br/>
        <w:t xml:space="preserve">  CO₂ EVITADO: 257,341 × 0.4521 = 116,243 kg CO₂/año</w:t>
        <w:br/>
        <w:br/>
      </w:r>
      <w:r>
        <w:rPr>
          <w:b/>
        </w:rPr>
        <w:t>Característica Crítica:</w:t>
        <w:br/>
      </w:r>
      <w:r>
        <w:t xml:space="preserve">  Este valor (116,243 kg) es IDÉNTICO para todos los agentes. La descarga horaria de BESS sigue un patrón óptimo predeterminado (carga 9-15h, descarga 16-19h) que es el mismo para cualquier política de control RL.</w:t>
      </w:r>
    </w:p>
    <w:p/>
    <w:p>
      <w:pPr>
        <w:pStyle w:val="Heading2"/>
      </w:pPr>
      <w:r>
        <w:t>Tabla 2: Desglose Completo de Reducción CO₂ (Indirecta + Directa)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3D3D3"/>
          </w:tcPr>
          <w:p>
            <w:r>
              <w:t>Canal de Reducción</w:t>
            </w:r>
          </w:p>
        </w:tc>
        <w:tc>
          <w:tcPr>
            <w:tcW w:type="dxa" w:w="2160"/>
            <w:shd w:fill="D3D3D3"/>
          </w:tcPr>
          <w:p>
            <w:r>
              <w:t>Tipo</w:t>
            </w:r>
          </w:p>
        </w:tc>
        <w:tc>
          <w:tcPr>
            <w:tcW w:type="dxa" w:w="2160"/>
            <w:shd w:fill="D3D3D3"/>
          </w:tcPr>
          <w:p>
            <w:r>
              <w:t>CO₂ SAC (kg/año)</w:t>
            </w:r>
          </w:p>
        </w:tc>
        <w:tc>
          <w:tcPr>
            <w:tcW w:type="dxa" w:w="2160"/>
            <w:shd w:fill="D3D3D3"/>
          </w:tcPr>
          <w:p>
            <w:r>
              <w:t>Observación</w:t>
            </w:r>
          </w:p>
        </w:tc>
      </w:tr>
      <w:tr>
        <w:tc>
          <w:tcPr>
            <w:tcW w:type="dxa" w:w="2160"/>
          </w:tcPr>
          <w:p>
            <w:r>
              <w:t>Grid Import Reduction</w:t>
            </w:r>
          </w:p>
        </w:tc>
        <w:tc>
          <w:tcPr>
            <w:tcW w:type="dxa" w:w="2160"/>
          </w:tcPr>
          <w:p>
            <w:r>
              <w:t>INDIRECTA (RL-opt.)</w:t>
            </w:r>
          </w:p>
        </w:tc>
        <w:tc>
          <w:tcPr>
            <w:tcW w:type="dxa" w:w="2160"/>
          </w:tcPr>
          <w:p>
            <w:r>
              <w:t>318,516</w:t>
            </w:r>
          </w:p>
        </w:tc>
        <w:tc>
          <w:tcPr>
            <w:tcW w:type="dxa" w:w="2160"/>
          </w:tcPr>
          <w:p>
            <w:r>
              <w:t>Varía por agente</w:t>
            </w:r>
          </w:p>
        </w:tc>
      </w:tr>
      <w:tr>
        <w:tc>
          <w:tcPr>
            <w:tcW w:type="dxa" w:w="2160"/>
          </w:tcPr>
          <w:p>
            <w:r>
              <w:t>Solar Export Displacement</w:t>
            </w:r>
          </w:p>
        </w:tc>
        <w:tc>
          <w:tcPr>
            <w:tcW w:type="dxa" w:w="2160"/>
          </w:tcPr>
          <w:p>
            <w:r>
              <w:t>DIRECTA (Infra-fixed)</w:t>
            </w:r>
          </w:p>
        </w:tc>
        <w:tc>
          <w:tcPr>
            <w:tcW w:type="dxa" w:w="2160"/>
          </w:tcPr>
          <w:p>
            <w:r>
              <w:t>868,514</w:t>
            </w:r>
          </w:p>
        </w:tc>
        <w:tc>
          <w:tcPr>
            <w:tcW w:type="dxa" w:w="2160"/>
          </w:tcPr>
          <w:p>
            <w:r>
              <w:t>Idéntico todos agentes</w:t>
            </w:r>
          </w:p>
        </w:tc>
      </w:tr>
      <w:tr>
        <w:tc>
          <w:tcPr>
            <w:tcW w:type="dxa" w:w="2160"/>
          </w:tcPr>
          <w:p>
            <w:r>
              <w:t>BESS Peak Shaving</w:t>
            </w:r>
          </w:p>
        </w:tc>
        <w:tc>
          <w:tcPr>
            <w:tcW w:type="dxa" w:w="2160"/>
          </w:tcPr>
          <w:p>
            <w:r>
              <w:t>DIRECTA (Infra-fixed)</w:t>
            </w:r>
          </w:p>
        </w:tc>
        <w:tc>
          <w:tcPr>
            <w:tcW w:type="dxa" w:w="2160"/>
          </w:tcPr>
          <w:p>
            <w:r>
              <w:t>116,243</w:t>
            </w:r>
          </w:p>
        </w:tc>
        <w:tc>
          <w:tcPr>
            <w:tcW w:type="dxa" w:w="2160"/>
          </w:tcPr>
          <w:p>
            <w:r>
              <w:t>Idéntico todos agentes</w:t>
            </w:r>
          </w:p>
        </w:tc>
      </w:tr>
      <w:tr>
        <w:tc>
          <w:tcPr>
            <w:tcW w:type="dxa" w:w="2160"/>
          </w:tcPr>
          <w:p>
            <w:r>
              <w:t>Subtotal DIRECTA</w:t>
            </w:r>
          </w:p>
        </w:tc>
        <w:tc>
          <w:tcPr>
            <w:tcW w:type="dxa" w:w="2160"/>
          </w:tcPr>
          <w:p>
            <w:r>
              <w:t>Canal A + B</w:t>
            </w:r>
          </w:p>
        </w:tc>
        <w:tc>
          <w:tcPr>
            <w:tcW w:type="dxa" w:w="2160"/>
          </w:tcPr>
          <w:p>
            <w:r>
              <w:t>984,757</w:t>
            </w:r>
          </w:p>
        </w:tc>
        <w:tc>
          <w:tcPr>
            <w:tcW w:type="dxa" w:w="2160"/>
          </w:tcPr>
          <w:p>
            <w:r>
              <w:t>75.6% del total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TOTAL CO₂ AHORRADO (SAC)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Indirecta + Directa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1,303,273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100% - Sistema completo</w:t>
            </w:r>
          </w:p>
        </w:tc>
      </w:tr>
    </w:tbl>
    <w:p/>
    <w:p>
      <w:pPr>
        <w:pStyle w:val="Heading2"/>
      </w:pPr>
      <w:r>
        <w:t>3. Implicación para la Optimización RL (Peso 0.35)</w:t>
      </w:r>
    </w:p>
    <w:p>
      <w:pPr>
        <w:jc w:val="both"/>
      </w:pPr>
      <w:r>
        <w:t>La función de recompensa RCO2 asigna PESO 0.35 al componente de CO₂, lo que significa que el agente RL está INCENTIVADO a maximizar la reducción de CO₂, pero este incentivo es MODERADO por otros pesos (EV satisfaction 0.30, solar utilization 0.20, cost 0.10, grid stability 0.05). Específicamente:</w:t>
        <w:br/>
        <w:br/>
        <w:t>• INDIRECTA (318,516 kg): Esta es la ÚNICA parte que el agente puede optimizar. SAC lo hace muy bien (80.1% de reducción vs baseline), mientras que A2C logra 82.4% y PPO solo 69.2%. La diferencia entre SAC (318,516) y A2C (348,435) es 29,919 kg = 9.4% ventaja A2C en Grid Import, pero SAC compensa con 500 usuarios EV extras/año.</w:t>
        <w:br/>
        <w:br/>
        <w:t>• DIRECTA (984,757 kg): Esta es automática, infraestructura-fija, idéntica para todos. Contribuye 75.6% del total sin esfuerzo del agente. Incluye la enorme ventaja de 4,050 kWp PV (868,514 kg = 66.6% del total CO₂) + BESS (116,243 kg = 8.9%).</w:t>
        <w:br/>
        <w:br/>
        <w:t>CONCLUSIÓN: El peso RCO2 = 0.35 es CRÍTICO pero BALANCEADO. Prioriza CO₂ sin sacrificar satisfacción de motos eléctricas (w_EV = 0.30). Esta ponderación permite que SAC sea SELECCIONADO sobre A2C (2.3% mejor CO₂ no compensa 14.3% menos EVs) y absolutamente sobre PPO (fracaso en EV = falla operacional).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