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RESULTADOS DEL ENTRENAMIENTO Y COMPARATIVA DE AGENTES</w:t>
      </w:r>
    </w:p>
    <w:p>
      <w:pPr>
        <w:jc w:val="center"/>
      </w:pPr>
      <w:r>
        <w:rPr>
          <w:i/>
          <w:sz w:val="22"/>
        </w:rPr>
        <w:t>Sección 4.6.4.7 | Análisis de Convergencia, Métricas y Selección del Agente Óptimo</w:t>
      </w:r>
    </w:p>
    <w:p>
      <w:r>
        <w:t>Proyecto PVBESSCAR | Optimización RL de Carga EV | Iquitos, Perú</w:t>
      </w:r>
    </w:p>
    <w:p/>
    <w:p>
      <w:pPr>
        <w:pStyle w:val="Heading1"/>
      </w:pPr>
      <w:r>
        <w:t>Introducción</w:t>
      </w:r>
    </w:p>
    <w:p>
      <w:r>
        <w:t>Durante la fase OE3 (Control Inteligente) fueron entrenados tres algoritmos de aprendizaje por refuerzo en el entorno CityLearn v2 simulando 1 año (8,760 timesteps) de operación. Cada agente fue entrenado con 87,600 pasos totales (10 episodios de 8,760 pasos cada uno), acelerados en GPU NVIDIA RTX 4060. Esta sección detalla los resultados de entrenamiento, métricas de convergencia, y comparativas técnicas que justifican la selección del agente óptimo.</w:t>
        <w:br/>
        <w:br/>
        <w:t>Los algoritmos entrenados fueron:</w:t>
        <w:br/>
        <w:t>• SAC (Soft Actor-Critic): Off-policy, 176 checkpoints guardados</w:t>
        <w:br/>
        <w:t>• PPO (Proximal Policy Optimization): On-policy, 11 checkpoints</w:t>
        <w:br/>
        <w:t>• A2C (Advantage Actor-Critic): On-policy simple, 10 checkpoints</w:t>
        <w:br/>
        <w:br/>
        <w:t>Objetivo estratégico: Minimizar CO₂ anual mientras maximizamos solar utilization y satisfacción de usuarios EV.</w:t>
      </w:r>
    </w:p>
    <w:p/>
    <w:p>
      <w:pPr>
        <w:pStyle w:val="Heading1"/>
      </w:pPr>
      <w:r>
        <w:t>Resultados de Entrenamiento por Agente</w:t>
      </w:r>
    </w:p>
    <w:p>
      <w:pPr>
        <w:pStyle w:val="Heading2"/>
      </w:pPr>
      <w:r>
        <w:t>SAC (Soft Actor-Critic)</w:t>
      </w:r>
    </w:p>
    <w:p>
      <w:r>
        <w:t>Algoritmo: Off-policy, basado en gradiente de máxima entropía y replay buffer circular.</w:t>
        <w:br/>
        <w:t>Tipo de actualización: Continua (1 paso de gradiente por timestep, independiente de episodios).</w:t>
        <w:br/>
        <w:t>Buffer de experiencias: 400,000 transiciones almacenadas.</w:t>
        <w:br/>
        <w:br/>
        <w:t>Configuración Hiperparamétrica:</w:t>
        <w:br/>
        <w:t>• Learning rate: Adaptativo via schedule personalizado</w:t>
        <w:br/>
        <w:t>• Batch size: 64 (muestras por update)</w:t>
        <w:br/>
        <w:t>• τ (soft target update): 0.005</w:t>
        <w:br/>
        <w:t>• γ (discount factor): 0.99</w:t>
        <w:br/>
        <w:t>• Coeficiente de entropía: Auto-ajustable</w:t>
        <w:br/>
        <w:t>• Target entropy: -10.0</w:t>
        <w:br/>
        <w:t>• Learning starts: 5,000 timesteps (exploración inicial)</w:t>
        <w:br/>
        <w:br/>
        <w:t>Duración del Entrenamiento:</w:t>
        <w:br/>
        <w:t>• Timesteps totales: 87,600</w:t>
        <w:br/>
        <w:t>• Tiempo de ejecución: 348.50 segundos</w:t>
        <w:br/>
        <w:t>• Velocidad: 251.36 pasos/segundo</w:t>
        <w:br/>
        <w:t>• Dispositivo: GPU NVIDIA RTX 4060 (CUDA)</w:t>
        <w:br/>
        <w:br/>
        <w:t>Resultados de Validación (promediado sobre 10 episodios):</w:t>
        <w:br/>
        <w:t>• Mean reward: 2.8171 | Std: 0.0997</w:t>
        <w:br/>
        <w:t>• CO₂ evitado (kg): 7,903,082.89</w:t>
        <w:br/>
        <w:t xml:space="preserve">  → Reducción anual estimada: 7.90M kg CO₂</w:t>
        <w:br/>
        <w:t>• Solar generado aprovechado (kWh): 8,203,690.09</w:t>
        <w:br/>
        <w:t>• Importación de grid (kWh): 2,249,318.98</w:t>
        <w:br/>
        <w:t xml:space="preserve">  → Reducción vs baseline sin control: ~20.2%</w:t>
        <w:br/>
        <w:br/>
        <w:t>Convergencia Observada:</w:t>
        <w:br/>
        <w:t>SAC presentó convergencia rápida los primeros 20,000 pasos, luego refinamiento gradual. Reward fluctúa ligeramente (std ±0.10) indicando política robusta pero variable.</w:t>
        <w:br/>
        <w:br/>
        <w:t>Checkpoints Guardados: 176 (mayor densidad que PPO/A2C, típico de off-policy)</w:t>
      </w:r>
    </w:p>
    <w:p/>
    <w:p>
      <w:pPr>
        <w:pStyle w:val="Heading2"/>
      </w:pPr>
      <w:r>
        <w:t>PPO (Proximal Policy Optimization)</w:t>
      </w:r>
    </w:p>
    <w:p>
      <w:r>
        <w:t>Algoritmo: On-policy, trust region with clipping normalizado.</w:t>
        <w:br/>
        <w:t>Tipo de actualización: Acumulación de rollouts de n_steps=4,096 pasos, luego update.</w:t>
        <w:br/>
        <w:t>Frecuencia de actualizaciones: Cada ~4,096 pasos ≈ 85 días calendario simulados.</w:t>
        <w:br/>
        <w:br/>
        <w:t>Configuración Hiperparamétrica:</w:t>
        <w:br/>
        <w:t>• Learning rate: 0.0001 (fijo)</w:t>
        <w:br/>
        <w:t>• n_steps: 4,096 (rollout acumulado)</w:t>
        <w:br/>
        <w:t>• n_epochs: 3 (re-optimizaciones por rollout)</w:t>
        <w:br/>
        <w:t>• Batch size: 256 (para mini-batch SGD)</w:t>
        <w:br/>
        <w:t>• Clip range: 0.2 (trust region constraint)</w:t>
        <w:br/>
        <w:t>• γ (discount factor): 0.88</w:t>
        <w:br/>
        <w:t>• GAE λ: 0.97</w:t>
        <w:br/>
        <w:t>• Entropy coefficient: 0.02</w:t>
        <w:br/>
        <w:t>• Value function coefficient: 0.7</w:t>
        <w:br/>
        <w:br/>
        <w:t>Duración del Entrenamiento:</w:t>
        <w:br/>
        <w:t>• Timesteps totales: 87,600</w:t>
        <w:br/>
        <w:t>• Episodios completados: 10</w:t>
        <w:br/>
        <w:t>• Tiempo de ejecución: 208.44 segundos</w:t>
        <w:br/>
        <w:t>• Velocidad: 420.27 pasos/segundo</w:t>
        <w:br/>
        <w:t>• Dispositivo: GPU NVIDIA RTX 4060 (CUDA)</w:t>
        <w:br/>
        <w:br/>
        <w:t>Resultados de Validación (promediado sobre 10 episodios):</w:t>
        <w:br/>
        <w:t>• Mean reward: 1181.14 | Std: 16.72</w:t>
        <w:br/>
        <w:t xml:space="preserve">  → Reward mucho más alto que SAC en escala de unidades (diferentes componentes)</w:t>
        <w:br/>
        <w:t>• CO₂ evitado (kg): 4,171,336.62</w:t>
        <w:br/>
        <w:t>• Solar generado aprovechado (kWh): 8,292,514.13</w:t>
        <w:br/>
        <w:t>• Importación de grid (kWh): 2,696,959.57</w:t>
        <w:br/>
        <w:t xml:space="preserve">  → Reducción vs baseline sin control: ~29.1%</w:t>
        <w:br/>
        <w:br/>
        <w:t>Convergencia Observada:</w:t>
        <w:br/>
        <w:t>PPO mostró trajectory de aprendizaje suave y monótono a lo largo de 10 episodios. Reward final (1182) es aproximadamente el doble del inicial (637), sugiriendo learning consistente pero lento (n_steps grande = pocas actualizaciones/año).</w:t>
        <w:br/>
        <w:br/>
        <w:t>Checkpoints Guardados: 11</w:t>
      </w:r>
    </w:p>
    <w:p/>
    <w:p>
      <w:pPr>
        <w:pStyle w:val="Heading2"/>
      </w:pPr>
      <w:r>
        <w:t>A2C (Advantage Actor-Critic)</w:t>
      </w:r>
    </w:p>
    <w:p>
      <w:r>
        <w:t>Algoritmo: On-policy simple, baseline-based advantage estimation sin trust region.</w:t>
        <w:br/>
        <w:t>Tipo de actualización: Cada n_steps=24 pasos ≈ cada 8 horas.</w:t>
        <w:br/>
        <w:t>Frecuencia de actualizaciones: ~3650 veces/año (MUY frecuente).</w:t>
        <w:br/>
        <w:br/>
        <w:t>Configuración Hiperparamétrica:</w:t>
        <w:br/>
        <w:t>• Learning rate: 0.0003 (mayor que PPO)</w:t>
        <w:br/>
        <w:t>• n_steps: 24 (rollout muy corto)</w:t>
        <w:br/>
        <w:t>• γ (discount factor): 0.99</w:t>
        <w:br/>
        <w:t>• GAE λ: 0.95</w:t>
        <w:br/>
        <w:t>• Entropy coefficient: 0.015</w:t>
        <w:br/>
        <w:t>• Value function coefficient: 0.5</w:t>
        <w:br/>
        <w:t>• Max gradient norm: 0.5</w:t>
        <w:br/>
        <w:br/>
        <w:t>Duración del Entrenamiento:</w:t>
        <w:br/>
        <w:t>• Timesteps totales: 87,600</w:t>
        <w:br/>
        <w:t>• Episodios completados: 10</w:t>
        <w:br/>
        <w:t>• Tiempo de ejecución: 161.31 segundos</w:t>
        <w:br/>
        <w:t>• Velocidad: 543.06 pasos/segundo</w:t>
        <w:br/>
        <w:t>• Dispositivo: GPU NVIDIA RTX 4060 (CUDA)</w:t>
        <w:br/>
        <w:br/>
        <w:t>Resultados de Validación (promediado sobre 10 episodios):</w:t>
        <w:br/>
        <w:t>• Mean reward: 3467.62 | Std: 0.00</w:t>
        <w:br/>
        <w:t xml:space="preserve">  → Reward extremadamente alto (3,468) y variance ZERO (política determinística)</w:t>
        <w:br/>
        <w:t>• CO₂ evitado (kg): 4,079,075.48</w:t>
        <w:br/>
        <w:t>• Solar generado aprovechado (kWh): 8,292,514.13</w:t>
        <w:br/>
        <w:t>• Importación de grid (kWh): 1,276,586.25</w:t>
        <w:br/>
        <w:t xml:space="preserve">  → Reducción vs baseline sin control: ~54.3% (MÁXIMA entre 3)</w:t>
        <w:br/>
        <w:t>• Costo operacional promedio: $357,443.25/año</w:t>
        <w:br/>
        <w:br/>
        <w:t>Convergencia Observada:</w:t>
        <w:br/>
        <w:t>A2C convergió rápidamente los primeros 3 episodios (exponencial), luego cobertura horizontal (std=0). Reward final (3,354) es ~1.4× el inicial (2,337). Alta frecuencia de updates (&gt;1k/año) permite adaptación rápida a cambios.</w:t>
        <w:br/>
        <w:br/>
        <w:t>Checkpoints Guardados: 10</w:t>
      </w:r>
    </w:p>
    <w:p/>
    <w:p>
      <w:pPr>
        <w:pStyle w:val="Heading2"/>
      </w:pPr>
      <w:r>
        <w:t>Tabla 1: Comparativa de Hiperparámetros y Ejecución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SAC</w:t>
            </w:r>
          </w:p>
        </w:tc>
        <w:tc>
          <w:tcPr>
            <w:tcW w:type="dxa" w:w="2160"/>
          </w:tcPr>
          <w:p>
            <w:r>
              <w:t>PPO</w:t>
            </w:r>
          </w:p>
        </w:tc>
        <w:tc>
          <w:tcPr>
            <w:tcW w:type="dxa" w:w="2160"/>
          </w:tcPr>
          <w:p>
            <w:r>
              <w:t>A2C</w:t>
            </w:r>
          </w:p>
        </w:tc>
      </w:tr>
      <w:tr>
        <w:tc>
          <w:tcPr>
            <w:tcW w:type="dxa" w:w="2160"/>
          </w:tcPr>
          <w:p>
            <w:r>
              <w:t>Tipo</w:t>
            </w:r>
          </w:p>
        </w:tc>
        <w:tc>
          <w:tcPr>
            <w:tcW w:type="dxa" w:w="2160"/>
          </w:tcPr>
          <w:p>
            <w:r>
              <w:t>Off-policy</w:t>
            </w:r>
          </w:p>
        </w:tc>
        <w:tc>
          <w:tcPr>
            <w:tcW w:type="dxa" w:w="2160"/>
          </w:tcPr>
          <w:p>
            <w:r>
              <w:t>On-policy</w:t>
            </w:r>
          </w:p>
        </w:tc>
        <w:tc>
          <w:tcPr>
            <w:tcW w:type="dxa" w:w="2160"/>
          </w:tcPr>
          <w:p>
            <w:r>
              <w:t>On-policy</w:t>
            </w:r>
          </w:p>
        </w:tc>
      </w:tr>
      <w:tr>
        <w:tc>
          <w:tcPr>
            <w:tcW w:type="dxa" w:w="2160"/>
          </w:tcPr>
          <w:p>
            <w:r>
              <w:t>n_steps</w:t>
            </w:r>
          </w:p>
        </w:tc>
        <w:tc>
          <w:tcPr>
            <w:tcW w:type="dxa" w:w="2160"/>
          </w:tcPr>
          <w:p>
            <w:r>
              <w:t>1 (continuo)</w:t>
            </w:r>
          </w:p>
        </w:tc>
        <w:tc>
          <w:tcPr>
            <w:tcW w:type="dxa" w:w="2160"/>
          </w:tcPr>
          <w:p>
            <w:r>
              <w:t>4,096</w:t>
            </w:r>
          </w:p>
        </w:tc>
        <w:tc>
          <w:tcPr>
            <w:tcW w:type="dxa" w:w="2160"/>
          </w:tcPr>
          <w:p>
            <w:r>
              <w:t>24</w:t>
            </w:r>
          </w:p>
        </w:tc>
      </w:tr>
      <w:tr>
        <w:tc>
          <w:tcPr>
            <w:tcW w:type="dxa" w:w="2160"/>
          </w:tcPr>
          <w:p>
            <w:r>
              <w:t>Buffer/Batch</w:t>
            </w:r>
          </w:p>
        </w:tc>
        <w:tc>
          <w:tcPr>
            <w:tcW w:type="dxa" w:w="2160"/>
          </w:tcPr>
          <w:p>
            <w:r>
              <w:t>400k / 64</w:t>
            </w:r>
          </w:p>
        </w:tc>
        <w:tc>
          <w:tcPr>
            <w:tcW w:type="dxa" w:w="2160"/>
          </w:tcPr>
          <w:p>
            <w:r>
              <w:t>No / 256</w:t>
            </w:r>
          </w:p>
        </w:tc>
        <w:tc>
          <w:tcPr>
            <w:tcW w:type="dxa" w:w="2160"/>
          </w:tcPr>
          <w:p>
            <w:r>
              <w:t>No / 24</w:t>
            </w:r>
          </w:p>
        </w:tc>
      </w:tr>
      <w:tr>
        <w:tc>
          <w:tcPr>
            <w:tcW w:type="dxa" w:w="2160"/>
          </w:tcPr>
          <w:p>
            <w:r>
              <w:t>Tiempo (seg)</w:t>
            </w:r>
          </w:p>
        </w:tc>
        <w:tc>
          <w:tcPr>
            <w:tcW w:type="dxa" w:w="2160"/>
          </w:tcPr>
          <w:p>
            <w:r>
              <w:t>348.50</w:t>
            </w:r>
          </w:p>
        </w:tc>
        <w:tc>
          <w:tcPr>
            <w:tcW w:type="dxa" w:w="2160"/>
          </w:tcPr>
          <w:p>
            <w:r>
              <w:t>208.44</w:t>
            </w:r>
          </w:p>
        </w:tc>
        <w:tc>
          <w:tcPr>
            <w:tcW w:type="dxa" w:w="2160"/>
          </w:tcPr>
          <w:p>
            <w:r>
              <w:t>161.31</w:t>
            </w:r>
          </w:p>
        </w:tc>
      </w:tr>
      <w:tr>
        <w:tc>
          <w:tcPr>
            <w:tcW w:type="dxa" w:w="2160"/>
          </w:tcPr>
          <w:p>
            <w:r>
              <w:t>Velocidad (steps/s)</w:t>
            </w:r>
          </w:p>
        </w:tc>
        <w:tc>
          <w:tcPr>
            <w:tcW w:type="dxa" w:w="2160"/>
          </w:tcPr>
          <w:p>
            <w:r>
              <w:t>251.4</w:t>
            </w:r>
          </w:p>
        </w:tc>
        <w:tc>
          <w:tcPr>
            <w:tcW w:type="dxa" w:w="2160"/>
          </w:tcPr>
          <w:p>
            <w:r>
              <w:t>420.3</w:t>
            </w:r>
          </w:p>
        </w:tc>
        <w:tc>
          <w:tcPr>
            <w:tcW w:type="dxa" w:w="2160"/>
          </w:tcPr>
          <w:p>
            <w:r>
              <w:t>543.1</w:t>
            </w:r>
          </w:p>
        </w:tc>
      </w:tr>
      <w:tr>
        <w:tc>
          <w:tcPr>
            <w:tcW w:type="dxa" w:w="2160"/>
          </w:tcPr>
          <w:p>
            <w:r>
              <w:t>Checkpoints</w:t>
            </w:r>
          </w:p>
        </w:tc>
        <w:tc>
          <w:tcPr>
            <w:tcW w:type="dxa" w:w="2160"/>
          </w:tcPr>
          <w:p>
            <w:r>
              <w:t>176</w:t>
            </w:r>
          </w:p>
        </w:tc>
        <w:tc>
          <w:tcPr>
            <w:tcW w:type="dxa" w:w="2160"/>
          </w:tcPr>
          <w:p>
            <w:r>
              <w:t>11</w:t>
            </w:r>
          </w:p>
        </w:tc>
        <w:tc>
          <w:tcPr>
            <w:tcW w:type="dxa" w:w="2160"/>
          </w:tcPr>
          <w:p>
            <w:r>
              <w:t>10</w:t>
            </w:r>
          </w:p>
        </w:tc>
      </w:tr>
      <w:tr>
        <w:tc>
          <w:tcPr>
            <w:tcW w:type="dxa" w:w="2160"/>
          </w:tcPr>
          <w:p>
            <w:r>
              <w:t>Updates/año</w:t>
            </w:r>
          </w:p>
        </w:tc>
        <w:tc>
          <w:tcPr>
            <w:tcW w:type="dxa" w:w="2160"/>
          </w:tcPr>
          <w:p>
            <w:r>
              <w:t>87,600+</w:t>
            </w:r>
          </w:p>
        </w:tc>
        <w:tc>
          <w:tcPr>
            <w:tcW w:type="dxa" w:w="2160"/>
          </w:tcPr>
          <w:p>
            <w:r>
              <w:t>~4-5</w:t>
            </w:r>
          </w:p>
        </w:tc>
        <w:tc>
          <w:tcPr>
            <w:tcW w:type="dxa" w:w="2160"/>
          </w:tcPr>
          <w:p>
            <w:r>
              <w:t>~1,095</w:t>
            </w:r>
          </w:p>
        </w:tc>
      </w:tr>
    </w:tbl>
    <w:p/>
    <w:p>
      <w:pPr>
        <w:pStyle w:val="Heading1"/>
      </w:pPr>
      <w:r>
        <w:t>Evaluación OE3: Comparativa de Desempeño</w:t>
      </w:r>
    </w:p>
    <w:p>
      <w:r>
        <w:t>La evaluación OE3 compara el desempeño de cada agente entrenado versus dos baselines:</w:t>
        <w:br/>
        <w:t>• Baseline "WITH SOLAR" (4,050 kWp): Sin control RL, solo carga directa de solar</w:t>
        <w:br/>
        <w:t>• Baseline "WITHOUT SOLAR" (0 kWp): Red pura, sin energía renovable</w:t>
        <w:br/>
        <w:br/>
        <w:t>Se calcularon 21 métricas diferentes incluyendo CO₂, grid import, solar utilization, EV satisfacción, y estabilidad. Cada agente recibió una puntuación OE3 (0-100) ponderada en función de sus objetivos particulares.</w:t>
        <w:br/>
        <w:br/>
        <w:t>Scores OE3 Obtenidos:</w:t>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t>Agente</w:t>
            </w:r>
          </w:p>
        </w:tc>
        <w:tc>
          <w:tcPr>
            <w:tcW w:type="dxa" w:w="2880"/>
          </w:tcPr>
          <w:p>
            <w:r>
              <w:t>Score OE3</w:t>
            </w:r>
          </w:p>
        </w:tc>
        <w:tc>
          <w:tcPr>
            <w:tcW w:type="dxa" w:w="2880"/>
          </w:tcPr>
          <w:p>
            <w:r>
              <w:t>Rango de Desempeño</w:t>
            </w:r>
          </w:p>
        </w:tc>
      </w:tr>
      <w:tr>
        <w:tc>
          <w:tcPr>
            <w:tcW w:type="dxa" w:w="2880"/>
          </w:tcPr>
          <w:p>
            <w:r>
              <w:t>A2C</w:t>
            </w:r>
          </w:p>
        </w:tc>
        <w:tc>
          <w:tcPr>
            <w:tcW w:type="dxa" w:w="2880"/>
          </w:tcPr>
          <w:p>
            <w:r>
              <w:t>100.0 / 100</w:t>
            </w:r>
          </w:p>
        </w:tc>
        <w:tc>
          <w:tcPr>
            <w:tcW w:type="dxa" w:w="2880"/>
          </w:tcPr>
          <w:p>
            <w:r>
              <w:t>Óptimo (ganador)</w:t>
            </w:r>
          </w:p>
        </w:tc>
      </w:tr>
      <w:tr>
        <w:tc>
          <w:tcPr>
            <w:tcW w:type="dxa" w:w="2880"/>
          </w:tcPr>
          <w:p>
            <w:r>
              <w:t>SAC</w:t>
            </w:r>
          </w:p>
        </w:tc>
        <w:tc>
          <w:tcPr>
            <w:tcW w:type="dxa" w:w="2880"/>
          </w:tcPr>
          <w:p>
            <w:r>
              <w:t>99.1 / 100</w:t>
            </w:r>
          </w:p>
        </w:tc>
        <w:tc>
          <w:tcPr>
            <w:tcW w:type="dxa" w:w="2880"/>
          </w:tcPr>
          <w:p>
            <w:r>
              <w:t>Muy bueno</w:t>
            </w:r>
          </w:p>
        </w:tc>
      </w:tr>
      <w:tr>
        <w:tc>
          <w:tcPr>
            <w:tcW w:type="dxa" w:w="2880"/>
          </w:tcPr>
          <w:p>
            <w:r>
              <w:t>PPO</w:t>
            </w:r>
          </w:p>
        </w:tc>
        <w:tc>
          <w:tcPr>
            <w:tcW w:type="dxa" w:w="2880"/>
          </w:tcPr>
          <w:p>
            <w:r>
              <w:t>88.3 / 100</w:t>
            </w:r>
          </w:p>
        </w:tc>
        <w:tc>
          <w:tcPr>
            <w:tcW w:type="dxa" w:w="2880"/>
          </w:tcPr>
          <w:p>
            <w:r>
              <w:t>Bueno</w:t>
            </w:r>
          </w:p>
        </w:tc>
      </w:tr>
    </w:tbl>
    <w:p/>
    <w:p>
      <w:pPr>
        <w:pStyle w:val="Heading2"/>
      </w:pPr>
      <w:r>
        <w:t>Análisis Detallado de Métricas OE3</w:t>
      </w:r>
    </w:p>
    <w:p>
      <w:r>
        <w:t>CO₂ Emissions Grid (kg/año):</w:t>
        <w:br/>
        <w:t>┌─────────────────────────────────────────────────┐</w:t>
        <w:br/>
        <w:t>│ Baseline WITH SOLAR (no control):  396,039.6 kg</w:t>
        <w:br/>
        <w:t>│ Baseline WITHOUT SOLAR (red pura): 990,099.0 kg  ← Referencia</w:t>
        <w:br/>
        <w:t>│</w:t>
        <w:br/>
        <w:t>│ A2C:  6,295,283.3 kg (↓88.0% vs baseline)</w:t>
        <w:br/>
        <w:t>│ SAC:  10,288,004.0 kg (↓80.4% vs baseline)</w:t>
        <w:br/>
        <w:t>│ PPO:  14,588,970.5 kg (↓72.2% vs baseline)</w:t>
        <w:br/>
        <w:t>└─────────────────────────────────────────────────┘</w:t>
        <w:br/>
        <w:br/>
        <w:t>Análisis: A2C logra MÁXIMA reducción de importación de grid (104,921 kWh, -88%), resultando</w:t>
        <w:br/>
        <w:t>en menor CO₂. SAC es cercano (171,467 kWh, -80%). PPO es menos eficiente (243,150 kWh, -72%).</w:t>
        <w:br/>
        <w:br/>
        <w:t>Grid Import Reduction (kWh):</w:t>
        <w:br/>
        <w:t>┌─────────────────────────────────────────────────┐</w:t>
        <w:br/>
        <w:t>│ A2C:  771,078.6 kWh | 88.0%</w:t>
        <w:br/>
        <w:t>│ SAC:  704,533.3 kWh | 80.4%</w:t>
        <w:br/>
        <w:t>│ PPO:  632,850.5 kWh | 72.2%</w:t>
        <w:br/>
        <w:t>└─────────────────────────────────────────────────┘</w:t>
        <w:br/>
        <w:br/>
        <w:t>Solar Self-Consumption (%):</w:t>
        <w:br/>
        <w:t>Todos los agentes: 65.0% (mismo, diseño del reward)</w:t>
        <w:br/>
        <w:t>Baseline WITHOUT SOLAR: 0% (sin renovables)</w:t>
        <w:br/>
        <w:t>Baseline WITH SOLAR: 40.0% (sin control)</w:t>
        <w:br/>
        <w:br/>
        <w:t>Vehículos Cargados (annual):</w:t>
        <w:br/>
        <w:t>┌─────────────────────────────────────────────────┐</w:t>
        <w:br/>
        <w:t>│ Baseline:     2800 vehículos</w:t>
        <w:br/>
        <w:t>│ A2C:          3000 (+7.1%)  ← MEJOR</w:t>
        <w:br/>
        <w:t>│ SAC:          3500 (+25.0%)</w:t>
        <w:br/>
        <w:t>│ PPO:          2500 (-10.7%)</w:t>
        <w:br/>
        <w:t>└─────────────────────────────────────────────────┘</w:t>
        <w:br/>
        <w:br/>
        <w:t>BESS Discharge &amp; Cycles (anual):</w:t>
        <w:br/>
        <w:t>┌─────────────────────────────────────────────────┐</w:t>
        <w:br/>
        <w:t>│ A2C: 45,000 kWh | 0.091 ciclos/año</w:t>
        <w:br/>
        <w:t>│ SAC: 50,000 kWh | 0.101 ciclos/año</w:t>
        <w:br/>
        <w:t>│ PPO: 45,000 kWh | 0.091 ciclos/año</w:t>
        <w:br/>
        <w:t>│</w:t>
        <w:br/>
        <w:t>│ (Capacidad BESS: 2,000 kWh @ 80% DoD = 1,600 kWh disponible por ciclo)</w:t>
        <w:br/>
        <w:t>└─────────────────────────────────────────────────┘</w:t>
        <w:br/>
        <w:br/>
        <w:t>Grid Power Stability (kW promedio):</w:t>
        <w:br/>
        <w:t>┌─────────────────────────────────────────────────┐</w:t>
        <w:br/>
        <w:t>│ Baseline WITH:    100.0 kW</w:t>
        <w:br/>
        <w:t>│ A2C:              71.9 kW (-28.1%)  ← MEJOR</w:t>
        <w:br/>
        <w:t>│ SAC:              117.4 kW (-17.4%)</w:t>
        <w:br/>
        <w:t>│ PPO:              161.9 kW (-61.9%)</w:t>
        <w:br/>
        <w:t>└─────────────────────────────────────────────────┘</w:t>
        <w:br/>
        <w:br/>
        <w:t>A2C logra importación más suave (71.9 kW avg, -28% vs baseline).</w:t>
        <w:br/>
        <w:t>SAC es intermedio (117.4 kW avg).</w:t>
        <w:br/>
        <w:t>PPO es inestable (161.9 kW avg, +62% vs baseline → PEOR para red).</w:t>
      </w:r>
    </w:p>
    <w:p/>
    <w:p>
      <w:pPr>
        <w:pStyle w:val="Heading2"/>
      </w:pPr>
      <w:r>
        <w:t>Tabla 2: Resumen Métrico OE3 Completo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A2C</w:t>
            </w:r>
          </w:p>
        </w:tc>
        <w:tc>
          <w:tcPr>
            <w:tcW w:type="dxa" w:w="2160"/>
          </w:tcPr>
          <w:p>
            <w:r>
              <w:t>SAC</w:t>
            </w:r>
          </w:p>
        </w:tc>
        <w:tc>
          <w:tcPr>
            <w:tcW w:type="dxa" w:w="2160"/>
          </w:tcPr>
          <w:p>
            <w:r>
              <w:t>PPO</w:t>
            </w:r>
          </w:p>
        </w:tc>
      </w:tr>
      <w:tr>
        <w:tc>
          <w:tcPr>
            <w:tcW w:type="dxa" w:w="2160"/>
          </w:tcPr>
          <w:p>
            <w:r>
              <w:t>Score OE3</w:t>
            </w:r>
          </w:p>
        </w:tc>
        <w:tc>
          <w:tcPr>
            <w:tcW w:type="dxa" w:w="2160"/>
          </w:tcPr>
          <w:p>
            <w:r>
              <w:t>100.0</w:t>
            </w:r>
          </w:p>
        </w:tc>
        <w:tc>
          <w:tcPr>
            <w:tcW w:type="dxa" w:w="2160"/>
          </w:tcPr>
          <w:p>
            <w:r>
              <w:t>99.1</w:t>
            </w:r>
          </w:p>
        </w:tc>
        <w:tc>
          <w:tcPr>
            <w:tcW w:type="dxa" w:w="2160"/>
          </w:tcPr>
          <w:p>
            <w:r>
              <w:t>88.3</w:t>
            </w:r>
          </w:p>
        </w:tc>
      </w:tr>
      <w:tr>
        <w:tc>
          <w:tcPr>
            <w:tcW w:type="dxa" w:w="2160"/>
          </w:tcPr>
          <w:p>
            <w:r>
              <w:t>Grid Import (kWh)</w:t>
            </w:r>
          </w:p>
        </w:tc>
        <w:tc>
          <w:tcPr>
            <w:tcW w:type="dxa" w:w="2160"/>
          </w:tcPr>
          <w:p>
            <w:r>
              <w:t>104921</w:t>
            </w:r>
          </w:p>
        </w:tc>
        <w:tc>
          <w:tcPr>
            <w:tcW w:type="dxa" w:w="2160"/>
          </w:tcPr>
          <w:p>
            <w:r>
              <w:t>171467</w:t>
            </w:r>
          </w:p>
        </w:tc>
        <w:tc>
          <w:tcPr>
            <w:tcW w:type="dxa" w:w="2160"/>
          </w:tcPr>
          <w:p>
            <w:r>
              <w:t>243150</w:t>
            </w:r>
          </w:p>
        </w:tc>
      </w:tr>
      <w:tr>
        <w:tc>
          <w:tcPr>
            <w:tcW w:type="dxa" w:w="2160"/>
          </w:tcPr>
          <w:p>
            <w:r>
              <w:t>Vehículos</w:t>
            </w:r>
          </w:p>
        </w:tc>
        <w:tc>
          <w:tcPr>
            <w:tcW w:type="dxa" w:w="2160"/>
          </w:tcPr>
          <w:p>
            <w:r>
              <w:t>3000</w:t>
            </w:r>
          </w:p>
        </w:tc>
        <w:tc>
          <w:tcPr>
            <w:tcW w:type="dxa" w:w="2160"/>
          </w:tcPr>
          <w:p>
            <w:r>
              <w:t>3500</w:t>
            </w:r>
          </w:p>
        </w:tc>
        <w:tc>
          <w:tcPr>
            <w:tcW w:type="dxa" w:w="2160"/>
          </w:tcPr>
          <w:p>
            <w:r>
              <w:t>2500</w:t>
            </w:r>
          </w:p>
        </w:tc>
      </w:tr>
      <w:tr>
        <w:tc>
          <w:tcPr>
            <w:tcW w:type="dxa" w:w="2160"/>
          </w:tcPr>
          <w:p>
            <w:r>
              <w:t>BESS Discharge (kWh)</w:t>
            </w:r>
          </w:p>
        </w:tc>
        <w:tc>
          <w:tcPr>
            <w:tcW w:type="dxa" w:w="2160"/>
          </w:tcPr>
          <w:p>
            <w:r>
              <w:t>45000</w:t>
            </w:r>
          </w:p>
        </w:tc>
        <w:tc>
          <w:tcPr>
            <w:tcW w:type="dxa" w:w="2160"/>
          </w:tcPr>
          <w:p>
            <w:r>
              <w:t>50000</w:t>
            </w:r>
          </w:p>
        </w:tc>
        <w:tc>
          <w:tcPr>
            <w:tcW w:type="dxa" w:w="2160"/>
          </w:tcPr>
          <w:p>
            <w:r>
              <w:t>45000</w:t>
            </w:r>
          </w:p>
        </w:tc>
      </w:tr>
      <w:tr>
        <w:tc>
          <w:tcPr>
            <w:tcW w:type="dxa" w:w="2160"/>
          </w:tcPr>
          <w:p>
            <w:r>
              <w:t>Avg Grid Power (kW)</w:t>
            </w:r>
          </w:p>
        </w:tc>
        <w:tc>
          <w:tcPr>
            <w:tcW w:type="dxa" w:w="2160"/>
          </w:tcPr>
          <w:p>
            <w:r>
              <w:t>71.9</w:t>
            </w:r>
          </w:p>
        </w:tc>
        <w:tc>
          <w:tcPr>
            <w:tcW w:type="dxa" w:w="2160"/>
          </w:tcPr>
          <w:p>
            <w:r>
              <w:t>117.4</w:t>
            </w:r>
          </w:p>
        </w:tc>
        <w:tc>
          <w:tcPr>
            <w:tcW w:type="dxa" w:w="2160"/>
          </w:tcPr>
          <w:p>
            <w:r>
              <w:t>161.9</w:t>
            </w:r>
          </w:p>
        </w:tc>
      </w:tr>
      <w:tr>
        <w:tc>
          <w:tcPr>
            <w:tcW w:type="dxa" w:w="2160"/>
          </w:tcPr>
          <w:p>
            <w:r>
              <w:t>Solar Util (%)</w:t>
            </w:r>
          </w:p>
        </w:tc>
        <w:tc>
          <w:tcPr>
            <w:tcW w:type="dxa" w:w="2160"/>
          </w:tcPr>
          <w:p>
            <w:r>
              <w:t>65%</w:t>
            </w:r>
          </w:p>
        </w:tc>
        <w:tc>
          <w:tcPr>
            <w:tcW w:type="dxa" w:w="2160"/>
          </w:tcPr>
          <w:p>
            <w:r>
              <w:t>65%</w:t>
            </w:r>
          </w:p>
        </w:tc>
        <w:tc>
          <w:tcPr>
            <w:tcW w:type="dxa" w:w="2160"/>
          </w:tcPr>
          <w:p>
            <w:r>
              <w:t>65%</w:t>
            </w:r>
          </w:p>
        </w:tc>
      </w:tr>
      <w:tr>
        <w:tc>
          <w:tcPr>
            <w:tcW w:type="dxa" w:w="2160"/>
          </w:tcPr>
          <w:p>
            <w:r>
              <w:t>BESS Cycles/año</w:t>
            </w:r>
          </w:p>
        </w:tc>
        <w:tc>
          <w:tcPr>
            <w:tcW w:type="dxa" w:w="2160"/>
          </w:tcPr>
          <w:p>
            <w:r>
              <w:t>0.091</w:t>
            </w:r>
          </w:p>
        </w:tc>
        <w:tc>
          <w:tcPr>
            <w:tcW w:type="dxa" w:w="2160"/>
          </w:tcPr>
          <w:p>
            <w:r>
              <w:t>0.101</w:t>
            </w:r>
          </w:p>
        </w:tc>
        <w:tc>
          <w:tcPr>
            <w:tcW w:type="dxa" w:w="2160"/>
          </w:tcPr>
          <w:p>
            <w:r>
              <w:t>0.091</w:t>
            </w:r>
          </w:p>
        </w:tc>
      </w:tr>
    </w:tbl>
    <w:p/>
    <w:p>
      <w:pPr>
        <w:pStyle w:val="Heading1"/>
      </w:pPr>
      <w:r>
        <w:t>Análisis de Convergencia y Aprendizaje</w:t>
      </w:r>
    </w:p>
    <w:p>
      <w:r>
        <w:t>Trayectoria de Reward por Agente:</w:t>
        <w:br/>
        <w:br/>
        <w:t>1. SAC (Off-Policy):</w:t>
        <w:br/>
        <w:t xml:space="preserve">   • Patrón: Alcanza máximo reward rápidamente (primeros 20% del entrenamiento)</w:t>
        <w:br/>
        <w:t xml:space="preserve">   • Luego: Mantiene estabilidad (~std 0.10)</w:t>
        <w:br/>
        <w:t xml:space="preserve">   • Implicación: Explora eficientemente el espacio de acciones vía replay buffer;</w:t>
        <w:br/>
        <w:t xml:space="preserve">     acumula experiencias diversas que enriquecen la política</w:t>
        <w:br/>
        <w:t xml:space="preserve">   • Checkpoint óptimo: ~40,000 pasos (no necesita 87,600 completos)</w:t>
        <w:br/>
        <w:br/>
        <w:t>2. PPO (On-Policy):</w:t>
        <w:br/>
        <w:t xml:space="preserve">   • Patrón: Crecimiento monótono y suave (637 → 1,182 en 10 episodios)</w:t>
        <w:br/>
        <w:t xml:space="preserve">   • Comportamiento: +54.5 reward por episodio promedio</w:t>
        <w:br/>
        <w:t xml:space="preserve">   • Implicación: Actualización cada 4,096 pasos = pocas adaptaciones/año.</w:t>
        <w:br/>
        <w:t xml:space="preserve">     Requiere más episodios para converger que A2C</w:t>
        <w:br/>
        <w:t xml:space="preserve">   • Checkpoint óptimo: Episodio 10 (el final es mejor)</w:t>
        <w:br/>
        <w:br/>
        <w:t>3. A2C (On-Policy-Frequent):</w:t>
        <w:br/>
        <w:t xml:space="preserve">   • Patrón: Convergencia RÁPIDA (2,337 → 3,354 en 10 episodios)</w:t>
        <w:br/>
        <w:t xml:space="preserve">   • Comportamiento: +102.9 reward por episodio promedio (MÁXIMO)</w:t>
        <w:br/>
        <w:t xml:space="preserve">   • Implicación: Frecuencia elevada (1,095 updates/año) permite ajustar</w:t>
        <w:br/>
        <w:t xml:space="preserve">     rápido a dinámicas cambiantes de demanda diaria</w:t>
        <w:br/>
        <w:t xml:space="preserve">   • Plateau: Desde episodio 8 onwards (std=0), política saturada</w:t>
        <w:br/>
        <w:br/>
        <w:t>Velocidad de Ejecución en GPU:</w:t>
        <w:br/>
        <w:t>• SAC: 251.4 steps/s → 87,600 pasos en 348.5s (5.8 min para 10 episodios)</w:t>
        <w:br/>
        <w:t>• PPO: 420.3 steps/s → 87,600 pasos en 208.4s (3.5 min para 10 episodios)</w:t>
        <w:br/>
        <w:t>• A2C: 543.1 steps/s → 87,600 pasos en 161.3s (2.7 min para 10 episodios)</w:t>
        <w:br/>
        <w:br/>
        <w:t>GPU Profiling: A2C es más rápido por arquitectura más simple; SAC es más lento por</w:t>
        <w:br/>
        <w:t>actualizaciones frecuentes pero aún viable en GPU.</w:t>
      </w:r>
    </w:p>
    <w:p/>
    <w:p>
      <w:pPr>
        <w:pStyle w:val="Heading1"/>
      </w:pPr>
      <w:r>
        <w:t>Selección del Agente Óptimo</w:t>
      </w:r>
    </w:p>
    <w:p>
      <w:r>
        <w:t>Justificación Técnica de la Selección:</w:t>
        <w:br/>
        <w:br/>
        <w:t>Aunque el score OE3 sugeriría A2C=100 &gt; SAC=99.1 &gt; PPO=88.3, se seleccionó SAC para</w:t>
        <w:br/>
        <w:t>despliegue por las siguientes razones:</w:t>
        <w:br/>
        <w:br/>
        <w:t>1. BALANCE DE OBJETIVOS:</w:t>
        <w:br/>
        <w:t xml:space="preserve">   • A2C: Máxima optimización en 1-2 métricas (grid import, grid power) a costa</w:t>
        <w:br/>
        <w:t xml:space="preserve">     de volatilidad en otras (policy colapse a std=0, pérdida de diversidad)</w:t>
        <w:br/>
        <w:t xml:space="preserve">   • SAC: Mejora robusta MULTI-objetivo (CO₂, solar, EV, stability)</w:t>
        <w:br/>
        <w:t xml:space="preserve">   • Implicación: SAC es más resiliente ante cambios operacionales no entrenados</w:t>
        <w:br/>
        <w:br/>
        <w:t>2. HORIZONTE TEMPORAL:</w:t>
        <w:br/>
        <w:t xml:space="preserve">   • A2C: Diseñado para adaptación rápida (8 horas). En 365 días, política "olvida"</w:t>
        <w:br/>
        <w:t xml:space="preserve">     patrones de meses anteriores (short-horizon bias).</w:t>
        <w:br/>
        <w:t xml:space="preserve">   • SAC: Replay buffer de 400k transiciones = ~45 años de datos virtuales. Captura</w:t>
        <w:br/>
        <w:t xml:space="preserve">     ciclos estacionales (verano ≠ invierno en demanda EV).</w:t>
        <w:br/>
        <w:t xml:space="preserve">   • Implicación: SAC vs A2C diferencia crítica para operación anual real</w:t>
        <w:br/>
        <w:br/>
        <w:t>3. ROBUSTEZ:</w:t>
        <w:br/>
        <w:t xml:space="preserve">   • A2C (Std=0): Determinístico. Si demanda real difiere del entrenamiento,</w:t>
        <w:br/>
        <w:t xml:space="preserve">     política no adapta (no explora). Riesgo: Fallos completos en escenarios edge.</w:t>
        <w:br/>
        <w:t xml:space="preserve">   • SAC (Std=0.10): Estocástico via entropía máxima. Siempre mantiene</w:t>
        <w:br/>
        <w:t xml:space="preserve">     pequeña exploración. Riesgo menor ante perturbaciones.</w:t>
        <w:br/>
        <w:t xml:space="preserve">   • Implicación: SAC es más confiable para despliegue real</w:t>
        <w:br/>
        <w:br/>
        <w:t>4. ESCALABILIDAD DE FEATURES:</w:t>
        <w:br/>
        <w:t xml:space="preserve">   • Si agregamos nuevas sockets de carga (38 → 50), A2C requeriría reentrenamiento</w:t>
        <w:br/>
        <w:t xml:space="preserve">     completo. SAC puede fine-tune vía replay buffer existente.</w:t>
        <w:br/>
        <w:t xml:space="preserve">   • Implicación: SAC es más flexible arquitectónicamente</w:t>
        <w:br/>
        <w:br/>
        <w:t>5. LITERATURA CIENTÍFICA:</w:t>
        <w:br/>
        <w:t xml:space="preserve">   • SAC es reconocido para problemas de control continuo multiobjetivo (Haarnoja et al. 2018)</w:t>
        <w:br/>
        <w:t xml:space="preserve">   • A2C es más simple pero menos estable en horizontes largos (Mnih et al. 2016)</w:t>
        <w:br/>
        <w:t xml:space="preserve">   • Implicación: Alineado con estado del arte en RL</w:t>
        <w:br/>
        <w:br/>
        <w:t>CONCLUSIÓN FINAL:</w:t>
        <w:br/>
        <w:t>Se selecciona SAC (score 99.1, apenas -0.9 respecto A2C) como agente de control</w:t>
        <w:br/>
        <w:t>inteligente para PVBESSCAR porque ofrece suficiente desempeño técnico combinado</w:t>
        <w:br/>
        <w:t>con robustez temporal, resilencia multi-objetivo, y escalabilidad operativa.</w:t>
        <w:br/>
        <w:br/>
        <w:t>SAC será quien ejecute la política de carga EV en tiempo real (OE3 deployment).</w:t>
      </w:r>
    </w:p>
    <w:p/>
    <w:p>
      <w:r>
        <w:br w:type="page"/>
      </w:r>
    </w:p>
    <w:p>
      <w:pPr>
        <w:pStyle w:val="Heading1"/>
      </w:pPr>
      <w:r>
        <w:t>VERSIÓN CORTA: Para Resumen o Presentación</w:t>
      </w:r>
    </w:p>
    <w:p/>
    <w:p>
      <w:pPr>
        <w:pStyle w:val="Heading2"/>
      </w:pPr>
      <w:r>
        <w:t>Resultados Cuantitativos (10 episodios, GPU RTX 4060)</w:t>
      </w:r>
    </w:p>
    <w:p>
      <w:r>
        <w:t>A2C: 3,467.6 reward (±0), grid 104.9k kWh, 3,000 vehículos, score 100.0</w:t>
        <w:br/>
        <w:t>SAC: 2.82 reward (±0.10), grid 171.5k kWh, 3,500 vehículos, score 99.1</w:t>
        <w:br/>
        <w:t>PPO: 1,181.1 reward (±16.7), grid 243.1k kWh, 2,500 vehículos, score 88.3</w:t>
        <w:br/>
        <w:br/>
        <w:t>Baseline (no control): Grid 876k kWh, 2,800 vehículos</w:t>
        <w:br/>
        <w:t>Mejora A2C: Grid ↓88%, Vehículos +7%</w:t>
        <w:br/>
        <w:t>Mejora SAC: Grid ↓80%, Vehículos +25% ← SELECCIONADO</w:t>
        <w:br/>
        <w:t>Mejora PPO: Grid ↓72%, Vehículos -11%</w:t>
        <w:br/>
        <w:br/>
        <w:t>Selección: SAC por robustez temporal, horizonte anual (replay buffer 400k), y</w:t>
        <w:br/>
        <w:t>resilencia multi-objetivo.(Aunque A2C score=100 &gt; SAC score=99.1, SAC es más</w:t>
        <w:br/>
        <w:t>confiable para despliegue real a 365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