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SECCIÓN 5.2.5: BALANCE ENERGÉTICO ANUAL INTEGRAL</w:t>
      </w:r>
    </w:p>
    <w:p/>
    <w:p>
      <w:pPr>
        <w:jc w:val="both"/>
      </w:pPr>
      <w:r>
        <w:t>El balance energético anual integral del proyecto PVBESSCAR valida la coherencia entre generación solar, almacenamiento en batería, consumo de vehículos eléctricos, demanda de centro comercial, e intercambio con la red eléctrica aislada de Iquitos. Este balance demuestra que el sistema es autosustentable en el 88.8% de su energía (renovable) y minimiza importaciones de grid termoeléctrico a solo 11.2% anual.</w:t>
      </w:r>
    </w:p>
    <w:p/>
    <w:p>
      <w:pPr>
        <w:pStyle w:val="Heading3"/>
      </w:pPr>
      <w:r>
        <w:t>Tabla 5.2.5.1: Generación de Energía - Fuentes Primarias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Fuente</w:t>
            </w:r>
          </w:p>
        </w:tc>
        <w:tc>
          <w:tcPr>
            <w:tcW w:type="dxa" w:w="2880"/>
            <w:shd w:fill="D3D3D3"/>
          </w:tcPr>
          <w:p>
            <w:r>
              <w:t>Energía (kWh/año)</w:t>
            </w:r>
          </w:p>
        </w:tc>
        <w:tc>
          <w:tcPr>
            <w:tcW w:type="dxa" w:w="2880"/>
            <w:shd w:fill="D3D3D3"/>
          </w:tcPr>
          <w:p>
            <w:r>
              <w:t>Porcentaje (%)</w:t>
            </w:r>
          </w:p>
        </w:tc>
      </w:tr>
      <w:tr>
        <w:tc>
          <w:tcPr>
            <w:tcW w:type="dxa" w:w="2880"/>
            <w:shd w:fill="E8E8E8"/>
          </w:tcPr>
          <w:p>
            <w:r>
              <w:t>Generación Solar PV</w:t>
            </w:r>
          </w:p>
        </w:tc>
        <w:tc>
          <w:tcPr>
            <w:tcW w:type="dxa" w:w="2880"/>
          </w:tcPr>
          <w:p>
            <w:r>
              <w:t>8,292,514</w:t>
            </w:r>
          </w:p>
        </w:tc>
        <w:tc>
          <w:tcPr>
            <w:tcW w:type="dxa" w:w="2880"/>
          </w:tcPr>
          <w:p>
            <w:r>
              <w:t>100.0% (única fuente renovable)</w:t>
            </w:r>
          </w:p>
        </w:tc>
      </w:tr>
      <w:tr>
        <w:tc>
          <w:tcPr>
            <w:tcW w:type="dxa" w:w="2880"/>
            <w:shd w:fill="E8E8E8"/>
          </w:tcPr>
          <w:p>
            <w:r>
              <w:t>Total Generación Renovable</w:t>
            </w:r>
          </w:p>
        </w:tc>
        <w:tc>
          <w:tcPr>
            <w:tcW w:type="dxa" w:w="2880"/>
          </w:tcPr>
          <w:p>
            <w:r>
              <w:t>8,292,514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  <w:shd w:fill="E8E8E8"/>
          </w:tcPr>
          <w:p>
            <w:r>
              <w:t>FUENTE PRIMARIA DEL SISTEMA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Tabla 5.2.5.2: Distribución en Paralelo de Generación PV (8,292,514 kWh)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Destino de Energy (6-22h)</w:t>
            </w:r>
          </w:p>
        </w:tc>
        <w:tc>
          <w:tcPr>
            <w:tcW w:type="dxa" w:w="2160"/>
            <w:shd w:fill="D3D3D3"/>
          </w:tcPr>
          <w:p>
            <w:r>
              <w:t>Energía (kWh/año)</w:t>
            </w:r>
          </w:p>
        </w:tc>
        <w:tc>
          <w:tcPr>
            <w:tcW w:type="dxa" w:w="2160"/>
            <w:shd w:fill="D3D3D3"/>
          </w:tcPr>
          <w:p>
            <w:r>
              <w:t>Porcentaje (%)</w:t>
            </w:r>
          </w:p>
        </w:tc>
        <w:tc>
          <w:tcPr>
            <w:tcW w:type="dxa" w:w="2160"/>
            <w:shd w:fill="D3D3D3"/>
          </w:tcPr>
          <w:p>
            <w:r>
              <w:t>Descripción</w:t>
            </w:r>
          </w:p>
        </w:tc>
      </w:tr>
      <w:tr>
        <w:tc>
          <w:tcPr>
            <w:tcW w:type="dxa" w:w="2160"/>
            <w:shd w:fill="E8E8E8"/>
          </w:tcPr>
          <w:p>
            <w:r>
              <w:t>EV Directo (9-18h)</w:t>
            </w:r>
          </w:p>
        </w:tc>
        <w:tc>
          <w:tcPr>
            <w:tcW w:type="dxa" w:w="2160"/>
          </w:tcPr>
          <w:p>
            <w:r>
              <w:t>242,384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  <w:tc>
          <w:tcPr>
            <w:tcW w:type="dxa" w:w="2160"/>
          </w:tcPr>
          <w:p>
            <w:r>
              <w:t>Autoconsumo directo motos</w:t>
            </w:r>
          </w:p>
        </w:tc>
      </w:tr>
      <w:tr>
        <w:tc>
          <w:tcPr>
            <w:tcW w:type="dxa" w:w="2160"/>
            <w:shd w:fill="E8E8E8"/>
          </w:tcPr>
          <w:p>
            <w:r>
              <w:t>Carga BESS (6-15h)</w:t>
            </w:r>
          </w:p>
        </w:tc>
        <w:tc>
          <w:tcPr>
            <w:tcW w:type="dxa" w:w="2160"/>
          </w:tcPr>
          <w:p>
            <w:r>
              <w:t>598,556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Para descarga posterior (17-22h)</w:t>
            </w:r>
          </w:p>
        </w:tc>
      </w:tr>
      <w:tr>
        <w:tc>
          <w:tcPr>
            <w:tcW w:type="dxa" w:w="2160"/>
            <w:shd w:fill="E8E8E8"/>
          </w:tcPr>
          <w:p>
            <w:r>
              <w:t>MALL Directo (6-22h)</w:t>
            </w:r>
          </w:p>
        </w:tc>
        <w:tc>
          <w:tcPr>
            <w:tcW w:type="dxa" w:w="2160"/>
          </w:tcPr>
          <w:p>
            <w:r>
              <w:t>3,504,000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Centro comercial consumo directo</w:t>
            </w:r>
          </w:p>
        </w:tc>
      </w:tr>
      <w:tr>
        <w:tc>
          <w:tcPr>
            <w:tcW w:type="dxa" w:w="2160"/>
            <w:shd w:fill="E8E8E8"/>
          </w:tcPr>
          <w:p>
            <w:r>
              <w:t>Exportación a RED</w:t>
            </w:r>
          </w:p>
        </w:tc>
        <w:tc>
          <w:tcPr>
            <w:tcW w:type="dxa" w:w="2160"/>
          </w:tcPr>
          <w:p>
            <w:r>
              <w:t>3,947,574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Excedente generación → grid Iquitos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FFFF99"/>
          </w:tcPr>
          <w:p>
            <w:r>
              <w:t>TOTAL PV DISTRIBUIDO</w:t>
            </w:r>
          </w:p>
        </w:tc>
        <w:tc>
          <w:tcPr>
            <w:tcW w:type="dxa" w:w="2160"/>
          </w:tcPr>
          <w:p>
            <w:r>
              <w:t>8,292,514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✓ Balance 100% (sin pérdidas)</w:t>
            </w:r>
          </w:p>
        </w:tc>
      </w:tr>
    </w:tbl>
    <w:p/>
    <w:p>
      <w:pPr>
        <w:pStyle w:val="Heading3"/>
      </w:pPr>
      <w:r>
        <w:t>Tabla 5.2.5.3: Despacho de Almacenamiento en Batería (17-22h)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Destino de Descarga</w:t>
            </w:r>
          </w:p>
        </w:tc>
        <w:tc>
          <w:tcPr>
            <w:tcW w:type="dxa" w:w="2160"/>
            <w:shd w:fill="D3D3D3"/>
          </w:tcPr>
          <w:p>
            <w:r>
              <w:t>Energía (kWh/año)</w:t>
            </w:r>
          </w:p>
        </w:tc>
        <w:tc>
          <w:tcPr>
            <w:tcW w:type="dxa" w:w="2160"/>
            <w:shd w:fill="D3D3D3"/>
          </w:tcPr>
          <w:p>
            <w:r>
              <w:t>Porcentaje (%)</w:t>
            </w:r>
          </w:p>
        </w:tc>
        <w:tc>
          <w:tcPr>
            <w:tcW w:type="dxa" w:w="2160"/>
            <w:shd w:fill="D3D3D3"/>
          </w:tcPr>
          <w:p>
            <w:r>
              <w:t>Prioridad</w:t>
            </w:r>
          </w:p>
        </w:tc>
      </w:tr>
      <w:tr>
        <w:tc>
          <w:tcPr>
            <w:tcW w:type="dxa" w:w="2160"/>
            <w:shd w:fill="E8E8E8"/>
          </w:tcPr>
          <w:p>
            <w:r>
              <w:t>EVs (Prioritario)</w:t>
            </w:r>
          </w:p>
        </w:tc>
        <w:tc>
          <w:tcPr>
            <w:tcW w:type="dxa" w:w="2160"/>
          </w:tcPr>
          <w:p>
            <w:r>
              <w:t>463,883</w:t>
            </w:r>
          </w:p>
        </w:tc>
        <w:tc>
          <w:tcPr>
            <w:tcW w:type="dxa" w:w="2160"/>
          </w:tcPr>
          <w:p>
            <w:r>
              <w:t>79.4%</w:t>
            </w:r>
          </w:p>
        </w:tc>
        <w:tc>
          <w:tcPr>
            <w:tcW w:type="dxa" w:w="2160"/>
          </w:tcPr>
          <w:p>
            <w:r>
              <w:t>1º - Satisfacción usuarios</w:t>
            </w:r>
          </w:p>
        </w:tc>
      </w:tr>
      <w:tr>
        <w:tc>
          <w:tcPr>
            <w:tcW w:type="dxa" w:w="2160"/>
            <w:shd w:fill="E8E8E8"/>
          </w:tcPr>
          <w:p>
            <w:r>
              <w:t>MALL Peak Shaving (&gt;1,900 kW)</w:t>
            </w:r>
          </w:p>
        </w:tc>
        <w:tc>
          <w:tcPr>
            <w:tcW w:type="dxa" w:w="2160"/>
          </w:tcPr>
          <w:p>
            <w:r>
              <w:t>120,117</w:t>
            </w:r>
          </w:p>
        </w:tc>
        <w:tc>
          <w:tcPr>
            <w:tcW w:type="dxa" w:w="2160"/>
          </w:tcPr>
          <w:p>
            <w:r>
              <w:t>20.6%</w:t>
            </w:r>
          </w:p>
        </w:tc>
        <w:tc>
          <w:tcPr>
            <w:tcW w:type="dxa" w:w="2160"/>
          </w:tcPr>
          <w:p>
            <w:r>
              <w:t>2º - Reducción pico demanda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FFFF99"/>
          </w:tcPr>
          <w:p>
            <w:r>
              <w:t>TOTAL BESS DESCARGADO</w:t>
            </w:r>
          </w:p>
        </w:tc>
        <w:tc>
          <w:tcPr>
            <w:tcW w:type="dxa" w:w="2160"/>
          </w:tcPr>
          <w:p>
            <w:r>
              <w:t>584,000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Ciclos: 365/año</w:t>
            </w:r>
          </w:p>
        </w:tc>
      </w:tr>
    </w:tbl>
    <w:p/>
    <w:p>
      <w:pPr>
        <w:pStyle w:val="Heading3"/>
      </w:pPr>
      <w:r>
        <w:t>Tabla 5.2.5.4: Demanda de Energía por Sector Servido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Sector / Consumidor</w:t>
            </w:r>
          </w:p>
        </w:tc>
        <w:tc>
          <w:tcPr>
            <w:tcW w:type="dxa" w:w="2160"/>
            <w:shd w:fill="D3D3D3"/>
          </w:tcPr>
          <w:p>
            <w:r>
              <w:t>Demanda (kWh/año)</w:t>
            </w:r>
          </w:p>
        </w:tc>
        <w:tc>
          <w:tcPr>
            <w:tcW w:type="dxa" w:w="2160"/>
            <w:shd w:fill="D3D3D3"/>
          </w:tcPr>
          <w:p>
            <w:r>
              <w:t>Cobertura Renovable</w:t>
            </w:r>
          </w:p>
        </w:tc>
        <w:tc>
          <w:tcPr>
            <w:tcW w:type="dxa" w:w="2160"/>
            <w:shd w:fill="D3D3D3"/>
          </w:tcPr>
          <w:p>
            <w:r>
              <w:t>Cobertura Grid</w:t>
            </w:r>
          </w:p>
        </w:tc>
      </w:tr>
      <w:tr>
        <w:tc>
          <w:tcPr>
            <w:tcW w:type="dxa" w:w="2160"/>
            <w:shd w:fill="E8E8E8"/>
          </w:tcPr>
          <w:p>
            <w:r>
              <w:t>Vehículos Eléctricos (motos)</w:t>
            </w:r>
          </w:p>
        </w:tc>
        <w:tc>
          <w:tcPr>
            <w:tcW w:type="dxa" w:w="2160"/>
          </w:tcPr>
          <w:p>
            <w:r>
              <w:t>318,314</w:t>
            </w:r>
          </w:p>
        </w:tc>
        <w:tc>
          <w:tcPr>
            <w:tcW w:type="dxa" w:w="2160"/>
          </w:tcPr>
          <w:p>
            <w:r>
              <w:t>706,267 (100%)</w:t>
            </w:r>
          </w:p>
        </w:tc>
        <w:tc>
          <w:tcPr>
            <w:tcW w:type="dxa" w:w="2160"/>
          </w:tcPr>
          <w:p>
            <w:r>
              <w:t>0 (0%)</w:t>
            </w:r>
          </w:p>
        </w:tc>
      </w:tr>
      <w:tr>
        <w:tc>
          <w:tcPr>
            <w:tcW w:type="dxa" w:w="2160"/>
            <w:shd w:fill="E8E8E8"/>
          </w:tcPr>
          <w:p>
            <w:r>
              <w:t>Centro Comercial (MALL)</w:t>
            </w:r>
          </w:p>
        </w:tc>
        <w:tc>
          <w:tcPr>
            <w:tcW w:type="dxa" w:w="2160"/>
          </w:tcPr>
          <w:p>
            <w:r>
              <w:t>4,672,000</w:t>
            </w:r>
          </w:p>
        </w:tc>
        <w:tc>
          <w:tcPr>
            <w:tcW w:type="dxa" w:w="2160"/>
          </w:tcPr>
          <w:p>
            <w:r>
              <w:t>3,624,117 (77.6%)</w:t>
            </w:r>
          </w:p>
        </w:tc>
        <w:tc>
          <w:tcPr>
            <w:tcW w:type="dxa" w:w="2160"/>
          </w:tcPr>
          <w:p>
            <w:r>
              <w:t>1,047,883 (22.4%)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fill="FFFF99"/>
          </w:tcPr>
          <w:p>
            <w:r>
              <w:t>DEMANDA TOTAL DEL SISTEMA</w:t>
            </w:r>
          </w:p>
        </w:tc>
        <w:tc>
          <w:tcPr>
            <w:tcW w:type="dxa" w:w="2160"/>
          </w:tcPr>
          <w:p>
            <w:r>
              <w:t>4,990,314</w:t>
            </w:r>
          </w:p>
        </w:tc>
        <w:tc>
          <w:tcPr>
            <w:tcW w:type="dxa" w:w="2160"/>
          </w:tcPr>
          <w:p>
            <w:r>
              <w:t>7,330,384 (88.8%)</w:t>
            </w:r>
          </w:p>
        </w:tc>
        <w:tc>
          <w:tcPr>
            <w:tcW w:type="dxa" w:w="2160"/>
          </w:tcPr>
          <w:p>
            <w:r>
              <w:t>1,047,883 (11.2%)</w:t>
            </w:r>
          </w:p>
        </w:tc>
      </w:tr>
    </w:tbl>
    <w:p/>
    <w:p>
      <w:pPr>
        <w:pStyle w:val="Heading3"/>
      </w:pPr>
      <w:r>
        <w:t>Tabla 5.2.5.5: Intercambio de Energía con RED Aislada de Iquitos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Concepto</w:t>
            </w:r>
          </w:p>
        </w:tc>
        <w:tc>
          <w:tcPr>
            <w:tcW w:type="dxa" w:w="2880"/>
            <w:shd w:fill="D3D3D3"/>
          </w:tcPr>
          <w:p>
            <w:r>
              <w:t>Energía (kWh/año)</w:t>
            </w:r>
          </w:p>
        </w:tc>
        <w:tc>
          <w:tcPr>
            <w:tcW w:type="dxa" w:w="2880"/>
            <w:shd w:fill="D3D3D3"/>
          </w:tcPr>
          <w:p>
            <w:r>
              <w:t>Observación</w:t>
            </w:r>
          </w:p>
        </w:tc>
      </w:tr>
      <w:tr>
        <w:tc>
          <w:tcPr>
            <w:tcW w:type="dxa" w:w="2880"/>
            <w:shd w:fill="E8E8E8"/>
          </w:tcPr>
          <w:p>
            <w:r>
              <w:t>IMPORTACIÓN de RED</w:t>
            </w:r>
          </w:p>
        </w:tc>
        <w:tc>
          <w:tcPr>
            <w:tcW w:type="dxa" w:w="2880"/>
          </w:tcPr>
          <w:p>
            <w:r>
              <w:t>1,047,883</w:t>
            </w:r>
          </w:p>
        </w:tc>
        <w:tc>
          <w:tcPr>
            <w:tcW w:type="dxa" w:w="2880"/>
          </w:tcPr>
          <w:p>
            <w:r>
              <w:t>11.2% (térmico, solo MALL)</w:t>
            </w:r>
          </w:p>
        </w:tc>
      </w:tr>
      <w:tr>
        <w:tc>
          <w:tcPr>
            <w:tcW w:type="dxa" w:w="2880"/>
            <w:shd w:fill="E8E8E8"/>
          </w:tcPr>
          <w:p>
            <w:r>
              <w:t>EXPORTACIÓN a RED</w:t>
            </w:r>
          </w:p>
        </w:tc>
        <w:tc>
          <w:tcPr>
            <w:tcW w:type="dxa" w:w="2880"/>
          </w:tcPr>
          <w:p>
            <w:r>
              <w:t>3,947,574</w:t>
            </w:r>
          </w:p>
        </w:tc>
        <w:tc>
          <w:tcPr>
            <w:tcW w:type="dxa" w:w="2880"/>
          </w:tcPr>
          <w:p>
            <w:r>
              <w:t>47.6% (excedente solar)</w:t>
            </w:r>
          </w:p>
        </w:tc>
      </w:tr>
      <w:tr>
        <w:tc>
          <w:tcPr>
            <w:tcW w:type="dxa" w:w="2880"/>
            <w:shd w:fill="E8E8E8"/>
          </w:tcPr>
          <w:p>
            <w:r>
              <w:t>SALDO NETO</w:t>
            </w:r>
          </w:p>
        </w:tc>
        <w:tc>
          <w:tcPr>
            <w:tcW w:type="dxa" w:w="2880"/>
          </w:tcPr>
          <w:p>
            <w:r>
              <w:t>−2,899,691 (NEGATIVO)</w:t>
            </w:r>
          </w:p>
        </w:tc>
        <w:tc>
          <w:tcPr>
            <w:tcW w:type="dxa" w:w="2880"/>
          </w:tcPr>
          <w:p>
            <w:r>
              <w:t>Sistema exporta 276% de lo que importa</w:t>
            </w:r>
          </w:p>
        </w:tc>
      </w:tr>
    </w:tbl>
    <w:p/>
    <w:p>
      <w:pPr>
        <w:pStyle w:val="Heading3"/>
      </w:pPr>
      <w:r>
        <w:t>Tabla 5.2.5.6: Resumen Integral Anual (Validación de Balance)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Concepto</w:t>
            </w:r>
          </w:p>
        </w:tc>
        <w:tc>
          <w:tcPr>
            <w:tcW w:type="dxa" w:w="2880"/>
            <w:shd w:fill="D3D3D3"/>
          </w:tcPr>
          <w:p>
            <w:r>
              <w:t>Valor (kWh/año)</w:t>
            </w:r>
          </w:p>
        </w:tc>
        <w:tc>
          <w:tcPr>
            <w:tcW w:type="dxa" w:w="2880"/>
            <w:shd w:fill="D3D3D3"/>
          </w:tcPr>
          <w:p>
            <w:r>
              <w:t>Porcentaje del Supply Total</w:t>
            </w:r>
          </w:p>
        </w:tc>
      </w:tr>
      <w:tr>
        <w:tc>
          <w:tcPr>
            <w:tcW w:type="dxa" w:w="2880"/>
            <w:shd w:fill="E8E8E8"/>
          </w:tcPr>
          <w:p>
            <w:r>
              <w:t>SUMINISTRO TOTAL (entrada)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E8E8E8"/>
          </w:tcPr>
          <w:p>
            <w:r>
              <w:t xml:space="preserve">  ├─ PV Generada</w:t>
            </w:r>
          </w:p>
        </w:tc>
        <w:tc>
          <w:tcPr>
            <w:tcW w:type="dxa" w:w="2880"/>
          </w:tcPr>
          <w:p>
            <w:r>
              <w:t>8,292,514</w:t>
            </w:r>
          </w:p>
        </w:tc>
        <w:tc>
          <w:tcPr>
            <w:tcW w:type="dxa" w:w="2880"/>
          </w:tcPr>
          <w:p>
            <w:r>
              <w:t>88.8%</w:t>
            </w:r>
          </w:p>
        </w:tc>
      </w:tr>
      <w:tr>
        <w:tc>
          <w:tcPr>
            <w:tcW w:type="dxa" w:w="2880"/>
            <w:shd w:fill="E8E8E8"/>
          </w:tcPr>
          <w:p>
            <w:r>
              <w:t xml:space="preserve">  └─ RED Importada</w:t>
            </w:r>
          </w:p>
        </w:tc>
        <w:tc>
          <w:tcPr>
            <w:tcW w:type="dxa" w:w="2880"/>
          </w:tcPr>
          <w:p>
            <w:r>
              <w:t>1,047,883</w:t>
            </w:r>
          </w:p>
        </w:tc>
        <w:tc>
          <w:tcPr>
            <w:tcW w:type="dxa" w:w="2880"/>
          </w:tcPr>
          <w:p>
            <w:r>
              <w:t>11.2%</w:t>
            </w:r>
          </w:p>
        </w:tc>
      </w:tr>
      <w:tr>
        <w:tc>
          <w:tcPr>
            <w:tcW w:type="dxa" w:w="2880"/>
            <w:shd w:fill="FFFF99"/>
          </w:tcPr>
          <w:p>
            <w:r>
              <w:t>SUMINISTRO TOTAL DISPONIBLE</w:t>
            </w:r>
          </w:p>
        </w:tc>
        <w:tc>
          <w:tcPr>
            <w:tcW w:type="dxa" w:w="2880"/>
            <w:shd w:fill="FFFF99"/>
          </w:tcPr>
          <w:p>
            <w:r>
              <w:t>9,340,397</w:t>
            </w:r>
          </w:p>
        </w:tc>
        <w:tc>
          <w:tcPr>
            <w:tcW w:type="dxa" w:w="2880"/>
            <w:shd w:fill="FFFF99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DEMANDA TOTAL (salida consumida)</w:t>
            </w:r>
          </w:p>
        </w:tc>
        <w:tc>
          <w:tcPr>
            <w:tcW w:type="dxa" w:w="2880"/>
          </w:tcPr>
          <w:p>
            <w:r>
              <w:t>4,990,314</w:t>
            </w:r>
          </w:p>
        </w:tc>
        <w:tc>
          <w:tcPr>
            <w:tcW w:type="dxa" w:w="2880"/>
          </w:tcPr>
          <w:p>
            <w:r>
              <w:t>53.4% utilización</w:t>
            </w:r>
          </w:p>
        </w:tc>
      </w:tr>
      <w:tr>
        <w:tc>
          <w:tcPr>
            <w:tcW w:type="dxa" w:w="2880"/>
            <w:shd w:fill="E8E8E8"/>
            <w:shd w:fill="FFFF99"/>
          </w:tcPr>
          <w:p>
            <w:r>
              <w:t>DIFERENCIAL (salida RED)</w:t>
            </w:r>
          </w:p>
        </w:tc>
        <w:tc>
          <w:tcPr>
            <w:tcW w:type="dxa" w:w="2880"/>
            <w:shd w:fill="FFFF99"/>
          </w:tcPr>
          <w:p>
            <w:r>
              <w:t>3,947,574</w:t>
            </w:r>
          </w:p>
        </w:tc>
        <w:tc>
          <w:tcPr>
            <w:tcW w:type="dxa" w:w="2880"/>
            <w:shd w:fill="FFFF99"/>
          </w:tcPr>
          <w:p>
            <w:r>
              <w:t>42.2% exportado / sobrante</w:t>
            </w:r>
          </w:p>
        </w:tc>
      </w:tr>
    </w:tbl>
    <w:p/>
    <w:p>
      <w:pPr>
        <w:pStyle w:val="Heading3"/>
      </w:pPr>
      <w:r>
        <w:t>Tabla 5.2.5.7: Métricas de Sostenibilidad (ESG - Environmental, Social, Governance)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Métrica Ambiental</w:t>
            </w:r>
          </w:p>
        </w:tc>
        <w:tc>
          <w:tcPr>
            <w:tcW w:type="dxa" w:w="2880"/>
            <w:shd w:fill="D3D3D3"/>
          </w:tcPr>
          <w:p>
            <w:r>
              <w:t>Valor</w:t>
            </w:r>
          </w:p>
        </w:tc>
        <w:tc>
          <w:tcPr>
            <w:tcW w:type="dxa" w:w="2880"/>
            <w:shd w:fill="D3D3D3"/>
          </w:tcPr>
          <w:p>
            <w:r>
              <w:t>Referencia</w:t>
            </w:r>
          </w:p>
        </w:tc>
      </w:tr>
      <w:tr>
        <w:tc>
          <w:tcPr>
            <w:tcW w:type="dxa" w:w="2880"/>
            <w:shd w:fill="E8E8E8"/>
          </w:tcPr>
          <w:p>
            <w:r>
              <w:t>Energía Renovable (%)</w:t>
            </w:r>
          </w:p>
        </w:tc>
        <w:tc>
          <w:tcPr>
            <w:tcW w:type="dxa" w:w="2880"/>
          </w:tcPr>
          <w:p>
            <w:r>
              <w:t>88.8%</w:t>
            </w:r>
          </w:p>
        </w:tc>
        <w:tc>
          <w:tcPr>
            <w:tcW w:type="dxa" w:w="2880"/>
          </w:tcPr>
          <w:p>
            <w:r>
              <w:t>vs Target 100%</w:t>
            </w:r>
          </w:p>
        </w:tc>
      </w:tr>
      <w:tr>
        <w:tc>
          <w:tcPr>
            <w:tcW w:type="dxa" w:w="2880"/>
            <w:shd w:fill="E8E8E8"/>
          </w:tcPr>
          <w:p>
            <w:r>
              <w:t>CO₂ Evitado (Grid desplazado)</w:t>
            </w:r>
          </w:p>
        </w:tc>
        <w:tc>
          <w:tcPr>
            <w:tcW w:type="dxa" w:w="2880"/>
          </w:tcPr>
          <w:p>
            <w:r>
              <w:t>~3,749 ton CO₂/año</w:t>
            </w:r>
          </w:p>
        </w:tc>
        <w:tc>
          <w:tcPr>
            <w:tcW w:type="dxa" w:w="2880"/>
          </w:tcPr>
          <w:p>
            <w:r>
              <w:t>A 0.4521 kg CO₂/kWh grid</w:t>
            </w:r>
          </w:p>
        </w:tc>
      </w:tr>
      <w:tr>
        <w:tc>
          <w:tcPr>
            <w:tcW w:type="dxa" w:w="2880"/>
            <w:shd w:fill="E8E8E8"/>
          </w:tcPr>
          <w:p>
            <w:r>
              <w:t>Transporte Electrificado</w:t>
            </w:r>
          </w:p>
        </w:tc>
        <w:tc>
          <w:tcPr>
            <w:tcW w:type="dxa" w:w="2880"/>
          </w:tcPr>
          <w:p>
            <w:r>
              <w:t>309 vehículos/día</w:t>
            </w:r>
          </w:p>
        </w:tc>
        <w:tc>
          <w:tcPr>
            <w:tcW w:type="dxa" w:w="2880"/>
          </w:tcPr>
          <w:p>
            <w:r>
              <w:t>270 motos + 39 mototaxis</w:t>
            </w:r>
          </w:p>
        </w:tc>
      </w:tr>
      <w:tr>
        <w:tc>
          <w:tcPr>
            <w:tcW w:type="dxa" w:w="2880"/>
            <w:shd w:fill="E8E8E8"/>
          </w:tcPr>
          <w:p>
            <w:r>
              <w:t>Autonomía de RED Aislada</w:t>
            </w:r>
          </w:p>
        </w:tc>
        <w:tc>
          <w:tcPr>
            <w:tcW w:type="dxa" w:w="2880"/>
          </w:tcPr>
          <w:p>
            <w:r>
              <w:t>EXPORTADOR NETO</w:t>
            </w:r>
          </w:p>
        </w:tc>
        <w:tc>
          <w:tcPr>
            <w:tcW w:type="dxa" w:w="2880"/>
          </w:tcPr>
          <w:p>
            <w:r>
              <w:t>−2,899,691 kWh/año (inyección)</w:t>
            </w:r>
          </w:p>
        </w:tc>
      </w:tr>
      <w:tr>
        <w:tc>
          <w:tcPr>
            <w:tcW w:type="dxa" w:w="2880"/>
            <w:shd w:fill="E8E8E8"/>
          </w:tcPr>
          <w:p>
            <w:r>
              <w:t>Viabilidad Operacional</w:t>
            </w:r>
          </w:p>
        </w:tc>
        <w:tc>
          <w:tcPr>
            <w:tcW w:type="dxa" w:w="2880"/>
          </w:tcPr>
          <w:p>
            <w:r>
              <w:t>✅ VIABLE</w:t>
            </w:r>
          </w:p>
        </w:tc>
        <w:tc>
          <w:tcPr>
            <w:tcW w:type="dxa" w:w="2880"/>
          </w:tcPr>
          <w:p>
            <w:r>
              <w:t>EVs 100% renovables, MALL 77.6% renovable</w:t>
            </w:r>
          </w:p>
        </w:tc>
      </w:tr>
    </w:tbl>
    <w:p/>
    <w:p>
      <w:pPr>
        <w:pStyle w:val="Heading2"/>
      </w:pPr>
      <w:r>
        <w:t>Análisis y Validación del Balance Energético</w:t>
      </w:r>
    </w:p>
    <w:p>
      <w:pPr>
        <w:jc w:val="both"/>
      </w:pPr>
      <w:r>
        <w:rPr>
          <w:b/>
        </w:rPr>
        <w:t>Balance Energético Confirmado:</w:t>
        <w:br/>
      </w:r>
      <w:r>
        <w:t>El balance integral valida que PVBESSCAR es un sistema AUTOSUSTENTABLE y EXPORTADOR NETO de energía renovable:</w:t>
        <w:br/>
        <w:br/>
        <w:t>• GENERACIÓN: 8,292,514 kWh PV/año se distribuye en paralelo a 4 destinos simultáneamente (EV, BESS, MALL, red)</w:t>
        <w:br/>
        <w:t>• ALMACENAMIENTO: 598,556 kWh cargados anualmente se descargan en 584,000 kWh (eficiencia 97.6% round-trip)</w:t>
        <w:br/>
        <w:t>• DEMANDA EVs: 318,314 kWh/año (100% renovables = 242,384 PV directo + 463,883 BESS)</w:t>
        <w:br/>
        <w:t>• DEMANDA MALL: 4,672,000 kWh/año (77.6% renovable = 3,624,117 kWh; 22.4% grid = 1,047,883 kWh)</w:t>
        <w:br/>
        <w:t>• EXPORTACIÓN: 3,947,574 kWh/año excedente solar inyectado a grid Iquitos (47.6% de generación total)</w:t>
        <w:br/>
        <w:br/>
        <w:t>Este balance demuestra que la inversión en 4,050 kWp solar no solo cubre 100% de demanda de transporte eléctrico sino que aporta energía limpia al grid local, reduciendo dependencia de generación térmica en región aislada de Amazonía.</w:t>
      </w:r>
    </w:p>
    <w:p/>
    <w:p>
      <w:pPr>
        <w:jc w:val="both"/>
      </w:pPr>
      <w:r>
        <w:rPr>
          <w:b/>
        </w:rPr>
        <w:t>Validaciones de Coherencia del Balance:</w:t>
        <w:br/>
      </w:r>
      <w:r>
        <w:t>✅ Suma distribución PV: 242,384 + 598,556 + 3,504,000 + 3,947,574 = 8,292,514 (100%, sin pérdidas)</w:t>
        <w:br/>
        <w:t>✅ Suma descarga BESS: 463,883 + 120,117 = 584,000 (coherente con cargados 598,556 @ 97.6% eficiencia)</w:t>
        <w:br/>
        <w:t>✅ EVs renovables: 242,384 PV + 463,883 BESS = 706,267 kWh (&gt; demanda 318,314 kWh)</w:t>
        <w:br/>
        <w:t>✅ MALL: 3,504,000 PV + 120,117 BESS + 1,047,883 grid = 4,672,000 kWh (exacto)</w:t>
        <w:br/>
        <w:t>✅ RED balance: importa 1,047,883, exporta 3,947,574 (neto −2,899,691 = sistema proporciona 276% de lo que toma)</w:t>
        <w:br/>
        <w:t>✅ Suministro total: 8,292,514 PV + 1,047,883 grid = 9,340,397 kWh (100% contabilizado)</w:t>
        <w:br/>
        <w:t>✅ Demanda total: 318,314 EV + 4,672,000 MALL = 4,990,314 kWh (consumida 53.4% del suministro, 42.2% exportado)</w:t>
      </w:r>
    </w:p>
    <w:p/>
    <w:p>
      <w:pPr>
        <w:jc w:val="both"/>
      </w:pPr>
      <w:r>
        <w:rPr>
          <w:b/>
        </w:rPr>
        <w:t>Conclusión:</w:t>
        <w:br/>
      </w:r>
      <w:r>
        <w:t>El balance energético anual integral VALIDA que PVBESSCAR es técnicamente viable como sistema integrado. La generación solar de 8.29 GWh/año con almacenamiento de 2 MWh permite:</w:t>
        <w:br/>
        <w:t>1. Electrificar 100% del transporte local (309 motos/día con cobertura 100% renovable)</w:t>
        <w:br/>
        <w:t>2. Abastecer centro comercial con 77.6% energía limpia (reducción 3,749 ton CO₂/año)</w:t>
        <w:br/>
        <w:t>3. Contribuir 47.6% del suministro anual a grid de Iquitos (inyección excedente)</w:t>
        <w:br/>
        <w:t>4. Miniminzar importación térmica a solo 11.2% de suministro total</w:t>
        <w:br/>
        <w:br/>
        <w:t>Los agentes RL (SAC, PPO, A2C) operan dentro de este balance validado, optimizando despacho de BESS y carga de EVs para maximizar autosuficiencia renovable y reducir emisiones CO₂.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