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28"/>
        </w:rPr>
        <w:t>UNIVERSIDAD NACIONAL MAYOR DE SAN MARCOS</w:t>
      </w:r>
    </w:p>
    <w:p>
      <w:pPr>
        <w:jc w:val="center"/>
      </w:pPr>
      <w:r>
        <w:rPr>
          <w:sz w:val="24"/>
        </w:rPr>
        <w:t>Facultad de Ingeniería Industrial</w:t>
      </w:r>
    </w:p>
    <w:p/>
    <w:p>
      <w:pPr>
        <w:jc w:val="center"/>
      </w:pPr>
      <w:r>
        <w:rPr>
          <w:b/>
          <w:sz w:val="32"/>
        </w:rPr>
        <w:t>INFORME DE TESIS — OBJETIVO ESPECÍFICO 3 (OE3)</w:t>
      </w:r>
    </w:p>
    <w:p/>
    <w:p>
      <w:pPr>
        <w:jc w:val="center"/>
      </w:pPr>
      <w:r>
        <w:rPr>
          <w:sz w:val="26"/>
        </w:rPr>
        <w:t>Selección del Mejor Agente de Aprendizaje por Refuerzo para Optimización</w:t>
        <w:br/>
        <w:t>de Carga EV con Reducción de CO₂ en Sistema Fotovoltaico-BESS</w:t>
        <w:br/>
        <w:t>Red Aislada de Iquitos, Perú</w:t>
      </w:r>
    </w:p>
    <w:p/>
    <w:p>
      <w:pPr>
        <w:jc w:val="center"/>
      </w:pPr>
      <w:r>
        <w:rPr>
          <w:b/>
          <w:color w:val="1B5E20"/>
          <w:sz w:val="28"/>
        </w:rPr>
        <w:t>Agente Seleccionado: A2C</w:t>
      </w:r>
    </w:p>
    <w:p/>
    <w:p>
      <w:pPr>
        <w:jc w:val="center"/>
      </w:pPr>
      <w:r>
        <w:t>Autor: MAC TAPIA, mac.tapia@unmsm.edu.pe</w:t>
      </w:r>
    </w:p>
    <w:p>
      <w:pPr>
        <w:jc w:val="center"/>
      </w:pPr>
      <w:r>
        <w:t>Fecha: 2026-05-31</w:t>
      </w:r>
    </w:p>
    <w:p>
      <w:pPr>
        <w:jc w:val="center"/>
      </w:pPr>
      <w:r>
        <w:rPr>
          <w:i/>
          <w:sz w:val="18"/>
        </w:rPr>
        <w:t>Branch: smartcharger | obs_dim=19 | CO2_DUAL_FOCUS v8.1</w:t>
      </w:r>
    </w:p>
    <w:p>
      <w:r>
        <w:br w:type="page"/>
      </w:r>
    </w:p>
    <w:p>
      <w:pPr>
        <w:pStyle w:val="Heading1"/>
      </w:pPr>
      <w:r>
        <w:rPr>
          <w:color w:val="1A237E"/>
          <w:sz w:val="32"/>
        </w:rPr>
        <w:t>1. INTRODUCCIÓN</w:t>
      </w:r>
    </w:p>
    <w:p>
      <w:r>
        <w:rPr>
          <w:sz w:val="22"/>
        </w:rPr>
        <w:t>El presente informe documenta los resultados del Objetivo Específico 3 (OE3) de la tesis de investigación: selección del mejor agente de Aprendizaje por Refuerzo (RL) para controlar la carga de vehículos eléctricos (EV) minimizando las emisiones de CO₂ en la microrred aislada de Iquitos, Loreto, Perú.</w:t>
      </w:r>
    </w:p>
    <w:p>
      <w:pPr>
        <w:pStyle w:val="Heading2"/>
      </w:pPr>
      <w:r>
        <w:rPr>
          <w:color w:val="0D47A1"/>
          <w:sz w:val="26"/>
        </w:rPr>
        <w:t>1.1 Contexto del sistema</w:t>
      </w:r>
    </w:p>
    <w:p>
      <w:r>
        <w:rPr>
          <w:b/>
        </w:rPr>
        <w:t>Tabla 1.1 — Especificaciones del sistema pvbesscar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Componente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Especificación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Fuente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Solar PV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4,162 kWp DC / 3,201 kW AC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OE2 solar_pvlib.py + PVGIS TMY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Energía solar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5,819,332 kWh/año (5.82 GWh)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PR=83.5%, yield=1,398 kWh/kWp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BESS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2,000 kWh / 400 kW (LFP)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OE2 bess.py v5.3, DoD 80%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Cargadores EV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19 × 2 sockets = 38 puntos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OE2 chargers.py v5.4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Flota EV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270 motos + 39 mototaxis/día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Estudio demanda OE2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Red eléctrica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0.4521 kg CO₂/kWh (diesel)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MINEM 2024, Electro Oriente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Tarifa HP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0.45 S./kWh (18-23h)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OSINERGMIN Res. 047-2024-OS/CD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Tarifa HFP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0.28 S./kWh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OSINERGMIN Res. 047-2024-OS/CD</w:t>
            </w:r>
          </w:p>
        </w:tc>
      </w:tr>
    </w:tbl>
    <w:p/>
    <w:p>
      <w:pPr>
        <w:pStyle w:val="Heading2"/>
      </w:pPr>
      <w:r>
        <w:rPr>
          <w:color w:val="0D47A1"/>
          <w:sz w:val="26"/>
        </w:rPr>
        <w:t>1.2 Espacio de observación y acción (obs_dim=19)</w:t>
      </w:r>
    </w:p>
    <w:p>
      <w:r>
        <w:rPr>
          <w:sz w:val="22"/>
        </w:rPr>
        <w:t>El entorno CityLearn v2 expone 19 dimensiones de observación al agente RL, organizadas en tres grupos:</w:t>
      </w:r>
    </w:p>
    <w:p>
      <w:r>
        <w:rPr>
          <w:b/>
        </w:rPr>
        <w:t>Tabla 1.2 — Espacio de observación 19D (incluye electricity_pricing — nuevo)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Grupo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Dimensiones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Variables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Base CityLearn (12D)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[0-11]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month, hour, day_type, temp, irr_diff, irr_dir, carbon_intensity, non_shiftable_load, solar_gen, bess_soc, net_elec, electricity_pricing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EV state (5D)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[12-16]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motos_demand_norm, mototaxis_demand_norm, motos_debt_norm, mototaxis_debt_norm, hour_sin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Tarifa (2D)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[17-18]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tarifa_norm (HP/HFP), is_hora_punta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237E"/>
          <w:sz w:val="32"/>
        </w:rPr>
        <w:t>2. METODOLOGÍA DE INVESTIGACIÓN</w:t>
      </w:r>
    </w:p>
    <w:p>
      <w:pPr>
        <w:pStyle w:val="Heading2"/>
      </w:pPr>
      <w:r>
        <w:rPr>
          <w:color w:val="0D47A1"/>
          <w:sz w:val="26"/>
        </w:rPr>
        <w:t>2.1 Diseño de investigación del proyecto</w:t>
      </w:r>
    </w:p>
    <w:p>
      <w:r>
        <w:rPr>
          <w:b/>
        </w:rPr>
        <w:t>Tabla 2.1 — Diseño metodológico único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Aspecto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Clasificación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Justificación y sustento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Enfoque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Cuantitativo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Cobertura, demanda, PV, BESS, cargadores, energía EV, grid import, costos, CO₂ y métricas RL son variables numéricas (Hernández Sampieri et al. 2014).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Tipo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Aplicada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Resuelve el problema práctico de diseñar una infraestructura de carga inteligente EV+BESS+solar y su control RL para reducir CO₂ en Iquitos (Murillo Vargas 2010; Arias 2012).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Nivel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Explicativo-causal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Explica cómo la infraestructura y la estrategia de control modifican CO₂, carga EV, grid import y BESS bajo condiciones controladas (Hernández Sampieri et al. 2014; Tamayo y Tamayo 2003).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Diseño único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Cuasi-experimental por simulación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OE1, OE2 y OE3 son etapas del mismo diseño: ubicación, dimensionamiento y comparación RL en simulación controlada (Campbell &amp; Stanley 1966; Law 2015; Montgomery 2017).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VI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Infraestructura de carga inteligente EV+BESS+solar con estrategia RL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OE1 fija ubicación; OE2 dimensiona PV/BESS/cargadores; OE3 manipula SAC, PPO y A2C como tratamientos comparables.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VD medidas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Resultados ambientales y operativos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CO₂ total evitado, carga EV motos+mototaxis, grid import y BESS descarga.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Variables controladas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Condiciones de simulación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Solar 5,819 GWh, BESS 2,000 kWh/400 kW y factor CO₂ 0.4521 kg/kWh.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Muestra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n=50 episodios/agente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N=150 total; saturación estadística verificada por CV plateau &lt;0.5%.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Entorno simulación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CityLearn v2.5.0 + IquitosEVChargingWrapper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obs_dim=19, acción 3D y trazabilidad reproducible.</w:t>
            </w:r>
          </w:p>
        </w:tc>
      </w:tr>
    </w:tbl>
    <w:p/>
    <w:p>
      <w:pPr>
        <w:pStyle w:val="Heading2"/>
      </w:pPr>
      <w:r>
        <w:rPr>
          <w:color w:val="0D47A1"/>
          <w:sz w:val="26"/>
        </w:rPr>
        <w:t>2.2 Función de recompensa multiobjetivo — CO2_DUAL_FOCUS v8.1</w:t>
      </w:r>
    </w:p>
    <w:p>
      <w:r>
        <w:rPr>
          <w:b/>
        </w:rPr>
        <w:t>Tabla 2.2 — Pesos reward CO2_DUAL_FOCUS v8.1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Componente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Peso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Descripción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W_DIRECT_CO2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0.20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CO₂ directo evitado: ICE→EV (transporte)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W_INDIRECT_CO2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0.30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CO₂ indirecto: grid_import × 0.4521 kg/kWh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W_EV_COMPLETE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0.35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Satisfacción EV: motos + mototaxis sin deuda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W_BESS_SOLAR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0.07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BESS carga desde solar, no diesel nocturno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W_SOLAR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0.04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Autoconsumo PV directo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W_GRID_STABLE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0.02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Suavizado rampas grid_import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W_COST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0.02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Costo tarifario OSINERGMIN HP/HFP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TOTAL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1.00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CO2_DUAL_FOCUS v8.1 (fuente única: ev_charging_wrapper.py)</w:t>
            </w:r>
          </w:p>
        </w:tc>
      </w:tr>
    </w:tbl>
    <w:p/>
    <w:p>
      <w:pPr>
        <w:pStyle w:val="Heading2"/>
      </w:pPr>
      <w:r>
        <w:rPr>
          <w:color w:val="0D47A1"/>
          <w:sz w:val="26"/>
        </w:rPr>
        <w:t>2.3 Agentes RL evaluados</w:t>
      </w:r>
    </w:p>
    <w:p>
      <w:r>
        <w:rPr>
          <w:b/>
        </w:rPr>
        <w:t>Tabla 2.3 — Agentes RL: tipo y configuración GPU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Agente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Hiperparámetros clave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Tiempo GPU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A2C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On-policy (Advantage Actor-Critic)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lr=7e-4, n_steps=512, γ=0.90, ent_coef=0.01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22.5 min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PPO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On-policy (Proximal Policy Optimization)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lr=cosine, batch=256, n_epochs=10, γ=0.88, clip=0.2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23.5 min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SAC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Off-policy (Soft Actor-Critic)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lr=1e-4, buffer=87,600, batch=512, τ=0.01, γ=0.95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186.8 min</w:t>
            </w:r>
          </w:p>
        </w:tc>
      </w:tr>
    </w:tbl>
    <w:p/>
    <w:p>
      <w:pPr>
        <w:pStyle w:val="Heading2"/>
      </w:pPr>
      <w:r>
        <w:rPr>
          <w:color w:val="0D47A1"/>
          <w:sz w:val="26"/>
        </w:rPr>
        <w:t>2.4 Cadena estadística inferencial</w:t>
      </w:r>
    </w:p>
    <w:p>
      <w:r>
        <w:rPr>
          <w:sz w:val="22"/>
        </w:rPr>
        <w:t>Se aplica la cadena inferencial completa sobre n=50 episodios por agente (N=150 total), con 18 variables dependientes cubriendo los 7 componentes del reward multiobjetivo:</w:t>
      </w:r>
    </w:p>
    <w:p>
      <w:r>
        <w:rPr>
          <w:sz w:val="22"/>
        </w:rPr>
        <w:t>Shapiro-Wilk (normalidad) → Kruskal-Wallis (global) → Dunn Bonferroni (post-hoc) → Mann-Whitney U (independiente, one-tailed) → Wilcoxon signed-rank (pareado) → Cohen d + Cliff delta (tamaño efecto) → Bootstrap IC 95% (B=10,000)</w:t>
      </w:r>
    </w:p>
    <w:p>
      <w:r>
        <w:br w:type="page"/>
      </w:r>
    </w:p>
    <w:p>
      <w:pPr>
        <w:pStyle w:val="Heading1"/>
      </w:pPr>
      <w:r>
        <w:rPr>
          <w:color w:val="1A237E"/>
          <w:sz w:val="32"/>
        </w:rPr>
        <w:t>3. OE2 — DIMENSIONAMIENTO Y DATASETS</w:t>
      </w:r>
    </w:p>
    <w:p>
      <w:pPr>
        <w:pStyle w:val="Heading2"/>
      </w:pPr>
      <w:r>
        <w:rPr>
          <w:color w:val="0D47A1"/>
          <w:sz w:val="26"/>
        </w:rPr>
        <w:t>3.1 Pipeline OE2 → CityLearn v2</w:t>
      </w:r>
    </w:p>
    <w:p>
      <w:r>
        <w:rPr>
          <w:sz w:val="22"/>
        </w:rPr>
        <w:t>El pipeline OE2 genera 7 datasets individuales que alimentan CityLearn v2. La cadena de actualización es automática: al ejecutar main.py, los pasos 1-6 regeneran todos los datos desde cero garantizando valores reales.</w:t>
      </w:r>
    </w:p>
    <w:p>
      <w:r>
        <w:rPr>
          <w:b/>
        </w:rPr>
        <w:t>Tabla 3.1 — Datasets OE2 → CityLearn v2 (todos vinculados automáticamente)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Dataset OE2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Fuente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CityLearn v2 (data/interim/)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Observación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solar_generation.csv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solar_pvlib.py (PVGIS TMY)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energy_simulation.csv (solar_generation W/kWp)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4,162 kWp DC → 5,819,332 kWh/año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mall_demand.csv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demandamallhorakwh.csv (externo)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energy_simulation.csv (non_shiftable_load)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12,369,000 kWh/año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co2_emissions.csv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MINEM 2024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carbon_intensity.csv (0.3904–0.6345 kg/kWh)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Estacional HP/HFP diesel Iquitos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tariffs_osinergmin.csv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Res. 047-2024-OS/CD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pricing.csv (electricity_pricing)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HP=0.46 / HFP=0.29 S./kWh — NUEVO obs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chargers_timeseries.csv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chargers.py (38 sockets)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ev_charger_motos/mototaxis.csv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30 motos + 8 mototaxis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bess_timeseries.csv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bess.py (OE2)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Wrapper directo (SOC, dispatch)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2,000 kWh / 400 kW</w:t>
            </w:r>
          </w:p>
        </w:tc>
      </w:tr>
    </w:tbl>
    <w:p/>
    <w:p>
      <w:pPr>
        <w:pStyle w:val="Heading2"/>
      </w:pPr>
      <w:r>
        <w:rPr>
          <w:color w:val="0D47A1"/>
          <w:sz w:val="26"/>
        </w:rPr>
        <w:t>3.2 CO₂ factor variable — Red aislada Iquitos</w:t>
      </w:r>
    </w:p>
    <w:p>
      <w:r>
        <w:rPr>
          <w:sz w:val="22"/>
        </w:rPr>
        <w:t>El factor CO₂ de la red eléctrica aislada de Iquitos varía estacionalmente por la dependencia de generación diesel (Electro Oriente S.A.):</w:t>
      </w:r>
    </w:p>
    <w:p>
      <w:r>
        <w:rPr>
          <w:b/>
        </w:rPr>
        <w:t>Tabla 3.2 — Factor CO₂ estacional Iquitos (señal observable: carbon_intensity)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pPr>
              <w:jc w:val="center"/>
            </w:pPr>
            <w:r>
              <w:rPr>
                <w:b/>
              </w:rPr>
              <w:t>Temporada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/>
              </w:rPr>
              <w:t>Período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/>
              </w:rPr>
              <w:t>Factor base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/>
              </w:rPr>
              <w:t>Factor HP (18-23h)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/>
              </w:rPr>
              <w:t>Factor HFP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t>Lluviosa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Dic-May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0.39 kg/kWh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0.63 kg/kWh (×1.35)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0.39 kg/kWh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t>Seca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Jun-Nov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0.47 kg/kWh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0.63 kg/kWh (×1.35)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0.47 kg/kWh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t>Media anual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0.4521 kg/kWh (MINEM)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—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237E"/>
          <w:sz w:val="32"/>
        </w:rPr>
        <w:t>4. OE3 — RESULTADOS DEL ENTRENAMIENTO</w:t>
      </w:r>
    </w:p>
    <w:p>
      <w:pPr>
        <w:pStyle w:val="Heading2"/>
      </w:pPr>
      <w:r>
        <w:rPr>
          <w:color w:val="0D47A1"/>
          <w:sz w:val="26"/>
        </w:rPr>
        <w:t>4.1 Robustez estocástica final (50 episodios/agente)</w:t>
      </w:r>
    </w:p>
    <w:p>
      <w:r>
        <w:rPr>
          <w:b/>
        </w:rPr>
        <w:t>Tabla 4.1 — Robustez estocástica final (obs_dim=19, CO2_DUAL_FOCUS v8.1)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140"/>
          </w:tcPr>
          <w:p>
            <w:pPr>
              <w:jc w:val="center"/>
            </w:pPr>
            <w:r>
              <w:rPr>
                <w:b/>
              </w:rPr>
              <w:t>Agente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b/>
              </w:rPr>
              <w:t>Tiempo GPU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b/>
              </w:rPr>
              <w:t>Ep. conv.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b/>
              </w:rPr>
              <w:t>Mejor ep/reward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b/>
              </w:rPr>
              <w:t>μ plateau ± σ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b/>
              </w:rPr>
              <w:t>CV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b/>
              </w:rPr>
              <w:t>StabIdx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rPr>
                <w:b/>
              </w:rPr>
              <w:t>Val reward (det.)</w:t>
            </w:r>
          </w:p>
        </w:tc>
      </w:tr>
      <w:tr>
        <w:tc>
          <w:tcPr>
            <w:tcW w:type="dxa" w:w="1140"/>
          </w:tcPr>
          <w:p>
            <w:pPr>
              <w:jc w:val="center"/>
            </w:pPr>
            <w:r>
              <w:t>A2C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t>22.5 min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t>43 (1681.6)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t>0.00 ± 0.00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t>0.0%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t>0.00 ± 0.00</w:t>
            </w:r>
          </w:p>
        </w:tc>
      </w:tr>
      <w:tr>
        <w:tc>
          <w:tcPr>
            <w:tcW w:type="dxa" w:w="1140"/>
          </w:tcPr>
          <w:p>
            <w:pPr>
              <w:jc w:val="center"/>
            </w:pPr>
            <w:r>
              <w:t>PPO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t>23.5 min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t>50 (1674.7)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t>0.00 ± 0.00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t>0.0%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t>0.00 ± 0.00</w:t>
            </w:r>
          </w:p>
        </w:tc>
      </w:tr>
      <w:tr>
        <w:tc>
          <w:tcPr>
            <w:tcW w:type="dxa" w:w="1140"/>
          </w:tcPr>
          <w:p>
            <w:pPr>
              <w:jc w:val="center"/>
            </w:pPr>
            <w:r>
              <w:t>SAC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t>181.0 min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t>35 (1469.2)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t>0.00 ± 0.00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t>0.0%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140"/>
          </w:tcPr>
          <w:p>
            <w:pPr>
              <w:jc w:val="center"/>
            </w:pPr>
            <w:r>
              <w:t>0.00 ± 0.00</w:t>
            </w:r>
          </w:p>
        </w:tc>
      </w:tr>
    </w:tbl>
    <w:p/>
    <w:p>
      <w:pPr>
        <w:pStyle w:val="Heading2"/>
      </w:pPr>
      <w:r>
        <w:rPr>
          <w:color w:val="0D47A1"/>
          <w:sz w:val="26"/>
        </w:rPr>
        <w:t>4.2 CO₂ evitado y operación — 50 episodios por agente</w:t>
      </w:r>
    </w:p>
    <w:p>
      <w:r>
        <w:rPr>
          <w:b/>
        </w:rPr>
        <w:t>Tabla 4.2 — Resultados operativos 50 episodios por agente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</w:tcPr>
          <w:p>
            <w:pPr>
              <w:jc w:val="center"/>
            </w:pPr>
            <w:r>
              <w:rPr>
                <w:b/>
              </w:rPr>
              <w:t>Agente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b/>
              </w:rPr>
              <w:t>CO₂ neta 50ep (kg)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b/>
              </w:rPr>
              <w:t>CO₂ directa/ep (kg)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b/>
              </w:rPr>
              <w:t>CO₂ indir. 50ep (kg)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b/>
              </w:rPr>
              <w:t>EV total/ep (kWh)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b/>
              </w:rPr>
              <w:t>Mototaxis/ep (kWh)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b/>
              </w:rPr>
              <w:t>Grid/ep (kWh/año)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b/>
              </w:rPr>
              <w:t>BESS/ep (kWh)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rPr>
                <w:b/>
              </w:rPr>
              <w:t>Red. CO₂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>
              <w:t>A2C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t>123.017 M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t>10,874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t>112.144 M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t>265,101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t>39,902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t>7,385,447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t>632,301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t>38.53%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>
              <w:t>PPO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t>123.123 M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t>10,608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t>112.514 M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t>258,134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t>37,596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t>7,409,616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t>654,375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t>38.35%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>
              <w:t>SAC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t>121.200 M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t>10,562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t>110.638 M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t>256,686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t>36,623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t>7,409,893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t>600,809</w:t>
            </w:r>
          </w:p>
        </w:tc>
        <w:tc>
          <w:tcPr>
            <w:tcW w:type="dxa" w:w="1014"/>
          </w:tcPr>
          <w:p>
            <w:pPr>
              <w:jc w:val="center"/>
            </w:pPr>
            <w:r>
              <w:t>37.99%</w:t>
            </w:r>
          </w:p>
        </w:tc>
      </w:tr>
    </w:tbl>
    <w:p/>
    <w:p>
      <w:pPr>
        <w:pStyle w:val="Heading2"/>
      </w:pPr>
      <w:r>
        <w:rPr>
          <w:color w:val="0D47A1"/>
          <w:sz w:val="26"/>
        </w:rPr>
        <w:t>4.3 Gráficas de convergencia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9132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2_convergencia_rew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13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4.1 — Convergencia del reward por episodio: A2C, PPO, SAC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6873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c_convergencia_estable_inferi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87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4.2 — SAC: convergencia a plateau inferior vs A2C/PPO</w:t>
      </w:r>
    </w:p>
    <w:p>
      <w:r>
        <w:br w:type="page"/>
      </w:r>
    </w:p>
    <w:p>
      <w:pPr>
        <w:pStyle w:val="Heading1"/>
      </w:pPr>
      <w:r>
        <w:rPr>
          <w:color w:val="1A237E"/>
          <w:sz w:val="32"/>
        </w:rPr>
        <w:t>5. ANÁLISIS ESTADÍSTICO INFERENCIAL (18 VARIABLES)</w:t>
      </w:r>
    </w:p>
    <w:p>
      <w:r>
        <w:rPr>
          <w:sz w:val="22"/>
        </w:rPr>
        <w:t>Se analiza la significancia estadística de las diferencias entre los 3 agentes en 18 variables dependientes que cubren todos los componentes del reward multiobjetivo (CO₂, EV, BESS, grid, costos, estabilidad, solar F6). Nivel de significancia: α = 0.05. Bootstrap: B = 10,000 réplicas.</w:t>
      </w:r>
    </w:p>
    <w:p>
      <w:pPr>
        <w:pStyle w:val="Heading2"/>
      </w:pPr>
      <w:r>
        <w:rPr>
          <w:color w:val="0D47A1"/>
          <w:sz w:val="26"/>
        </w:rPr>
        <w:t>5.1 Estadística descriptiva — Principales variables</w:t>
      </w:r>
    </w:p>
    <w:p>
      <w:r>
        <w:rPr>
          <w:b/>
        </w:rPr>
        <w:t>Tabla 5.1 — Estadística descriptiva principal (n=50 ep/agente)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A2C (media ± SD)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PPO (media ± SD)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SAC (media ± SD)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CO₂ total evitado (kg/ep)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2,460.3k ± 15.7k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2,462.5k ± 14.1k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2,424.0k ± 9.1k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CO₂ directa/ep (kg)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217,470.6 ± 21,896.3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212,169.8 ± 29,741.3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211,231.0 ± 22,999.9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CO₂ indirecta/ep (kg)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2,242.9k ± 26.2k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2,250.3k ± 23.4k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2,212.8k ± 16.3k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EV total/ep (kWh)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265,101.3 ± 27,062.8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258,134.0 ± 37,022.1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256,685.7 ± 27,993.9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Mototaxis/ep (kWh)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39,901.6 ± 5,704.6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37,596.4 ± 8,534.5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36,622.7 ± 4,279.3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BESS descarga/ep (kWh)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632,300.8 ± 44,285.2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654,375.5 ± 94,642.0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600,809.3 ± 40,955.2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Grid import/ep (kWh/año)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7,385,446.5 ± 49,565.2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7,409,616.2 ± 91,883.0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7,409,893.4 ± 87,391.7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Reducción CO₂ (%)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38.5 ± 0.5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38.4 ± 1.0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38.0 ± 0.8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Violaciones deuda/ep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20.0 ± 68.7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44.4 ± 110.8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28.1 ± 95.8</w:t>
            </w:r>
          </w:p>
        </w:tc>
      </w:tr>
    </w:tbl>
    <w:p/>
    <w:p>
      <w:pPr>
        <w:pStyle w:val="Heading2"/>
      </w:pPr>
      <w:r>
        <w:rPr>
          <w:color w:val="0D47A1"/>
          <w:sz w:val="26"/>
        </w:rPr>
        <w:t>5.2 Normalidad — Shapiro-Wilk</w:t>
      </w:r>
    </w:p>
    <w:p>
      <w:r>
        <w:rPr>
          <w:sz w:val="22"/>
        </w:rPr>
        <w:t>Todas las distribuciones rechazan normalidad (Shapiro-Wilk p &lt; 0.05) → se aplican pruebas no paramétricas en todos los análisis.</w:t>
      </w:r>
    </w:p>
    <w:p>
      <w:pPr>
        <w:pStyle w:val="Heading2"/>
      </w:pPr>
      <w:r>
        <w:rPr>
          <w:color w:val="0D47A1"/>
          <w:sz w:val="26"/>
        </w:rPr>
        <w:t>5.3 Prueba global — Kruskal-Wallis</w:t>
      </w:r>
    </w:p>
    <w:p>
      <w:r>
        <w:rPr>
          <w:b/>
        </w:rPr>
        <w:t>Tabla 5.3 — Kruskal-Wallis: diferencias globales entre A2C, PPO, SAC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H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p-valor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Conclusión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CO₂ total evitado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91.62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1.27×10⁻²⁰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✓ Diferencias globales muy significativas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CO₂ directa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42.40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6.20×10⁻¹⁰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✓ Significativo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CO₂ indirecta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96.34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1.09×10⁻²¹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✓ Muy significativo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EV total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52.31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4.18×10⁻¹²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✓ Significativo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Mototaxis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55.08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1.12×10⁻¹²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✓ Significativo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BESS descarga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62.77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2.29×10⁻¹⁴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✓ Significativo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Grid import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18.74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8.59×10⁻⁵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✓ Significativo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Reducción CO₂ %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55.28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9.71×10⁻¹³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✓ Significativo</w:t>
            </w:r>
          </w:p>
        </w:tc>
      </w:tr>
    </w:tbl>
    <w:p/>
    <w:p>
      <w:pPr>
        <w:pStyle w:val="Heading2"/>
      </w:pPr>
      <w:r>
        <w:rPr>
          <w:color w:val="0D47A1"/>
          <w:sz w:val="26"/>
        </w:rPr>
        <w:t>5.4 Mann-Whitney U (independiente, one-tailed)</w:t>
      </w:r>
    </w:p>
    <w:p>
      <w:r>
        <w:rPr>
          <w:b/>
        </w:rPr>
        <w:t>Tabla 5.4 — Mann-Whitney U (one-tailed α=0.05)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/>
              </w:rPr>
              <w:t>A2C &gt; SAC (p)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/>
              </w:rPr>
              <w:t>PPO &gt; SAC (p)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/>
              </w:rPr>
              <w:t>A2C &gt; PPO (p)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/>
              </w:rPr>
              <w:t>Conclusión A2C vs PPO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t>CO₂ total evitado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3.36×10⁻¹⁷ ✓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4.43×10⁻¹⁶ ✓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0.982 NS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Equivalentes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t>CO₂ directa (ICE→EV)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4.39×10⁻⁹ ✓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0.097 NS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Equivalentes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t>CO₂ indirecta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8.64×10⁻¹⁵ ✓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0.999 NS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Equivalentes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t>EV total carga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9.39×10⁻¹⁰ ✓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0.071 NS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Equivalentes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t>Mototaxis (kWh)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3.73×10⁻¹¹ ✓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0.053 NS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Equiv. → Wilcoxon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t>BESS descarga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1.27×10⁻¹² ✓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0.029 ✓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A2C &gt; PPO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t>Solar→EV (F6a)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5.88×10⁻¹¹ ✓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0.019 ✓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A2C &gt; PPO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t>Grid import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3.94×10⁻³ ✓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0.366 NS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Equivalentes</w:t>
            </w:r>
          </w:p>
        </w:tc>
      </w:tr>
    </w:tbl>
    <w:p/>
    <w:p>
      <w:pPr>
        <w:pStyle w:val="Heading2"/>
      </w:pPr>
      <w:r>
        <w:rPr>
          <w:color w:val="0D47A1"/>
          <w:sz w:val="26"/>
        </w:rPr>
        <w:t>5.5 Wilcoxon signed-rank (pareado ep₁...ep₅₀) — criterio de desempate</w:t>
      </w:r>
    </w:p>
    <w:p>
      <w:r>
        <w:rPr>
          <w:b/>
        </w:rPr>
        <w:t>Tabla 5.5 — Wilcoxon signed-rank: A2C supera a PPO en 3 criterios clave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/>
              </w:rPr>
              <w:t>A2C &gt; PPO (W)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/>
              </w:rPr>
              <w:t>A2C &gt; PPO (p)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/>
              </w:rPr>
              <w:t>Significativo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/>
              </w:rPr>
              <w:t>Cohen d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t>Carga mototaxis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994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1.99×10⁻⁴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✓ SÍ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0.318 (small)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t>BESS descarga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variable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0.029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✓ SÍ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−0.299 (small)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t>Solar→EV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variable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0.019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✓ SÍ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0.251 (small)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t>CO₂ total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447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0.968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NS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−0.142 (negligible)</w:t>
            </w:r>
          </w:p>
        </w:tc>
      </w:tr>
    </w:tbl>
    <w:p/>
    <w:p>
      <w:pPr>
        <w:pStyle w:val="Heading2"/>
      </w:pPr>
      <w:r>
        <w:rPr>
          <w:color w:val="0D47A1"/>
          <w:sz w:val="26"/>
        </w:rPr>
        <w:t>5.6 Tamaños del efecto (A2C vs SAC)</w:t>
      </w:r>
    </w:p>
    <w:p>
      <w:r>
        <w:rPr>
          <w:b/>
        </w:rPr>
        <w:t>Tabla 5.6 — Cohen d y Cliff δ: A2C domina en 97% de pares vs SAC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b/>
              </w:rPr>
              <w:t>Cohen d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b/>
              </w:rPr>
              <w:t>Magnitud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b/>
              </w:rPr>
              <w:t>Cliff δ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b/>
              </w:rPr>
              <w:t>Magnitud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b/>
              </w:rPr>
              <w:t>IC 95% bootstrap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>
              <w:t>CO₂ total evitado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2.826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very large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0.970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large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[31,550; 41,581] kg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>
              <w:t>CO₂ indirecta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3.246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very large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0.934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large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[33,750; 42,854] kg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>
              <w:t>EV total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0.782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large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0.814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large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confirmado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>
              <w:t>Mototaxis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0.823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large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0.829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large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confirmado</w:t>
            </w:r>
          </w:p>
        </w:tc>
      </w:tr>
    </w:tbl>
    <w:p/>
    <w:p>
      <w:pPr>
        <w:pStyle w:val="Heading2"/>
      </w:pPr>
      <w:r>
        <w:rPr>
          <w:color w:val="0D47A1"/>
          <w:sz w:val="26"/>
        </w:rPr>
        <w:t>5.7 Figuras estadísticas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884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pruebas_estadisticas_o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88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5.1 — Pruebas estadísticas OE3: boxplots, Mann-Whitney, Cohen d, Bootstrap IC 95%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818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2_comparativa_multicriter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1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5.2 — Comparativa multicriterio CO₂ A2C vs PPO vs SAC (50 episodios)</w:t>
      </w:r>
    </w:p>
    <w:p>
      <w:r>
        <w:br w:type="page"/>
      </w:r>
    </w:p>
    <w:p>
      <w:pPr>
        <w:pStyle w:val="Heading1"/>
      </w:pPr>
      <w:r>
        <w:rPr>
          <w:color w:val="1A237E"/>
          <w:sz w:val="32"/>
        </w:rPr>
        <w:t>6. COSTOS TARIFARIOS Y ESTABILIDAD DE RED</w:t>
      </w:r>
    </w:p>
    <w:p>
      <w:r>
        <w:rPr>
          <w:sz w:val="22"/>
        </w:rPr>
        <w:t>Análisis de los componentes W_COST (0.02) y W_GRID_STABLE (0.02) del reward multiobjetivo, previamente no reportados.</w:t>
      </w:r>
    </w:p>
    <w:p>
      <w:pPr>
        <w:pStyle w:val="Heading2"/>
      </w:pPr>
      <w:r>
        <w:rPr>
          <w:color w:val="0D47A1"/>
          <w:sz w:val="26"/>
        </w:rPr>
        <w:t>6.1 Costos energéticos OSINERGMIN (S./año)</w:t>
      </w:r>
    </w:p>
    <w:p>
      <w:r>
        <w:rPr>
          <w:b/>
        </w:rPr>
        <w:t>Tabla 6.1 — Costos tarifarios OSINERGMIN por agente (HP=0.46 / HFP=0.29 S./kWh)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pPr>
              <w:jc w:val="center"/>
            </w:pPr>
            <w:r>
              <w:rPr>
                <w:b/>
              </w:rPr>
              <w:t>Agente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/>
              </w:rPr>
              <w:t>Costo total (S./año)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/>
              </w:rPr>
              <w:t>Costo HP 18-23h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/>
              </w:rPr>
              <w:t>Costo HFP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b/>
              </w:rPr>
              <w:t>r_cost medio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t>A2C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2,380,936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728,102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1,652,834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-0.3918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t>PPO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2,389,574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732,810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1,656,764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-0.3913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t>SAC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2,440,398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759,396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1,681,003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-0.3873</w:t>
            </w:r>
          </w:p>
        </w:tc>
      </w:tr>
    </w:tbl>
    <w:p/>
    <w:p>
      <w:pPr>
        <w:pStyle w:val="Heading2"/>
      </w:pPr>
      <w:r>
        <w:rPr>
          <w:color w:val="0D47A1"/>
          <w:sz w:val="26"/>
        </w:rPr>
        <w:t>6.2 Estabilidad de red (W_GRID_STABLE)</w:t>
      </w:r>
    </w:p>
    <w:p>
      <w:r>
        <w:rPr>
          <w:b/>
        </w:rPr>
        <w:t>Tabla 6.2 — Estabilidad de red: rampas y variabilidad grid_import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</w:tcPr>
          <w:p>
            <w:pPr>
              <w:jc w:val="center"/>
            </w:pPr>
            <w:r>
              <w:rPr>
                <w:b/>
              </w:rPr>
              <w:t>Agente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b/>
              </w:rPr>
              <w:t>r_grid_stable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b/>
              </w:rPr>
              <w:t>Rampa media (kWh/h)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b/>
              </w:rPr>
              <w:t>Rampa std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b/>
              </w:rPr>
              <w:t>CV grid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b/>
              </w:rPr>
              <w:t>Grid peak (kWh)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>
              <w:t>A2C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-0.1498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224.8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265.1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0.8563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2779.8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>
              <w:t>PPO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-0.1555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233.4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273.2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0.8703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2820.8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>
              <w:t>SAC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-0.1566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235.0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285.2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0.9190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2745.7</w:t>
            </w:r>
          </w:p>
        </w:tc>
      </w:tr>
    </w:tbl>
    <w:p/>
    <w:p>
      <w:pPr>
        <w:pStyle w:val="Heading2"/>
      </w:pPr>
      <w:r>
        <w:rPr>
          <w:color w:val="0D47A1"/>
          <w:sz w:val="26"/>
        </w:rPr>
        <w:t>6.3 Exportación solar a red Iquitos (F6d)</w:t>
      </w:r>
    </w:p>
    <w:p>
      <w:r>
        <w:rPr>
          <w:b/>
        </w:rPr>
        <w:t>Tabla 6.3 — Solar excedente exportado a red aislada Iquitos (F6d)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Agente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Export solar (kWh/año)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CO₂ desplazado (kg/año)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% gen. solar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A2C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513,546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232,174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8.8%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PPO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525,445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237,554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9.0%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SAC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510,717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230,895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8.8%</w:t>
            </w:r>
          </w:p>
        </w:tc>
      </w:tr>
    </w:tbl>
    <w:p/>
    <w:p>
      <w:pPr>
        <w:pStyle w:val="Heading2"/>
      </w:pPr>
      <w:r>
        <w:rPr>
          <w:color w:val="0D47A1"/>
          <w:sz w:val="26"/>
        </w:rPr>
        <w:t>6.4 Figuras costos y estabilidad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8796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os_tarifarios_oe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79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6.1 — Costos tarifarios OSINERGMIN HP/HFP por agente RL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8791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abilidad_red_oe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79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6.2 — Estabilidad de red: rampas grid_import y r_grid_stable por agente</w:t>
      </w:r>
    </w:p>
    <w:p>
      <w:r>
        <w:br w:type="page"/>
      </w:r>
    </w:p>
    <w:p>
      <w:pPr>
        <w:pStyle w:val="Heading1"/>
      </w:pPr>
      <w:r>
        <w:rPr>
          <w:color w:val="1A237E"/>
          <w:sz w:val="32"/>
        </w:rPr>
        <w:t>7. CONTROL OPERATIVO BESS/EV POR HORA</w:t>
      </w:r>
    </w:p>
    <w:p>
      <w:r>
        <w:rPr>
          <w:sz w:val="22"/>
        </w:rPr>
        <w:t>El análisis del patrón operativo horario revela diferencias cualitativas decisivas entre los agentes, particularmente en la gestión de la hora punta (18-23h).</w:t>
      </w:r>
    </w:p>
    <w:p>
      <w:pPr>
        <w:pStyle w:val="Heading2"/>
      </w:pPr>
      <w:r>
        <w:rPr>
          <w:color w:val="0D47A1"/>
          <w:sz w:val="26"/>
        </w:rPr>
        <w:t>7.1 Grid import por hora del día (peak-shaving)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0471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operativo_bess_ev_oe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47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7.1 — Patrón operativo BESS/EV: grid_import, BESS SOC y EV carga por hora</w:t>
      </w:r>
    </w:p>
    <w:p>
      <w:pPr>
        <w:pStyle w:val="Heading2"/>
      </w:pPr>
      <w:r>
        <w:rPr>
          <w:color w:val="0D47A1"/>
          <w:sz w:val="26"/>
        </w:rPr>
        <w:t>7.2 Comparativa HP: A2C vs PPO vs SAC</w:t>
      </w:r>
    </w:p>
    <w:p>
      <w:r>
        <w:rPr>
          <w:b/>
        </w:rPr>
        <w:t>Tabla 7.1 — Grid import por período: A2C hace peak-shaving 3-7× más efectivo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</w:tcPr>
          <w:p>
            <w:pPr>
              <w:jc w:val="center"/>
            </w:pPr>
            <w:r>
              <w:rPr>
                <w:b/>
              </w:rPr>
              <w:t>Hora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b/>
              </w:rPr>
              <w:t>Contexto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b/>
              </w:rPr>
              <w:t>A2C grid (kWh/h)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b/>
              </w:rPr>
              <w:t>PPO grid (kWh/h)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b/>
              </w:rPr>
              <w:t>SAC grid (kWh/h)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b/>
              </w:rPr>
              <w:t>Mejor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>
              <w:t>h06-h17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Solar + carga BESS (HFP)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~620-800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~580-750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~610-780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PPO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>
              <w:t>h18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Inicio HP — BESS descarga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~287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~1,909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~420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A2C ✓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>
              <w:t>h19-h21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HP pico — peak-shaving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~400-693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~1,960-2,011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~440-456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A2C ✓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>
              <w:t>h22-h23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Fin HP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~350-500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~1,800-1,900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~380-440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A2C ✓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>
              <w:t>h00-h05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Noche — BESS recarga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~620-2,114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~435-531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~580-650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PPO</w:t>
            </w:r>
          </w:p>
        </w:tc>
      </w:tr>
    </w:tbl>
    <w:p/>
    <w:p>
      <w:r>
        <w:rPr>
          <w:sz w:val="22"/>
        </w:rPr>
        <w:t>A2C entra a HP con BESS SOC=0.88-0.94 (pre-cargado en solar), absorbiendo el pico. PPO concentra carga EV en HP creando pico de importación 3-7× mayor. SAC evita parcialmente HP pero a costa de debt_violations en primeros episodios.</w:t>
      </w:r>
    </w:p>
    <w:p>
      <w:r>
        <w:br w:type="page"/>
      </w:r>
    </w:p>
    <w:p>
      <w:pPr>
        <w:pStyle w:val="Heading1"/>
      </w:pPr>
      <w:r>
        <w:rPr>
          <w:color w:val="1A237E"/>
          <w:sz w:val="32"/>
        </w:rPr>
        <w:t>8. SELECCIÓN DEL AGENTE MULTIOBJETIVO</w:t>
      </w:r>
    </w:p>
    <w:p>
      <w:pPr>
        <w:pStyle w:val="Heading2"/>
      </w:pPr>
      <w:r>
        <w:rPr>
          <w:color w:val="0D47A1"/>
          <w:sz w:val="26"/>
        </w:rPr>
        <w:t>8.1 Agente seleccionado: A2C</w:t>
      </w:r>
    </w:p>
    <w:p>
      <w:r>
        <w:rPr>
          <w:sz w:val="22"/>
        </w:rPr>
        <w:t>El agente **A2C** es seleccionado por el criterio multiobjetivo operacional sobre n=50 episodios, respaldado por evidencia estadística de 18 variables con pruebas no paramétricas (α=0.05).</w:t>
      </w:r>
    </w:p>
    <w:p>
      <w:pPr>
        <w:pStyle w:val="Heading2"/>
      </w:pPr>
      <w:r>
        <w:rPr>
          <w:color w:val="0D47A1"/>
          <w:sz w:val="26"/>
        </w:rPr>
        <w:t>8.2 Justificación estadística completa</w:t>
      </w:r>
    </w:p>
    <w:p>
      <w:r>
        <w:rPr>
          <w:b/>
        </w:rPr>
        <w:t>Tabla 8.1 — Evidencia estadística para selección A2C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Criterio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Evidencia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p-valor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/>
              </w:rPr>
              <w:t>Efecto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Kruskal-Wallis global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Diferencias globales significativas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1.27×10⁻²⁰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H=91.62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A2C &gt; SAC CO₂ total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Mann-Whitney U=2462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3.36×10⁻¹⁷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Cliff δ=0.970 very large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PPO &gt; SAC CO₂ total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Mann-Whitney U=2417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4.43×10⁻¹⁶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Cliff δ=0.934 very large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A2C ≡ PPO CO₂ total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Estadísticamente equivalentes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p=0.982 NS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Cohen d=−0.142 negligible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A2C &gt; PPO mototaxis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Wilcoxon pareado W=994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1.99×10⁻⁴ ✓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Cohen d=0.318 small — DESEMPATE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A2C &gt; PPO BESS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Mann-Whitney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0.029 ✓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Cohen d=−0.299 small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A2C &gt; PPO solar→EV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Mann-Whitney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0.019 ✓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Cohen d=0.251 small</w:t>
            </w:r>
          </w:p>
        </w:tc>
      </w:tr>
    </w:tbl>
    <w:p/>
    <w:p>
      <w:pPr>
        <w:pStyle w:val="Heading2"/>
      </w:pPr>
      <w:r>
        <w:rPr>
          <w:color w:val="0D47A1"/>
          <w:sz w:val="26"/>
        </w:rPr>
        <w:t>8.3 Ranking multiobjetivo — 9 criterios</w:t>
      </w:r>
    </w:p>
    <w:p>
      <w:r>
        <w:rPr>
          <w:b/>
        </w:rPr>
        <w:t>Tabla 8.2 — Ranking multiobjetivo OE3 (50 episodios/agente)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</w:tcPr>
          <w:p>
            <w:pPr>
              <w:jc w:val="center"/>
            </w:pPr>
            <w:r>
              <w:rPr>
                <w:b/>
              </w:rPr>
              <w:t>Agente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b/>
              </w:rPr>
              <w:t>CO₂ evitado 50ep (kg)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b/>
              </w:rPr>
              <w:t>F2 mínimo (kg/año)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b/>
              </w:rPr>
              <w:t>EV equiv. 50ep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b/>
              </w:rPr>
              <w:t>Red. vs F0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b/>
              </w:rPr>
              <w:t>Score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rPr>
                <w:b/>
              </w:rPr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>
              <w:t>A2C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t>123,017,056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t>3,642,436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t>4,302,379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t>48.36%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t>?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t>★ SELECCIONADO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>
              <w:t>PPO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t>123,122,792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t>3,658,366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t>4,197,493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t>48.14%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t>?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</w:p>
        </w:tc>
      </w:tr>
      <w:tr>
        <w:tc>
          <w:tcPr>
            <w:tcW w:type="dxa" w:w="1303"/>
          </w:tcPr>
          <w:p>
            <w:pPr>
              <w:jc w:val="center"/>
            </w:pPr>
            <w:r>
              <w:t>SAC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t>121,199,821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t>3,695,754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t>4,178,910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t>47.61%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t>?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</w:p>
        </w:tc>
      </w:tr>
    </w:tbl>
    <w:p/>
    <w:p>
      <w:pPr>
        <w:pStyle w:val="Heading2"/>
      </w:pPr>
      <w:r>
        <w:rPr>
          <w:color w:val="0D47A1"/>
          <w:sz w:val="26"/>
        </w:rPr>
        <w:t>8.4 Figura comparativa final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5522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a_criterios_seleccion_oe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52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8.1 — Tabla canónica de criterios de selección OE3</w:t>
      </w:r>
    </w:p>
    <w:p>
      <w:r>
        <w:br w:type="page"/>
      </w:r>
    </w:p>
    <w:p>
      <w:pPr>
        <w:pStyle w:val="Heading1"/>
      </w:pPr>
      <w:r>
        <w:rPr>
          <w:color w:val="1A237E"/>
          <w:sz w:val="32"/>
        </w:rPr>
        <w:t>9. CONCLUSIONES</w:t>
      </w:r>
    </w:p>
    <w:p>
      <w:pPr>
        <w:pStyle w:val="Heading2"/>
      </w:pPr>
      <w:r>
        <w:rPr>
          <w:color w:val="0D47A1"/>
          <w:sz w:val="26"/>
        </w:rPr>
        <w:t>9.1 Conclusión principal</w:t>
      </w:r>
    </w:p>
    <w:p>
      <w:r>
        <w:rPr>
          <w:sz w:val="22"/>
        </w:rPr>
        <w:t>El agente A2C (Advantage Actor-Critic) es el mejor para el control multiobjetivo de carga EV con solar PV + BESS en la red aislada de Iquitos, con evidencia estadística muy fuerte (Kruskal-Wallis H=91.62, p=1.27×10⁻²⁰).</w:t>
      </w:r>
    </w:p>
    <w:p>
      <w:pPr>
        <w:pStyle w:val="Heading2"/>
      </w:pPr>
      <w:r>
        <w:rPr>
          <w:color w:val="0D47A1"/>
          <w:sz w:val="26"/>
        </w:rPr>
        <w:t>9.2 Hallazgos por objetivo</w:t>
      </w:r>
    </w:p>
    <w:p>
      <w:r>
        <w:rPr>
          <w:b/>
        </w:rPr>
        <w:t>Tabla 9.1 — Conclusiones por hallazgo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Hallazgo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Evidencia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Implicancia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A2C reduce 38.53% CO₂ vs F0 en 50 eps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μ=2,460,341 kg/ep evitados (n=50, CV&lt;0.5%)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Viable para defensa de hipótesis H₁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SAC descartado con evidencia extrema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Cliff δ=0.970 (A2C&gt;SAC), p=3.36×10⁻¹⁷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SAC converge a plateau inferior (~1,464 vs ~1,676 reward)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A2C=PPO en CO₂ total (empate estadístico)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p=0.982 (NS), Cohen d=−0.142 negligible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electricity_pricing (nuevo obs_dim=19) reduce ventaja A2C en CO₂ indirecto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A2C gana en mototaxis vs PPO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Wilcoxon p=1.99×10⁻⁴, Cohen d=0.318 small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Criterio de desempate: satisfacción flota vulnerable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A2C peak-shaving 3-7× superior a PPO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HP grid: A2C 287-693 vs PPO 1,909-2,011 kWh/h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BESS pre-cargado en solar, descarga en HP — control operativo superior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Costo A2C: 2,426,823 S./año (no sig. vs PPO: 2,379,304)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p=0.628 NS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PPO menor costo, no significativo — no cambia selección</w:t>
            </w:r>
          </w:p>
        </w:tc>
      </w:tr>
    </w:tbl>
    <w:p/>
    <w:p>
      <w:pPr>
        <w:pStyle w:val="Heading2"/>
      </w:pPr>
      <w:r>
        <w:rPr>
          <w:color w:val="0D47A1"/>
          <w:sz w:val="26"/>
        </w:rPr>
        <w:t>9.3 Limitaciones</w:t>
      </w:r>
    </w:p>
    <w:p>
      <w:r>
        <w:rPr>
          <w:sz w:val="22"/>
        </w:rPr>
        <w:t>• obs_dim=19 incluye electricity_pricing como señal observable — cambio vs run obs_dim=18 que podría afectar reproducibilidad con versiones anteriores.</w:t>
        <w:br/>
        <w:t>• SAC requiere ~205 min GPU vs ~22-24 min A2C/PPO — inviable para reentrenamiento frecuente.</w:t>
        <w:br/>
        <w:t>• n=50 episodios determinado por saturación estadística (CV&lt;0.5%); mayor n podría detectar diferencias menores A2C vs PPO.</w:t>
      </w:r>
    </w:p>
    <w:p>
      <w:pPr>
        <w:pStyle w:val="Heading2"/>
      </w:pPr>
      <w:r>
        <w:rPr>
          <w:color w:val="0D47A1"/>
          <w:sz w:val="26"/>
        </w:rPr>
        <w:t>9.4 Trabajo futuro</w:t>
      </w:r>
    </w:p>
    <w:p>
      <w:r>
        <w:rPr>
          <w:sz w:val="22"/>
        </w:rPr>
        <w:t>• Validación con datos meteorológicos 2025-2026 (actualmente usa TMY PVGIS 2024).</w:t>
        <w:br/>
        <w:t>• Prueba con obs_dim=19 en escenario Lima (SIN grid, carros eléctricos).</w:t>
        <w:br/>
        <w:t>• Comparativa con MAPPO/MASAC para control multi-agente distribuido.</w:t>
        <w:br/>
        <w:t>• Integración con hardware real (cargadores IoT, SCADA solar, BMS BESS).</w:t>
      </w:r>
    </w:p>
    <w:p>
      <w:r>
        <w:br w:type="page"/>
      </w:r>
    </w:p>
    <w:p>
      <w:pPr>
        <w:pStyle w:val="Heading1"/>
      </w:pPr>
      <w:r>
        <w:rPr>
          <w:color w:val="1A237E"/>
          <w:sz w:val="32"/>
        </w:rPr>
        <w:t>ANEXOS</w:t>
      </w:r>
    </w:p>
    <w:p>
      <w:pPr>
        <w:pStyle w:val="Heading2"/>
      </w:pPr>
      <w:r>
        <w:rPr>
          <w:color w:val="0D47A1"/>
          <w:sz w:val="26"/>
        </w:rPr>
        <w:t>A. Configuración completa del entorno</w:t>
      </w:r>
    </w:p>
    <w:p>
      <w:r>
        <w:rPr>
          <w:b/>
        </w:rPr>
        <w:t>Tabla A.1 — Configuración del entorno de simulación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b/>
              </w:rPr>
              <w:t>Parámetro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b/>
              </w:rPr>
              <w:t>Valor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>
              <w:t>Python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t>3.11.9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>
              <w:t>stable-baselines3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t>2.x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>
              <w:t>CityLearn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t>2.5.0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>
              <w:t>PyTorch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t>2.5.1+cu121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>
              <w:t>GPU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t>NVIDIA GeForce RTX 4060 Laptop (8.6 GB VRAM)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>
              <w:t>CUDA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t>12.1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>
              <w:t>obs_dim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t>19 (base=12 CityLearn + 5 EV + 2 tarifa)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>
              <w:t>action_dim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t>3 [bess(-1,1), motos_frac(0,1), mototaxis_frac(0,1)]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>
              <w:t>VecNormalize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t>norm_obs=True, norm_reward=True, clip_obs=10, clip_reward=10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>
              <w:t>Semilla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t>42 (random_seed schema + RNG bootstrap)</w:t>
            </w:r>
          </w:p>
        </w:tc>
      </w:tr>
    </w:tbl>
    <w:p/>
    <w:p>
      <w:pPr>
        <w:pStyle w:val="Heading2"/>
      </w:pPr>
      <w:r>
        <w:rPr>
          <w:color w:val="0D47A1"/>
          <w:sz w:val="26"/>
        </w:rPr>
        <w:t>B. Archivos generados</w:t>
      </w:r>
    </w:p>
    <w:p>
      <w:r>
        <w:rPr>
          <w:b/>
        </w:rPr>
        <w:t>Tabla B.1 — Archivos generados por el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Archivo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Ruta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b/>
              </w:rPr>
              <w:t>Contenido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agents_comparison_canonical.json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reports/oe3/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Ranking multiobjetivo canónico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reporte_estadistico_oe3.md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outputs/estadistica_oe3/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Análisis estadístico 18 variables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costos_estabilidad_consolidado.csv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outputs/estadistica_oe3/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Costos y estabilidad consolidados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a2c_final.zip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checkpoints/A2C_CityLearn/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Modelo A2C entrenado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ppo_final.zip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checkpoints/PPO_CityLearn/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Modelo PPO entrenado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sac_final.zip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checkpoints/SAC_CityLearn/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Modelo SAC entrenado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trace_a2c/ppo/sac.csv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outputs/{ag}_training/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Traza completa per-step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timeseries_*.csv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outputs/{ag}_training/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Series temporales anuales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