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5.4 Análisis de Sensibilidad y Consideraciones Operacionales</w:t>
      </w:r>
    </w:p>
    <w:p>
      <w:r>
        <w:t>En esta sección se evalúa cómo variaciones en parámetros clave del sistema afectan el desempeño del agente SAC. Se incluyen análisis de robustez bajo perturbaciones, impacto de cambios en pesos de recompensa, y consideraciones para operación en campo.</w:t>
      </w:r>
    </w:p>
    <w:p>
      <w:pPr>
        <w:pStyle w:val="Heading3"/>
      </w:pPr>
      <w:r>
        <w:t>5.4.1 Sensibilidad a Pesos de Recompensa Multi-Objetivo</w:t>
      </w:r>
    </w:p>
    <w:p>
      <w:r>
        <w:t>El desempeño del agente SAC depende de los pesos asignados a cada objetivo. Se evaluó el impacto de incrementar w_CO₂ (de 0.35 a 0.60) y w_EV (de 0.30 a 0.15) manteniendo suma = 1.0.</w:t>
      </w:r>
    </w:p>
    <w:p>
      <w:pPr/>
      <w:r>
        <w:t>Tabla 5.4.1.1: Sensibilidad de SAC a Variaciones en Pesos de Recompensa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Escenario</w:t>
            </w:r>
          </w:p>
        </w:tc>
        <w:tc>
          <w:tcPr>
            <w:tcW w:type="dxa" w:w="1234"/>
          </w:tcPr>
          <w:p>
            <w:r>
              <w:t>w_CO₂</w:t>
            </w:r>
          </w:p>
        </w:tc>
        <w:tc>
          <w:tcPr>
            <w:tcW w:type="dxa" w:w="1234"/>
          </w:tcPr>
          <w:p>
            <w:r>
              <w:t>w_EV</w:t>
            </w:r>
          </w:p>
        </w:tc>
        <w:tc>
          <w:tcPr>
            <w:tcW w:type="dxa" w:w="1234"/>
          </w:tcPr>
          <w:p>
            <w:r>
              <w:t>CO₂ (kg)</w:t>
            </w:r>
          </w:p>
        </w:tc>
        <w:tc>
          <w:tcPr>
            <w:tcW w:type="dxa" w:w="1234"/>
          </w:tcPr>
          <w:p>
            <w:r>
              <w:t>EVs/año</w:t>
            </w:r>
          </w:p>
        </w:tc>
        <w:tc>
          <w:tcPr>
            <w:tcW w:type="dxa" w:w="1234"/>
          </w:tcPr>
          <w:p>
            <w:r>
              <w:t>Cambio CO₂</w:t>
            </w:r>
          </w:p>
        </w:tc>
        <w:tc>
          <w:tcPr>
            <w:tcW w:type="dxa" w:w="1234"/>
          </w:tcPr>
          <w:p>
            <w:r>
              <w:t>Observación</w:t>
            </w:r>
          </w:p>
        </w:tc>
      </w:tr>
      <w:tr>
        <w:tc>
          <w:tcPr>
            <w:tcW w:type="dxa" w:w="1234"/>
          </w:tcPr>
          <w:p>
            <w:r>
              <w:t>BASE (Actual)</w:t>
            </w:r>
          </w:p>
        </w:tc>
        <w:tc>
          <w:tcPr>
            <w:tcW w:type="dxa" w:w="1234"/>
          </w:tcPr>
          <w:p>
            <w:r>
              <w:t>0.35</w:t>
            </w:r>
          </w:p>
        </w:tc>
        <w:tc>
          <w:tcPr>
            <w:tcW w:type="dxa" w:w="1234"/>
          </w:tcPr>
          <w:p>
            <w:r>
              <w:t>0.30</w:t>
            </w:r>
          </w:p>
        </w:tc>
        <w:tc>
          <w:tcPr>
            <w:tcW w:type="dxa" w:w="1234"/>
          </w:tcPr>
          <w:p>
            <w:r>
              <w:t>1,303,273</w:t>
            </w:r>
          </w:p>
        </w:tc>
        <w:tc>
          <w:tcPr>
            <w:tcW w:type="dxa" w:w="1234"/>
          </w:tcPr>
          <w:p>
            <w:r>
              <w:t>3,500</w:t>
            </w:r>
          </w:p>
        </w:tc>
        <w:tc>
          <w:tcPr>
            <w:tcW w:type="dxa" w:w="1234"/>
          </w:tcPr>
          <w:p>
            <w:r>
              <w:t>—</w:t>
            </w:r>
          </w:p>
        </w:tc>
        <w:tc>
          <w:tcPr>
            <w:tcW w:type="dxa" w:w="1234"/>
          </w:tcPr>
          <w:p>
            <w:r>
              <w:t>Configuración operacional</w:t>
            </w:r>
          </w:p>
        </w:tc>
      </w:tr>
      <w:tr>
        <w:tc>
          <w:tcPr>
            <w:tcW w:type="dxa" w:w="1234"/>
          </w:tcPr>
          <w:p>
            <w:r>
              <w:t>HIGH CO₂</w:t>
            </w:r>
          </w:p>
        </w:tc>
        <w:tc>
          <w:tcPr>
            <w:tcW w:type="dxa" w:w="1234"/>
          </w:tcPr>
          <w:p>
            <w:r>
              <w:t>0.60</w:t>
            </w:r>
          </w:p>
        </w:tc>
        <w:tc>
          <w:tcPr>
            <w:tcW w:type="dxa" w:w="1234"/>
          </w:tcPr>
          <w:p>
            <w:r>
              <w:t>0.15</w:t>
            </w:r>
          </w:p>
        </w:tc>
        <w:tc>
          <w:tcPr>
            <w:tcW w:type="dxa" w:w="1234"/>
          </w:tcPr>
          <w:p>
            <w:r>
              <w:t>1,285,000</w:t>
            </w:r>
          </w:p>
        </w:tc>
        <w:tc>
          <w:tcPr>
            <w:tcW w:type="dxa" w:w="1234"/>
          </w:tcPr>
          <w:p>
            <w:r>
              <w:t>2,800</w:t>
            </w:r>
          </w:p>
        </w:tc>
        <w:tc>
          <w:tcPr>
            <w:tcW w:type="dxa" w:w="1234"/>
          </w:tcPr>
          <w:p>
            <w:r>
              <w:t>−1.4%</w:t>
            </w:r>
          </w:p>
        </w:tc>
        <w:tc>
          <w:tcPr>
            <w:tcW w:type="dxa" w:w="1234"/>
          </w:tcPr>
          <w:p>
            <w:r>
              <w:t>Prioriza CO₂; pierde EVs</w:t>
            </w:r>
          </w:p>
        </w:tc>
      </w:tr>
      <w:tr>
        <w:tc>
          <w:tcPr>
            <w:tcW w:type="dxa" w:w="1234"/>
          </w:tcPr>
          <w:p>
            <w:r>
              <w:t>BALANCED</w:t>
            </w:r>
          </w:p>
        </w:tc>
        <w:tc>
          <w:tcPr>
            <w:tcW w:type="dxa" w:w="1234"/>
          </w:tcPr>
          <w:p>
            <w:r>
              <w:t>0.40</w:t>
            </w:r>
          </w:p>
        </w:tc>
        <w:tc>
          <w:tcPr>
            <w:tcW w:type="dxa" w:w="1234"/>
          </w:tcPr>
          <w:p>
            <w:r>
              <w:t>0.25</w:t>
            </w:r>
          </w:p>
        </w:tc>
        <w:tc>
          <w:tcPr>
            <w:tcW w:type="dxa" w:w="1234"/>
          </w:tcPr>
          <w:p>
            <w:r>
              <w:t>1,295,000</w:t>
            </w:r>
          </w:p>
        </w:tc>
        <w:tc>
          <w:tcPr>
            <w:tcW w:type="dxa" w:w="1234"/>
          </w:tcPr>
          <w:p>
            <w:r>
              <w:t>3,300</w:t>
            </w:r>
          </w:p>
        </w:tc>
        <w:tc>
          <w:tcPr>
            <w:tcW w:type="dxa" w:w="1234"/>
          </w:tcPr>
          <w:p>
            <w:r>
              <w:t>−0.6%</w:t>
            </w:r>
          </w:p>
        </w:tc>
        <w:tc>
          <w:tcPr>
            <w:tcW w:type="dxa" w:w="1234"/>
          </w:tcPr>
          <w:p>
            <w:r>
              <w:t>Balance mejorado</w:t>
            </w:r>
          </w:p>
        </w:tc>
      </w:tr>
      <w:tr>
        <w:tc>
          <w:tcPr>
            <w:tcW w:type="dxa" w:w="1234"/>
          </w:tcPr>
          <w:p>
            <w:r>
              <w:t>HIGH EV</w:t>
            </w:r>
          </w:p>
        </w:tc>
        <w:tc>
          <w:tcPr>
            <w:tcW w:type="dxa" w:w="1234"/>
          </w:tcPr>
          <w:p>
            <w:r>
              <w:t>0.20</w:t>
            </w:r>
          </w:p>
        </w:tc>
        <w:tc>
          <w:tcPr>
            <w:tcW w:type="dxa" w:w="1234"/>
          </w:tcPr>
          <w:p>
            <w:r>
              <w:t>0.45</w:t>
            </w:r>
          </w:p>
        </w:tc>
        <w:tc>
          <w:tcPr>
            <w:tcW w:type="dxa" w:w="1234"/>
          </w:tcPr>
          <w:p>
            <w:r>
              <w:t>1,320,100</w:t>
            </w:r>
          </w:p>
        </w:tc>
        <w:tc>
          <w:tcPr>
            <w:tcW w:type="dxa" w:w="1234"/>
          </w:tcPr>
          <w:p>
            <w:r>
              <w:t>3,500</w:t>
            </w:r>
          </w:p>
        </w:tc>
        <w:tc>
          <w:tcPr>
            <w:tcW w:type="dxa" w:w="1234"/>
          </w:tcPr>
          <w:p>
            <w:r>
              <w:t>+1.3%</w:t>
            </w:r>
          </w:p>
        </w:tc>
        <w:tc>
          <w:tcPr>
            <w:tcW w:type="dxa" w:w="1234"/>
          </w:tcPr>
          <w:p>
            <w:r>
              <w:t>Máximas EVs; CO₂ sube</w:t>
            </w:r>
          </w:p>
        </w:tc>
      </w:tr>
      <w:tr>
        <w:tc>
          <w:tcPr>
            <w:tcW w:type="dxa" w:w="1234"/>
          </w:tcPr>
          <w:p>
            <w:r>
              <w:t>EQUAL</w:t>
            </w:r>
          </w:p>
        </w:tc>
        <w:tc>
          <w:tcPr>
            <w:tcW w:type="dxa" w:w="1234"/>
          </w:tcPr>
          <w:p>
            <w:r>
              <w:t>0.25</w:t>
            </w:r>
          </w:p>
        </w:tc>
        <w:tc>
          <w:tcPr>
            <w:tcW w:type="dxa" w:w="1234"/>
          </w:tcPr>
          <w:p>
            <w:r>
              <w:t>0.25</w:t>
            </w:r>
          </w:p>
        </w:tc>
        <w:tc>
          <w:tcPr>
            <w:tcW w:type="dxa" w:w="1234"/>
          </w:tcPr>
          <w:p>
            <w:r>
              <w:t>1,310,500</w:t>
            </w:r>
          </w:p>
        </w:tc>
        <w:tc>
          <w:tcPr>
            <w:tcW w:type="dxa" w:w="1234"/>
          </w:tcPr>
          <w:p>
            <w:r>
              <w:t>3,450</w:t>
            </w:r>
          </w:p>
        </w:tc>
        <w:tc>
          <w:tcPr>
            <w:tcW w:type="dxa" w:w="1234"/>
          </w:tcPr>
          <w:p>
            <w:r>
              <w:t>+0.5%</w:t>
            </w:r>
          </w:p>
        </w:tc>
        <w:tc>
          <w:tcPr>
            <w:tcW w:type="dxa" w:w="1234"/>
          </w:tcPr>
          <w:p>
            <w:r>
              <w:t>Pesos iguales</w:t>
            </w:r>
          </w:p>
        </w:tc>
      </w:tr>
    </w:tbl>
    <w:p>
      <w:r>
        <w:t>**Interpretación**: El agente actual (w_CO₂=0.35, w_EV=0.30) es óptimo. Incrementar w_CO₂ reduce emisiones solo −1.4% pero pierde 700 EVs. La configuración BASE logra el mejor balance Pareto.</w:t>
      </w:r>
    </w:p>
    <w:p>
      <w:pPr>
        <w:pStyle w:val="Heading3"/>
      </w:pPr>
      <w:r>
        <w:t>5.4.2 Robustez del Agente ante Perturbaciones Operacionales</w:t>
      </w:r>
    </w:p>
    <w:p>
      <w:r>
        <w:t>Se evaluó el desempeño de SAC bajo escenarios de fallo o degradación:</w:t>
      </w:r>
    </w:p>
    <w:p>
      <w:pPr/>
      <w:r>
        <w:t>Tabla 5.4.2.1: Desempeño SAC bajo Perturbaciones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Perturbación</w:t>
            </w:r>
          </w:p>
        </w:tc>
        <w:tc>
          <w:tcPr>
            <w:tcW w:type="dxa" w:w="1440"/>
          </w:tcPr>
          <w:p>
            <w:r>
              <w:t>Severidad</w:t>
            </w:r>
          </w:p>
        </w:tc>
        <w:tc>
          <w:tcPr>
            <w:tcW w:type="dxa" w:w="1440"/>
          </w:tcPr>
          <w:p>
            <w:r>
              <w:t>CO₂ (kg)</w:t>
            </w:r>
          </w:p>
        </w:tc>
        <w:tc>
          <w:tcPr>
            <w:tcW w:type="dxa" w:w="1440"/>
          </w:tcPr>
          <w:p>
            <w:r>
              <w:t>EVs/año</w:t>
            </w:r>
          </w:p>
        </w:tc>
        <w:tc>
          <w:tcPr>
            <w:tcW w:type="dxa" w:w="1440"/>
          </w:tcPr>
          <w:p>
            <w:r>
              <w:t>Degradación</w:t>
            </w:r>
          </w:p>
        </w:tc>
        <w:tc>
          <w:tcPr>
            <w:tcW w:type="dxa" w:w="1440"/>
          </w:tcPr>
          <w:p>
            <w:r>
              <w:t>Mitigación</w:t>
            </w:r>
          </w:p>
        </w:tc>
      </w:tr>
      <w:tr>
        <w:tc>
          <w:tcPr>
            <w:tcW w:type="dxa" w:w="1440"/>
          </w:tcPr>
          <w:p>
            <w:r>
              <w:t>NOMINAL</w:t>
            </w:r>
          </w:p>
        </w:tc>
        <w:tc>
          <w:tcPr>
            <w:tcW w:type="dxa" w:w="1440"/>
          </w:tcPr>
          <w:p>
            <w:r>
              <w:t>—</w:t>
            </w:r>
          </w:p>
        </w:tc>
        <w:tc>
          <w:tcPr>
            <w:tcW w:type="dxa" w:w="1440"/>
          </w:tcPr>
          <w:p>
            <w:r>
              <w:t>1,303,273</w:t>
            </w:r>
          </w:p>
        </w:tc>
        <w:tc>
          <w:tcPr>
            <w:tcW w:type="dxa" w:w="1440"/>
          </w:tcPr>
          <w:p>
            <w:r>
              <w:t>3,500</w:t>
            </w:r>
          </w:p>
        </w:tc>
        <w:tc>
          <w:tcPr>
            <w:tcW w:type="dxa" w:w="1440"/>
          </w:tcPr>
          <w:p>
            <w:r>
              <w:t>—</w:t>
            </w:r>
          </w:p>
        </w:tc>
        <w:tc>
          <w:tcPr>
            <w:tcW w:type="dxa" w:w="1440"/>
          </w:tcPr>
          <w:p>
            <w:r>
              <w:t>Estado operacional</w:t>
            </w:r>
          </w:p>
        </w:tc>
      </w:tr>
      <w:tr>
        <w:tc>
          <w:tcPr>
            <w:tcW w:type="dxa" w:w="1440"/>
          </w:tcPr>
          <w:p>
            <w:r>
              <w:t>PV −30%</w:t>
            </w:r>
          </w:p>
        </w:tc>
        <w:tc>
          <w:tcPr>
            <w:tcW w:type="dxa" w:w="1440"/>
          </w:tcPr>
          <w:p>
            <w:r>
              <w:t>Verano nublado</w:t>
            </w:r>
          </w:p>
        </w:tc>
        <w:tc>
          <w:tcPr>
            <w:tcW w:type="dxa" w:w="1440"/>
          </w:tcPr>
          <w:p>
            <w:r>
              <w:t>1,425,000</w:t>
            </w:r>
          </w:p>
        </w:tc>
        <w:tc>
          <w:tcPr>
            <w:tcW w:type="dxa" w:w="1440"/>
          </w:tcPr>
          <w:p>
            <w:r>
              <w:t>3,350</w:t>
            </w:r>
          </w:p>
        </w:tc>
        <w:tc>
          <w:tcPr>
            <w:tcW w:type="dxa" w:w="1440"/>
          </w:tcPr>
          <w:p>
            <w:r>
              <w:t>+9.3%</w:t>
            </w:r>
          </w:p>
        </w:tc>
        <w:tc>
          <w:tcPr>
            <w:tcW w:type="dxa" w:w="1440"/>
          </w:tcPr>
          <w:p>
            <w:r>
              <w:t>Importar más grid; BESS optimiza</w:t>
            </w:r>
          </w:p>
        </w:tc>
      </w:tr>
      <w:tr>
        <w:tc>
          <w:tcPr>
            <w:tcW w:type="dxa" w:w="1440"/>
          </w:tcPr>
          <w:p>
            <w:r>
              <w:t>BESS fallo (50% cap)</w:t>
            </w:r>
          </w:p>
        </w:tc>
        <w:tc>
          <w:tcPr>
            <w:tcW w:type="dxa" w:w="1440"/>
          </w:tcPr>
          <w:p>
            <w:r>
              <w:t>Degradación batería</w:t>
            </w:r>
          </w:p>
        </w:tc>
        <w:tc>
          <w:tcPr>
            <w:tcW w:type="dxa" w:w="1440"/>
          </w:tcPr>
          <w:p>
            <w:r>
              <w:t>1,510,000</w:t>
            </w:r>
          </w:p>
        </w:tc>
        <w:tc>
          <w:tcPr>
            <w:tcW w:type="dxa" w:w="1440"/>
          </w:tcPr>
          <w:p>
            <w:r>
              <w:t>2,950</w:t>
            </w:r>
          </w:p>
        </w:tc>
        <w:tc>
          <w:tcPr>
            <w:tcW w:type="dxa" w:w="1440"/>
          </w:tcPr>
          <w:p>
            <w:r>
              <w:t>+16.0%</w:t>
            </w:r>
          </w:p>
        </w:tc>
        <w:tc>
          <w:tcPr>
            <w:tcW w:type="dxa" w:w="1440"/>
          </w:tcPr>
          <w:p>
            <w:r>
              <w:t>Reduce descarga pico; reoptimizar</w:t>
            </w:r>
          </w:p>
        </w:tc>
      </w:tr>
      <w:tr>
        <w:tc>
          <w:tcPr>
            <w:tcW w:type="dxa" w:w="1440"/>
          </w:tcPr>
          <w:p>
            <w:r>
              <w:t>Chargers +50% demand</w:t>
            </w:r>
          </w:p>
        </w:tc>
        <w:tc>
          <w:tcPr>
            <w:tcW w:type="dxa" w:w="1440"/>
          </w:tcPr>
          <w:p>
            <w:r>
              <w:t>Crecimiento motos</w:t>
            </w:r>
          </w:p>
        </w:tc>
        <w:tc>
          <w:tcPr>
            <w:tcW w:type="dxa" w:w="1440"/>
          </w:tcPr>
          <w:p>
            <w:r>
              <w:t>1,680,000</w:t>
            </w:r>
          </w:p>
        </w:tc>
        <w:tc>
          <w:tcPr>
            <w:tcW w:type="dxa" w:w="1440"/>
          </w:tcPr>
          <w:p>
            <w:r>
              <w:t>5,250</w:t>
            </w:r>
          </w:p>
        </w:tc>
        <w:tc>
          <w:tcPr>
            <w:tcW w:type="dxa" w:w="1440"/>
          </w:tcPr>
          <w:p>
            <w:r>
              <w:t>+28.9%</w:t>
            </w:r>
          </w:p>
        </w:tc>
        <w:tc>
          <w:tcPr>
            <w:tcW w:type="dxa" w:w="1440"/>
          </w:tcPr>
          <w:p>
            <w:r>
              <w:t>Insuficiente capacidad; expandir</w:t>
            </w:r>
          </w:p>
        </w:tc>
      </w:tr>
      <w:tr>
        <w:tc>
          <w:tcPr>
            <w:tcW w:type="dxa" w:w="1440"/>
          </w:tcPr>
          <w:p>
            <w:r>
              <w:t>Tarifa grid ×2</w:t>
            </w:r>
          </w:p>
        </w:tc>
        <w:tc>
          <w:tcPr>
            <w:tcW w:type="dxa" w:w="1440"/>
          </w:tcPr>
          <w:p>
            <w:r>
              <w:t>Crisis energética</w:t>
            </w:r>
          </w:p>
        </w:tc>
        <w:tc>
          <w:tcPr>
            <w:tcW w:type="dxa" w:w="1440"/>
          </w:tcPr>
          <w:p>
            <w:r>
              <w:t>1,295,000</w:t>
            </w:r>
          </w:p>
        </w:tc>
        <w:tc>
          <w:tcPr>
            <w:tcW w:type="dxa" w:w="1440"/>
          </w:tcPr>
          <w:p>
            <w:r>
              <w:t>3,480</w:t>
            </w:r>
          </w:p>
        </w:tc>
        <w:tc>
          <w:tcPr>
            <w:tcW w:type="dxa" w:w="1440"/>
          </w:tcPr>
          <w:p>
            <w:r>
              <w:t>−0.6%</w:t>
            </w:r>
          </w:p>
        </w:tc>
        <w:tc>
          <w:tcPr>
            <w:tcW w:type="dxa" w:w="1440"/>
          </w:tcPr>
          <w:p>
            <w:r>
              <w:t>SAC reduce importación más</w:t>
            </w:r>
          </w:p>
        </w:tc>
      </w:tr>
      <w:tr>
        <w:tc>
          <w:tcPr>
            <w:tcW w:type="dxa" w:w="1440"/>
          </w:tcPr>
          <w:p>
            <w:r>
              <w:t>BESS SOC min 0%</w:t>
            </w:r>
          </w:p>
        </w:tc>
        <w:tc>
          <w:tcPr>
            <w:tcW w:type="dxa" w:w="1440"/>
          </w:tcPr>
          <w:p>
            <w:r>
              <w:t>MaxCycle (risky)</w:t>
            </w:r>
          </w:p>
        </w:tc>
        <w:tc>
          <w:tcPr>
            <w:tcW w:type="dxa" w:w="1440"/>
          </w:tcPr>
          <w:p>
            <w:r>
              <w:t>1,198,000</w:t>
            </w:r>
          </w:p>
        </w:tc>
        <w:tc>
          <w:tcPr>
            <w:tcW w:type="dxa" w:w="1440"/>
          </w:tcPr>
          <w:p>
            <w:r>
              <w:t>3,200</w:t>
            </w:r>
          </w:p>
        </w:tc>
        <w:tc>
          <w:tcPr>
            <w:tcW w:type="dxa" w:w="1440"/>
          </w:tcPr>
          <w:p>
            <w:r>
              <w:t>−7.6%</w:t>
            </w:r>
          </w:p>
        </w:tc>
        <w:tc>
          <w:tcPr>
            <w:tcW w:type="dxa" w:w="1440"/>
          </w:tcPr>
          <w:p>
            <w:r>
              <w:t>Riesgo; usar con cautela</w:t>
            </w:r>
          </w:p>
        </w:tc>
      </w:tr>
    </w:tbl>
    <w:p>
      <w:r>
        <w:t>**Hallazgos clave**: (1) SAC es robusto a degradación PV (−30%) con impacto controlado (+9.3%). (2) Fallo BESS (+16%) es crítico. (3) Crecimiento EV (+50%) requiere expandir capacidad. (4) SAC se adapta bien a cambios tarifarios. (5) Reducir SOC_min mejora CO₂ pero compromete batería.</w:t>
      </w:r>
    </w:p>
    <w:p>
      <w:pPr>
        <w:pStyle w:val="Heading3"/>
      </w:pPr>
      <w:r>
        <w:t>5.4.3 Escalabilidad del Sistema a Mayor Demanda EV</w:t>
      </w:r>
    </w:p>
    <w:p>
      <w:r>
        <w:t>Se proyectó el desempeño de SAC bajo expansiones de infraestructura (más chargers, mayor PV):</w:t>
      </w:r>
    </w:p>
    <w:p>
      <w:pPr/>
      <w:r>
        <w:t>Tabla 5.4.3.1: Proyección de SAC con Infraestructura Expandida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Expansión</w:t>
            </w:r>
          </w:p>
        </w:tc>
        <w:tc>
          <w:tcPr>
            <w:tcW w:type="dxa" w:w="1234"/>
          </w:tcPr>
          <w:p>
            <w:r>
              <w:t>Chargers</w:t>
            </w:r>
          </w:p>
        </w:tc>
        <w:tc>
          <w:tcPr>
            <w:tcW w:type="dxa" w:w="1234"/>
          </w:tcPr>
          <w:p>
            <w:r>
              <w:t>PV (kWp)</w:t>
            </w:r>
          </w:p>
        </w:tc>
        <w:tc>
          <w:tcPr>
            <w:tcW w:type="dxa" w:w="1234"/>
          </w:tcPr>
          <w:p>
            <w:r>
              <w:t>BESS (kWh)</w:t>
            </w:r>
          </w:p>
        </w:tc>
        <w:tc>
          <w:tcPr>
            <w:tcW w:type="dxa" w:w="1234"/>
          </w:tcPr>
          <w:p>
            <w:r>
              <w:t>EVs /año Est.</w:t>
            </w:r>
          </w:p>
        </w:tc>
        <w:tc>
          <w:tcPr>
            <w:tcW w:type="dxa" w:w="1234"/>
          </w:tcPr>
          <w:p>
            <w:r>
              <w:t>CO₂ (kg)</w:t>
            </w:r>
          </w:p>
        </w:tc>
        <w:tc>
          <w:tcPr>
            <w:tcW w:type="dxa" w:w="1234"/>
          </w:tcPr>
          <w:p>
            <w:r>
              <w:t>Reentrenamiento</w:t>
            </w:r>
          </w:p>
        </w:tc>
      </w:tr>
      <w:tr>
        <w:tc>
          <w:tcPr>
            <w:tcW w:type="dxa" w:w="1234"/>
          </w:tcPr>
          <w:p>
            <w:r>
              <w:t>ACTUAL (v57)</w:t>
            </w:r>
          </w:p>
        </w:tc>
        <w:tc>
          <w:tcPr>
            <w:tcW w:type="dxa" w:w="1234"/>
          </w:tcPr>
          <w:p>
            <w:r>
              <w:t>38 sockets</w:t>
            </w:r>
          </w:p>
        </w:tc>
        <w:tc>
          <w:tcPr>
            <w:tcW w:type="dxa" w:w="1234"/>
          </w:tcPr>
          <w:p>
            <w:r>
              <w:t>4,050</w:t>
            </w:r>
          </w:p>
        </w:tc>
        <w:tc>
          <w:tcPr>
            <w:tcW w:type="dxa" w:w="1234"/>
          </w:tcPr>
          <w:p>
            <w:r>
              <w:t>2,000</w:t>
            </w:r>
          </w:p>
        </w:tc>
        <w:tc>
          <w:tcPr>
            <w:tcW w:type="dxa" w:w="1234"/>
          </w:tcPr>
          <w:p>
            <w:r>
              <w:t>3,500</w:t>
            </w:r>
          </w:p>
        </w:tc>
        <w:tc>
          <w:tcPr>
            <w:tcW w:type="dxa" w:w="1234"/>
          </w:tcPr>
          <w:p>
            <w:r>
              <w:t>1,303,273</w:t>
            </w:r>
          </w:p>
        </w:tc>
        <w:tc>
          <w:tcPr>
            <w:tcW w:type="dxa" w:w="1234"/>
          </w:tcPr>
          <w:p>
            <w:r>
              <w:t>—</w:t>
            </w:r>
          </w:p>
        </w:tc>
      </w:tr>
      <w:tr>
        <w:tc>
          <w:tcPr>
            <w:tcW w:type="dxa" w:w="1234"/>
          </w:tcPr>
          <w:p>
            <w:r>
              <w:t>+50% Chargers</w:t>
            </w:r>
          </w:p>
        </w:tc>
        <w:tc>
          <w:tcPr>
            <w:tcW w:type="dxa" w:w="1234"/>
          </w:tcPr>
          <w:p>
            <w:r>
              <w:t>57 sockets</w:t>
            </w:r>
          </w:p>
        </w:tc>
        <w:tc>
          <w:tcPr>
            <w:tcW w:type="dxa" w:w="1234"/>
          </w:tcPr>
          <w:p>
            <w:r>
              <w:t>6,075</w:t>
            </w:r>
          </w:p>
        </w:tc>
        <w:tc>
          <w:tcPr>
            <w:tcW w:type="dxa" w:w="1234"/>
          </w:tcPr>
          <w:p>
            <w:r>
              <w:t>3,000</w:t>
            </w:r>
          </w:p>
        </w:tc>
        <w:tc>
          <w:tcPr>
            <w:tcW w:type="dxa" w:w="1234"/>
          </w:tcPr>
          <w:p>
            <w:r>
              <w:t>5,250</w:t>
            </w:r>
          </w:p>
        </w:tc>
        <w:tc>
          <w:tcPr>
            <w:tcW w:type="dxa" w:w="1234"/>
          </w:tcPr>
          <w:p>
            <w:r>
              <w:t>1,680,000</w:t>
            </w:r>
          </w:p>
        </w:tc>
        <w:tc>
          <w:tcPr>
            <w:tcW w:type="dxa" w:w="1234"/>
          </w:tcPr>
          <w:p>
            <w:r>
              <w:t>Mínimo</w:t>
            </w:r>
          </w:p>
        </w:tc>
      </w:tr>
      <w:tr>
        <w:tc>
          <w:tcPr>
            <w:tcW w:type="dxa" w:w="1234"/>
          </w:tcPr>
          <w:p>
            <w:r>
              <w:t>+100% Infrastr</w:t>
            </w:r>
          </w:p>
        </w:tc>
        <w:tc>
          <w:tcPr>
            <w:tcW w:type="dxa" w:w="1234"/>
          </w:tcPr>
          <w:p>
            <w:r>
              <w:t>76 sockets</w:t>
            </w:r>
          </w:p>
        </w:tc>
        <w:tc>
          <w:tcPr>
            <w:tcW w:type="dxa" w:w="1234"/>
          </w:tcPr>
          <w:p>
            <w:r>
              <w:t>8,100</w:t>
            </w:r>
          </w:p>
        </w:tc>
        <w:tc>
          <w:tcPr>
            <w:tcW w:type="dxa" w:w="1234"/>
          </w:tcPr>
          <w:p>
            <w:r>
              <w:t>4,000</w:t>
            </w:r>
          </w:p>
        </w:tc>
        <w:tc>
          <w:tcPr>
            <w:tcW w:type="dxa" w:w="1234"/>
          </w:tcPr>
          <w:p>
            <w:r>
              <w:t>7,000</w:t>
            </w:r>
          </w:p>
        </w:tc>
        <w:tc>
          <w:tcPr>
            <w:tcW w:type="dxa" w:w="1234"/>
          </w:tcPr>
          <w:p>
            <w:r>
              <w:t>2,240,000</w:t>
            </w:r>
          </w:p>
        </w:tc>
        <w:tc>
          <w:tcPr>
            <w:tcW w:type="dxa" w:w="1234"/>
          </w:tcPr>
          <w:p>
            <w:r>
              <w:t>Moderado</w:t>
            </w:r>
          </w:p>
        </w:tc>
      </w:tr>
      <w:tr>
        <w:tc>
          <w:tcPr>
            <w:tcW w:type="dxa" w:w="1234"/>
          </w:tcPr>
          <w:p>
            <w:r>
              <w:t>Solar Farm only</w:t>
            </w:r>
          </w:p>
        </w:tc>
        <w:tc>
          <w:tcPr>
            <w:tcW w:type="dxa" w:w="1234"/>
          </w:tcPr>
          <w:p>
            <w:r>
              <w:t>38 sockets</w:t>
            </w:r>
          </w:p>
        </w:tc>
        <w:tc>
          <w:tcPr>
            <w:tcW w:type="dxa" w:w="1234"/>
          </w:tcPr>
          <w:p>
            <w:r>
              <w:t>10,000</w:t>
            </w:r>
          </w:p>
        </w:tc>
        <w:tc>
          <w:tcPr>
            <w:tcW w:type="dxa" w:w="1234"/>
          </w:tcPr>
          <w:p>
            <w:r>
              <w:t>2,000</w:t>
            </w:r>
          </w:p>
        </w:tc>
        <w:tc>
          <w:tcPr>
            <w:tcW w:type="dxa" w:w="1234"/>
          </w:tcPr>
          <w:p>
            <w:r>
              <w:t>3,500</w:t>
            </w:r>
          </w:p>
        </w:tc>
        <w:tc>
          <w:tcPr>
            <w:tcW w:type="dxa" w:w="1234"/>
          </w:tcPr>
          <w:p>
            <w:r>
              <w:t>980,000</w:t>
            </w:r>
          </w:p>
        </w:tc>
        <w:tc>
          <w:tcPr>
            <w:tcW w:type="dxa" w:w="1234"/>
          </w:tcPr>
          <w:p>
            <w:r>
              <w:t>Mínimo</w:t>
            </w:r>
          </w:p>
        </w:tc>
      </w:tr>
      <w:tr>
        <w:tc>
          <w:tcPr>
            <w:tcW w:type="dxa" w:w="1234"/>
          </w:tcPr>
          <w:p>
            <w:r>
              <w:t>Hybrid +Carga Rápida</w:t>
            </w:r>
          </w:p>
        </w:tc>
        <w:tc>
          <w:tcPr>
            <w:tcW w:type="dxa" w:w="1234"/>
          </w:tcPr>
          <w:p>
            <w:r>
              <w:t>38 + 4 DC</w:t>
            </w:r>
          </w:p>
        </w:tc>
        <w:tc>
          <w:tcPr>
            <w:tcW w:type="dxa" w:w="1234"/>
          </w:tcPr>
          <w:p>
            <w:r>
              <w:t>5,500</w:t>
            </w:r>
          </w:p>
        </w:tc>
        <w:tc>
          <w:tcPr>
            <w:tcW w:type="dxa" w:w="1234"/>
          </w:tcPr>
          <w:p>
            <w:r>
              <w:t>3,500</w:t>
            </w:r>
          </w:p>
        </w:tc>
        <w:tc>
          <w:tcPr>
            <w:tcW w:type="dxa" w:w="1234"/>
          </w:tcPr>
          <w:p>
            <w:r>
              <w:t>4,200</w:t>
            </w:r>
          </w:p>
        </w:tc>
        <w:tc>
          <w:tcPr>
            <w:tcW w:type="dxa" w:w="1234"/>
          </w:tcPr>
          <w:p>
            <w:r>
              <w:t>1,450,000</w:t>
            </w:r>
          </w:p>
        </w:tc>
        <w:tc>
          <w:tcPr>
            <w:tcW w:type="dxa" w:w="1234"/>
          </w:tcPr>
          <w:p>
            <w:r>
              <w:t>Nuevo training</w:t>
            </w:r>
          </w:p>
        </w:tc>
      </w:tr>
    </w:tbl>
    <w:p>
      <w:r>
        <w:t>La escalabilidad es **lineal**: duplicar infraestructura duplica EVs cargados. SAC reentrenamiento se requiere solo para configuraciones radicales (carga rápida DC). Recomendación: Expandir primero chargers AC (más baratos) antes que PV.</w:t>
      </w:r>
    </w:p>
    <w:p>
      <w:pPr>
        <w:pStyle w:val="Heading3"/>
      </w:pPr>
      <w:r>
        <w:t>5.4.4 Consideraciones Operacionales en Campo</w:t>
      </w:r>
    </w:p>
    <w:p>
      <w:r>
        <w:t>Recomendaciones para implementación operacional de SAC en Iquitos:</w:t>
      </w:r>
    </w:p>
    <w:p>
      <w:r>
        <w:t>**1. Monitoreo en Tiempo Real**</w:t>
        <w:br/>
        <w:t xml:space="preserve">   → Registrar estado BESS (SOC, T), generación PV, demanda EV cada 15 minutos</w:t>
        <w:br/>
        <w:t xml:space="preserve">   → Alertas si CO₂ grid &gt; 0.50 kg/kWh (generador diesel a máximo)</w:t>
        <w:br/>
        <w:t xml:space="preserve">   → Alertas si BESS &lt; 20% SOC (parar descarga; proteger batería)</w:t>
        <w:br/>
        <w:br/>
        <w:t>**2. Actualizaciones de Modelo SAC**</w:t>
        <w:br/>
        <w:t xml:space="preserve">   → Reentrenar cada trimestre con datos operacionales nuevos</w:t>
        <w:br/>
        <w:t xml:space="preserve">   → Verificar si demanda EV ha crecido (ajustar w_EV si necesario)</w:t>
        <w:br/>
        <w:t xml:space="preserve">   → Evaluar desempeño real vs simulado cada mes</w:t>
        <w:br/>
        <w:br/>
        <w:t>**3. Fallback y Contingencia**</w:t>
        <w:br/>
        <w:t xml:space="preserve">   → Si SAC falla: usar regla SIMPLE (carga EV 23:00-04:00, BESS descarga 18:00-20:00)</w:t>
        <w:br/>
        <w:t xml:space="preserve">   → Loss de CO₂ ~5% pero operación garantizada</w:t>
        <w:br/>
        <w:t xml:space="preserve">   → Tiempo de rollback: &lt; 5 minutos</w:t>
        <w:br/>
        <w:br/>
        <w:t>**4. Comunicación con Usuarios EV**</w:t>
        <w:br/>
        <w:t xml:space="preserve">   → Informar timing de carga óptima (SAC decide la hora)</w:t>
        <w:br/>
        <w:t xml:space="preserve">   → Si demanda urgente: permitir carga manual (pero penalizar en recompensa)</w:t>
        <w:br/>
        <w:t xml:space="preserve">   → Dashboard público: mostrar CO₂ ahorrado diariamente</w:t>
        <w:br/>
        <w:br/>
        <w:t>**5. Mantenimiento de Infraestructura**</w:t>
        <w:br/>
        <w:t xml:space="preserve">   → Inspección PV: trimestral (limpieza, defectos)</w:t>
        <w:br/>
        <w:t xml:space="preserve">   → Inspección BESS: mensual (temperatura, voltaje celda)</w:t>
        <w:br/>
        <w:t xml:space="preserve">   → Calibración sensor SOC: anual (importante para SAC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