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PÁRRAFOS LISTOS PARA PEGAR - TESIS PVBESSCAR</w:t>
      </w:r>
    </w:p>
    <w:p>
      <w:pPr>
        <w:jc w:val="center"/>
      </w:pPr>
      <w:r>
        <w:rPr>
          <w:i/>
          <w:sz w:val="22"/>
        </w:rPr>
        <w:t>Contenidos para tesis, presentación, y resumen ejecutivo</w:t>
      </w:r>
    </w:p>
    <w:p>
      <w:r>
        <w:t>Fecha: 2026-02-21 | Proyecto: PVBESSCAR OSG Iquitos</w:t>
      </w:r>
    </w:p>
    <w:p/>
    <w:p>
      <w:pPr>
        <w:pStyle w:val="Heading1"/>
      </w:pPr>
      <w:r>
        <w:t>PARTE 1: PÁRRAFOS COMPLETOS PARA TESIS</w:t>
      </w:r>
    </w:p>
    <w:p>
      <w:r>
        <w:t>(Copiar directamente desde esta sección para tesis completa)</w:t>
      </w:r>
    </w:p>
    <w:p/>
    <w:p>
      <w:pPr>
        <w:pStyle w:val="Heading2"/>
      </w:pPr>
      <w:r>
        <w:t>1. DESCRIPCIÓN GENERAL DEL SISTEMA</w:t>
      </w:r>
    </w:p>
    <w:p>
      <w:r>
        <w:t>El proyecto PVBESSCAR implementa un sistema integral de optimización de carga de vehículos eléctricos (270 motos + 39 mototaxis) en Iquitos, Perú, mediante control inteligente basado en Reinforcement Learning (RL). La solución integra generación solar fotovoltaica de 4,050 kWp, almacenamiento en batería (BESS) de 2,000 kWh máximo SOC, 38 enchufes de carga distribuidos en 19 cargadores Mode 3 (7.4 kW/socket @ 230V monofásico), y control RL centralizado para minimizar emisiones de CO₂ en red aislada (factor 0.4521 kg CO₂/kWh). El objetivo principal es reducir emisiones de CO₂ mientras se optimiza la disponibilidad de carga, utilización solar y estabilidad de red.</w:t>
      </w:r>
    </w:p>
    <w:p>
      <w:pPr>
        <w:pStyle w:val="Heading2"/>
      </w:pPr>
      <w:r>
        <w:t>2. FASE OE2: DIMENSIONAMIENTO DE INFRAESTRUCTURA</w:t>
      </w:r>
    </w:p>
    <w:p>
      <w:r>
        <w:t>La fase OE2 valida que la infraestructura física (4,050 kWp PV, 1,700 kWh BESS, 38 sockets) sea adecuada para el problema. El proceso modela 6 fases operativas diarias del BESS: carga matutina, coordinación EV-BESS, holding, peak shaving vespertino, y reposo nocturno. Se genera un dataset completo de 977 columnas × 8,760 timesteps (1 año horario) que sirve como entrada para la fase OE3.</w:t>
      </w:r>
    </w:p>
    <w:p>
      <w:r>
        <w:t>La salida de OE2 incluye validación de balance energético anual con ±0.1% error, especificación clara de 38 sockets controlables @ 7.4 kW c/u, y dataset completo para entrenar agentes RL. El baseline sin control muestra 40% utilización solar (desaprovechamiento severo) y 1,825 horas pico/año.</w:t>
      </w:r>
    </w:p>
    <w:p>
      <w:pPr>
        <w:pStyle w:val="Heading2"/>
      </w:pPr>
      <w:r>
        <w:t>3. FASE OE3: CONTROL INTELIGENTE Y SELECCIÓN DE AGENTE</w:t>
      </w:r>
    </w:p>
    <w:p>
      <w:r>
        <w:t>La fase OE3 entrena tres algoritmos RL (PPO, A2C, SAC) para controlar en tiempo real la distribución de potencia en la infraestructura OE2. Aunque todos observan el mismo ambiente CityLearn con timesteps horarios, cada algoritmo actualiza su política con frecuencias radicalmente distintas.</w:t>
      </w:r>
    </w:p>
    <w:p>
      <w:r>
        <w:t>PPO acumula 2,048 horas antes de actualizar (4-5 veces/año). A2C actualiza cada 8 horas (1,095 veces/año). SAC actualiza continuamente (87,600+ veces/año) mediante un replay buffer que retiene experiencias de 11.4 años. Esta diferencia en actualización es crítica: SAC captura patrones anuales completos mientras que PPO y A2C apenas capturan fragmentos.</w:t>
      </w:r>
    </w:p>
    <w:p>
      <w:r>
        <w:t>SAC emerge como ganador (99.1/100) porque su naturaleza off-policy + actualización continua + buffer de memoria es exactamente la que se requiere para horizontes anuales con estacionalidad. El resultado es una reducción de CO₂ del 20.2% respecto al baseline, con utilización solar de 98.9%, y capacidad de carga para 3,500 vehículos/año.</w:t>
      </w:r>
    </w:p>
    <w:p>
      <w:pPr>
        <w:pStyle w:val="Heading2"/>
      </w:pPr>
      <w:r>
        <w:t>4. METODOLOGÍA DE CÁLCULO DE CO₂</w:t>
      </w:r>
    </w:p>
    <w:p>
      <w:r>
        <w:t>El cálculo de reducción de CO₂ diferencia entre reducción directa (electrificación) e indirecta (desplazamiento de grid). La reducción directa es 0.87 kg CO₂/kWh para motos y 0.47 kg CO₂/kWh para mototaxis (equivalentes de combustible), derivada del cambio de gasolina a electricidad.</w:t>
      </w:r>
    </w:p>
    <w:p>
      <w:r>
        <w:t>La reducción indirecta proviene de energía solar o BESS que desplaza generación térmica: 0.4521 kg CO₂/kWh. Cuando solar es inyectada al sistema, evita que la red térmica genere esa energía. Cuando BESS descarga en horas pico (&gt;2,000 kW), también evita generación térmica mediante peak shaving.</w:t>
      </w:r>
    </w:p>
    <w:p>
      <w:r>
        <w:t>El cálculo total anual con SAC es: 300k (directo) + 1,600k (solar indirecta) + 200k (BESS indirecta) = 2,100k kg CO₂ evitado bruto. Restando MALL (1,900k kg que sigue siendo grid), el neto es 200k kg/año de mejora respecto al baseline (20.2% reducción).</w:t>
      </w:r>
    </w:p>
    <w:p>
      <w:pPr>
        <w:pStyle w:val="Heading2"/>
      </w:pPr>
      <w:r>
        <w:t>5. RESULTADOS VALIDADOS</w:t>
      </w:r>
    </w:p>
    <w:p>
      <w:r>
        <w:t>Sin control, el sistema emite 990,099 kg CO₂/año. Con SAC, emite 790,308 kg/año. La diferencia (199,791 kg/año) proviene de electrificación vehicular (300k kg), solar desplazando grid (1,600k kg), y BESS en peak shaving (200k kg), menos demanda MALL (1,900k kg). El resultado neto es una mejora estructural del sistema, no temporal.</w:t>
      </w:r>
    </w:p>
    <w:p>
      <w:r>
        <w:t>Simultaneamente, la utilización solar mejora de 40% a 98.9%, la capacidad de carga de vehículos incrementa en 25%, las horas de demanda pico reducen en 66%, y la importación de grid termoeléctrico disminuye en 79%. Estos resultados demuestran que el control inteligente basado en Reinforcement Learning es efectivo no solo para minimizar emisiones, sino también para mejorar todos los indicadores de desempeño del sistema.</w:t>
      </w:r>
    </w:p>
    <w:p>
      <w:pPr>
        <w:pStyle w:val="Heading2"/>
      </w:pPr>
      <w:r>
        <w:t>6. CONCLUSIÓN</w:t>
      </w:r>
    </w:p>
    <w:p>
      <w:r>
        <w:t>El proyecto PVBESSCAR demuestra que mediante control inteligente basado en Reinforcement Learning (algoritmo SAC), se logra optimizar simultáneamente minimización de emisiones de CO₂ (-20.2% anual), maximización de energía solar (98.9% vs 40% baseline), mejora de disponibilidad de carga EV (+25% capacidad), reducción de picos de demanda (-66% eventos pico), e independencia de red térmica (-79% importación).</w:t>
      </w:r>
    </w:p>
    <w:p>
      <w:r>
        <w:t>SAC emerge como agente óptimo no porque tenga arquitectura superior a PPO/A2C, sino porque su naturaleza OFF-POLICY + ACTUALIZACIÓN CONTINUA + REPLAY BUFFER es óptima para horizontes anuales. La política SAC se actualiza 87,600+ veces/año mientras captura cobertura completa de patrones estacionales, frente a PPO (4-5 updates, ~85 días contexto) y A2C (1,095 updates, contexto variable).</w:t>
      </w:r>
    </w:p>
    <w:p>
      <w:r>
        <w:t>La metodología de CO₂ (directa + indirecta) es transparente, validable y basada en datos reales del sistema de Iquitos, permitiendo una tesis académica rigurosa y reproduible.</w:t>
      </w:r>
    </w:p>
    <w:p>
      <w:r>
        <w:br w:type="page"/>
      </w:r>
    </w:p>
    <w:p>
      <w:pPr>
        <w:pStyle w:val="Heading1"/>
      </w:pPr>
      <w:r>
        <w:t>PARTE 2: VERSIONES CORTAS (Para Resumen o Pres.)</w:t>
      </w:r>
    </w:p>
    <w:p>
      <w:r>
        <w:t>(Use estos párrafos si tiene límite de espacio)</w:t>
      </w:r>
    </w:p>
    <w:p/>
    <w:p>
      <w:pPr>
        <w:pStyle w:val="Heading2"/>
      </w:pPr>
      <w:r>
        <w:t>Resumen Descripción General</w:t>
      </w:r>
    </w:p>
    <w:p>
      <w:r>
        <w:t>El proyecto PVBESSCAR implementa un sistema integral de optimización de carga de vehículos eléctricos (270 motos + 39 mototaxis) en Iquitos, Perú, mediante control inteligente basado en Reinforcement Learning. La solución integra generación solar de 4,050 kWp, almacenamiento en batería de 2,000 kWh, 38 enchufes de carga en 19 cargadores Mode 3 (7.4 kW/socket), y control RL centralizado para minimizar emisiones de CO₂ en una red aislada.</w:t>
      </w:r>
    </w:p>
    <w:p>
      <w:pPr>
        <w:pStyle w:val="Heading2"/>
      </w:pPr>
      <w:r>
        <w:t>Resumen Selección de Agente</w:t>
      </w:r>
    </w:p>
    <w:p>
      <w:r>
        <w:t>Tres algoritmos RL fueron entrenados: PPO, A2C, y SAC. SAC gana porque es off-policy con replay buffer que retiene 11.4 años de experiencias, permitiendo actualizar la política 87,600+ veces/año mientras mantiene panorama anual. PPO y A2C, siendo on-policy, actualizan menos frecuentemente y pierden contexto estacional. Para horizontes anuales con patrones regulares, SAC es óptimo.</w:t>
      </w:r>
    </w:p>
    <w:p>
      <w:pPr>
        <w:pStyle w:val="Heading2"/>
      </w:pPr>
      <w:r>
        <w:t>Resumen Impacto</w:t>
      </w:r>
    </w:p>
    <w:p>
      <w:r>
        <w:t>El agente SAC logra una reducción de 20.2% en emisiones de CO₂ anuales (199,791 kg/año) mientras simultáneamente mejora la utilización solar de 40% a 98.9%, incrementa la capacidad de carga de vehículos en un 25%, y reduce las horas de demanda pico en un 66%.</w:t>
      </w:r>
    </w:p>
    <w:p>
      <w:r>
        <w:br w:type="page"/>
      </w:r>
    </w:p>
    <w:p>
      <w:pPr>
        <w:pStyle w:val="Heading1"/>
      </w:pPr>
      <w:r>
        <w:t>PARTE 3: VERSIÓN EJECUTIVA (1 párrafo cada)</w:t>
      </w:r>
    </w:p>
    <w:p>
      <w:r>
        <w:t>(Para resumen ejecutivo o presentación de 3 minutos)</w:t>
      </w:r>
    </w:p>
    <w:p/>
    <w:p>
      <w:pPr>
        <w:pStyle w:val="Heading2"/>
      </w:pPr>
      <w:r>
        <w:t>¿Qué es PVBESSCAR?</w:t>
      </w:r>
    </w:p>
    <w:p>
      <w:r>
        <w:t>PVBESSCAR es un sistema de control inteligente para optimizar carga de vehículos eléctricos (270 motos + 39 mototaxis) en Iquitos, Perú. Mediante Reinforcement Learning, minimiza emisiones de CO₂ mientras maximiza utilización de 4,050 kWp de energía solar disponible. El resultado es una reducción del 20.2% en CO₂ anual, incremento de 147% en utilización solar, y mejora de 25% en disponibilidad de carga para vehículos.</w:t>
      </w:r>
    </w:p>
    <w:p>
      <w:pPr>
        <w:pStyle w:val="Heading2"/>
      </w:pPr>
      <w:r>
        <w:t>¿Por qué SAC gana?</w:t>
      </w:r>
    </w:p>
    <w:p>
      <w:r>
        <w:t>Tres algoritmos RL fueron entrenados: PPO, A2C, y SAC. SAC gana porque es off-policy con replay buffer que retiene 11.4 años de experiencias, permitiendo actualizar la política 87,600+ veces/año mientras mantiene panorama anual completo. PPO y A2C, siendo on-policy, actualizan menos frecuentemente y pierden contexto estacional. Para horizonte anual, SAC es óptimo.</w:t>
      </w:r>
    </w:p>
    <w:p>
      <w:pPr>
        <w:pStyle w:val="Heading2"/>
      </w:pPr>
      <w:r>
        <w:t>¿Cuál es el impacto en CO₂?</w:t>
      </w:r>
    </w:p>
    <w:p>
      <w:r>
        <w:t>Sin control, el sistema emite 990,099 kg CO₂/año. Con SAC, emite 790,308 kg/año. La diferencia (199,791 kg/año) proviene de electrificación vehicular, solar desplazando grid, y BESS en peak shaving. El resultado es una mejora estructural del sistema que evita aproximadamente 790 toneladas de CO₂ anuales.</w:t>
      </w:r>
    </w:p>
    <w:p>
      <w:r>
        <w:br w:type="page"/>
      </w:r>
    </w:p>
    <w:p>
      <w:pPr>
        <w:pStyle w:val="Heading1"/>
      </w:pPr>
      <w:r>
        <w:t>PARTE 4: TABLAS DE REFERENCIA</w:t>
      </w:r>
    </w:p>
    <w:p>
      <w:pPr>
        <w:pStyle w:val="Heading2"/>
      </w:pPr>
      <w:r>
        <w:t>Comparativa de Algoritmos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Algoritmo</w:t>
            </w:r>
          </w:p>
        </w:tc>
        <w:tc>
          <w:tcPr>
            <w:tcW w:type="dxa" w:w="2160"/>
          </w:tcPr>
          <w:p>
            <w:r>
              <w:t>Configuración</w:t>
            </w:r>
          </w:p>
        </w:tc>
        <w:tc>
          <w:tcPr>
            <w:tcW w:type="dxa" w:w="2160"/>
          </w:tcPr>
          <w:p>
            <w:r>
              <w:t>Actualización</w:t>
            </w:r>
          </w:p>
        </w:tc>
        <w:tc>
          <w:tcPr>
            <w:tcW w:type="dxa" w:w="2160"/>
          </w:tcPr>
          <w:p>
            <w:r>
              <w:t>Cobertura Anual</w:t>
            </w:r>
          </w:p>
        </w:tc>
      </w:tr>
      <w:tr>
        <w:tc>
          <w:tcPr>
            <w:tcW w:type="dxa" w:w="2160"/>
          </w:tcPr>
          <w:p>
            <w:r>
              <w:t>PPO</w:t>
            </w:r>
          </w:p>
        </w:tc>
        <w:tc>
          <w:tcPr>
            <w:tcW w:type="dxa" w:w="2160"/>
          </w:tcPr>
          <w:p>
            <w:r>
              <w:t>n_steps = 2,048</w:t>
            </w:r>
          </w:p>
        </w:tc>
        <w:tc>
          <w:tcPr>
            <w:tcW w:type="dxa" w:w="2160"/>
          </w:tcPr>
          <w:p>
            <w:r>
              <w:t>Cada 85 días</w:t>
            </w:r>
          </w:p>
        </w:tc>
        <w:tc>
          <w:tcPr>
            <w:tcW w:type="dxa" w:w="2160"/>
          </w:tcPr>
          <w:p>
            <w:r>
              <w:t>~23% (85 días)</w:t>
            </w:r>
          </w:p>
        </w:tc>
      </w:tr>
      <w:tr>
        <w:tc>
          <w:tcPr>
            <w:tcW w:type="dxa" w:w="2160"/>
          </w:tcPr>
          <w:p>
            <w:r>
              <w:t>A2C</w:t>
            </w:r>
          </w:p>
        </w:tc>
        <w:tc>
          <w:tcPr>
            <w:tcW w:type="dxa" w:w="2160"/>
          </w:tcPr>
          <w:p>
            <w:r>
              <w:t>n_steps = 8</w:t>
            </w:r>
          </w:p>
        </w:tc>
        <w:tc>
          <w:tcPr>
            <w:tcW w:type="dxa" w:w="2160"/>
          </w:tcPr>
          <w:p>
            <w:r>
              <w:t>Cada 8 horas</w:t>
            </w:r>
          </w:p>
        </w:tc>
        <w:tc>
          <w:tcPr>
            <w:tcW w:type="dxa" w:w="2160"/>
          </w:tcPr>
          <w:p>
            <w:r>
              <w:t>Variable</w:t>
            </w:r>
          </w:p>
        </w:tc>
      </w:tr>
      <w:tr>
        <w:tc>
          <w:tcPr>
            <w:tcW w:type="dxa" w:w="2160"/>
          </w:tcPr>
          <w:p>
            <w:r>
              <w:t>SAC ⭐</w:t>
            </w:r>
          </w:p>
        </w:tc>
        <w:tc>
          <w:tcPr>
            <w:tcW w:type="dxa" w:w="2160"/>
          </w:tcPr>
          <w:p>
            <w:r>
              <w:t>n_steps = 1, buffer = 100k</w:t>
            </w:r>
          </w:p>
        </w:tc>
        <w:tc>
          <w:tcPr>
            <w:tcW w:type="dxa" w:w="2160"/>
          </w:tcPr>
          <w:p>
            <w:r>
              <w:t>Continua</w:t>
            </w:r>
          </w:p>
        </w:tc>
        <w:tc>
          <w:tcPr>
            <w:tcW w:type="dxa" w:w="2160"/>
          </w:tcPr>
          <w:p>
            <w:r>
              <w:t>100% (buffer)</w:t>
            </w:r>
          </w:p>
        </w:tc>
      </w:tr>
      <w:tr>
        <w:tc>
          <w:tcPr>
            <w:tcW w:type="dxa" w:w="2160"/>
          </w:tcPr>
          <w:p>
            <w:r>
              <w:t>Conclusión</w:t>
            </w:r>
          </w:p>
        </w:tc>
        <w:tc>
          <w:tcPr>
            <w:tcW w:type="dxa" w:w="2160"/>
          </w:tcPr>
          <w:p>
            <w:r>
              <w:t>—</w:t>
            </w:r>
          </w:p>
        </w:tc>
        <w:tc>
          <w:tcPr>
            <w:tcW w:type="dxa" w:w="2160"/>
          </w:tcPr>
          <w:p>
            <w:r>
              <w:t>SAC más frecuente</w:t>
            </w:r>
          </w:p>
        </w:tc>
        <w:tc>
          <w:tcPr>
            <w:tcW w:type="dxa" w:w="2160"/>
          </w:tcPr>
          <w:p>
            <w:r>
              <w:t>SAC captura todo</w:t>
            </w:r>
          </w:p>
        </w:tc>
      </w:tr>
    </w:tbl>
    <w:p/>
    <w:p>
      <w:pPr>
        <w:pStyle w:val="Heading2"/>
      </w:pPr>
      <w:r>
        <w:t>Resultados Finales SAC vs Baseline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Métrica</w:t>
            </w:r>
          </w:p>
        </w:tc>
        <w:tc>
          <w:tcPr>
            <w:tcW w:type="dxa" w:w="2160"/>
          </w:tcPr>
          <w:p>
            <w:r>
              <w:t>Baseline</w:t>
            </w:r>
          </w:p>
        </w:tc>
        <w:tc>
          <w:tcPr>
            <w:tcW w:type="dxa" w:w="2160"/>
          </w:tcPr>
          <w:p>
            <w:r>
              <w:t>SAC</w:t>
            </w:r>
          </w:p>
        </w:tc>
        <w:tc>
          <w:tcPr>
            <w:tcW w:type="dxa" w:w="2160"/>
          </w:tcPr>
          <w:p>
            <w:r>
              <w:t>Mejora</w:t>
            </w:r>
          </w:p>
        </w:tc>
      </w:tr>
      <w:tr>
        <w:tc>
          <w:tcPr>
            <w:tcW w:type="dxa" w:w="2160"/>
          </w:tcPr>
          <w:p>
            <w:r>
              <w:t>CO₂ Anual (kg)</w:t>
            </w:r>
          </w:p>
        </w:tc>
        <w:tc>
          <w:tcPr>
            <w:tcW w:type="dxa" w:w="2160"/>
          </w:tcPr>
          <w:p>
            <w:r>
              <w:t>990,099</w:t>
            </w:r>
          </w:p>
        </w:tc>
        <w:tc>
          <w:tcPr>
            <w:tcW w:type="dxa" w:w="2160"/>
          </w:tcPr>
          <w:p>
            <w:r>
              <w:t>790,308</w:t>
            </w:r>
          </w:p>
        </w:tc>
        <w:tc>
          <w:tcPr>
            <w:tcW w:type="dxa" w:w="2160"/>
          </w:tcPr>
          <w:p>
            <w:r>
              <w:t>-20.2%</w:t>
            </w:r>
          </w:p>
        </w:tc>
      </w:tr>
      <w:tr>
        <w:tc>
          <w:tcPr>
            <w:tcW w:type="dxa" w:w="2160"/>
          </w:tcPr>
          <w:p>
            <w:r>
              <w:t>Solar (utilización)</w:t>
            </w:r>
          </w:p>
        </w:tc>
        <w:tc>
          <w:tcPr>
            <w:tcW w:type="dxa" w:w="2160"/>
          </w:tcPr>
          <w:p>
            <w:r>
              <w:t>40%</w:t>
            </w:r>
          </w:p>
        </w:tc>
        <w:tc>
          <w:tcPr>
            <w:tcW w:type="dxa" w:w="2160"/>
          </w:tcPr>
          <w:p>
            <w:r>
              <w:t>98.9%</w:t>
            </w:r>
          </w:p>
        </w:tc>
        <w:tc>
          <w:tcPr>
            <w:tcW w:type="dxa" w:w="2160"/>
          </w:tcPr>
          <w:p>
            <w:r>
              <w:t>+147%</w:t>
            </w:r>
          </w:p>
        </w:tc>
      </w:tr>
      <w:tr>
        <w:tc>
          <w:tcPr>
            <w:tcW w:type="dxa" w:w="2160"/>
          </w:tcPr>
          <w:p>
            <w:r>
              <w:t>EV/año (vehículos)</w:t>
            </w:r>
          </w:p>
        </w:tc>
        <w:tc>
          <w:tcPr>
            <w:tcW w:type="dxa" w:w="2160"/>
          </w:tcPr>
          <w:p>
            <w:r>
              <w:t>2,200</w:t>
            </w:r>
          </w:p>
        </w:tc>
        <w:tc>
          <w:tcPr>
            <w:tcW w:type="dxa" w:w="2160"/>
          </w:tcPr>
          <w:p>
            <w:r>
              <w:t>3,500</w:t>
            </w:r>
          </w:p>
        </w:tc>
        <w:tc>
          <w:tcPr>
            <w:tcW w:type="dxa" w:w="2160"/>
          </w:tcPr>
          <w:p>
            <w:r>
              <w:t>+25%</w:t>
            </w:r>
          </w:p>
        </w:tc>
      </w:tr>
      <w:tr>
        <w:tc>
          <w:tcPr>
            <w:tcW w:type="dxa" w:w="2160"/>
          </w:tcPr>
          <w:p>
            <w:r>
              <w:t>Picos (h/año)</w:t>
            </w:r>
          </w:p>
        </w:tc>
        <w:tc>
          <w:tcPr>
            <w:tcW w:type="dxa" w:w="2160"/>
          </w:tcPr>
          <w:p>
            <w:r>
              <w:t>1,825</w:t>
            </w:r>
          </w:p>
        </w:tc>
        <w:tc>
          <w:tcPr>
            <w:tcW w:type="dxa" w:w="2160"/>
          </w:tcPr>
          <w:p>
            <w:r>
              <w:t>612</w:t>
            </w:r>
          </w:p>
        </w:tc>
        <w:tc>
          <w:tcPr>
            <w:tcW w:type="dxa" w:w="2160"/>
          </w:tcPr>
          <w:p>
            <w:r>
              <w:t>-66%</w:t>
            </w:r>
          </w:p>
        </w:tc>
      </w:tr>
      <w:tr>
        <w:tc>
          <w:tcPr>
            <w:tcW w:type="dxa" w:w="2160"/>
          </w:tcPr>
          <w:p>
            <w:r>
              <w:t>Grid (kWh/año)</w:t>
            </w:r>
          </w:p>
        </w:tc>
        <w:tc>
          <w:tcPr>
            <w:tcW w:type="dxa" w:w="2160"/>
          </w:tcPr>
          <w:p>
            <w:r>
              <w:t>2,190,000</w:t>
            </w:r>
          </w:p>
        </w:tc>
        <w:tc>
          <w:tcPr>
            <w:tcW w:type="dxa" w:w="2160"/>
          </w:tcPr>
          <w:p>
            <w:r>
              <w:t>450,000</w:t>
            </w:r>
          </w:p>
        </w:tc>
        <w:tc>
          <w:tcPr>
            <w:tcW w:type="dxa" w:w="2160"/>
          </w:tcPr>
          <w:p>
            <w:r>
              <w:t>-79%</w:t>
            </w:r>
          </w:p>
        </w:tc>
      </w:tr>
      <w:tr>
        <w:tc>
          <w:tcPr>
            <w:tcW w:type="dxa" w:w="2160"/>
          </w:tcPr>
          <w:p>
            <w:r>
              <w:t>BESS (eficiencia)</w:t>
            </w:r>
          </w:p>
        </w:tc>
        <w:tc>
          <w:tcPr>
            <w:tcW w:type="dxa" w:w="2160"/>
          </w:tcPr>
          <w:p>
            <w:r>
              <w:t>0%</w:t>
            </w:r>
          </w:p>
        </w:tc>
        <w:tc>
          <w:tcPr>
            <w:tcW w:type="dxa" w:w="2160"/>
          </w:tcPr>
          <w:p>
            <w:r>
              <w:t>95%</w:t>
            </w:r>
          </w:p>
        </w:tc>
        <w:tc>
          <w:tcPr>
            <w:tcW w:type="dxa" w:w="2160"/>
          </w:tcPr>
          <w:p>
            <w:r>
              <w:t>Óptimo</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