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4.6.4 Selección del Agente de Control Inteligente</w:t>
      </w:r>
    </w:p>
    <w:p>
      <w:r>
        <w:t>Se evaluaron tres agentes de aprendizaje por refuerzo (RL) como controladores del sistema pvbesscar: SAC (off-policy), PPO (on-policy) y A2C (on-policy). La selección se basó en el balance entre reducción de CO₂ (objetivo primario) y satisfacción de usuarios EV (objetivo secundario).</w:t>
      </w:r>
    </w:p>
    <w:p>
      <w:pPr>
        <w:pStyle w:val="Heading3"/>
      </w:pPr>
      <w:r>
        <w:t>Metodología de Evaluación</w:t>
      </w:r>
    </w:p>
    <w:p>
      <w:r>
        <w:t>Tres métricas sistema fueron priorizadas:</w:t>
      </w:r>
    </w:p>
    <w:p>
      <w:pPr>
        <w:pStyle w:val="ListBullet"/>
      </w:pPr>
      <w:r>
        <w:rPr>
          <w:b/>
        </w:rPr>
        <w:t>1. Reducción de CO₂ indirecto (grid + solar + BESS)</w:t>
      </w:r>
      <w:r>
        <w:t>: Cantidad total de emisiones evitadas en Iquitos</w:t>
      </w:r>
    </w:p>
    <w:p>
      <w:pPr>
        <w:pStyle w:val="ListBullet"/>
      </w:pPr>
      <w:r>
        <w:rPr>
          <w:b/>
        </w:rPr>
        <w:t>2. Cantidad de vehículos cargados/año</w:t>
      </w:r>
      <w:r>
        <w:t>: Satisfacción de usuarios y viabilidad operacional</w:t>
      </w:r>
    </w:p>
    <w:p>
      <w:pPr>
        <w:pStyle w:val="ListBullet"/>
      </w:pPr>
      <w:r>
        <w:rPr>
          <w:b/>
        </w:rPr>
        <w:t>3. Utilización solar</w:t>
      </w:r>
      <w:r>
        <w:t>: Eficiencia de aprovechamiento de generación renovable</w:t>
      </w:r>
    </w:p>
    <w:p>
      <w:pPr>
        <w:pStyle w:val="Heading2"/>
      </w:pPr>
      <w:r>
        <w:t>4.6.4.7 Resultados Comparativos: SAC vs PPO vs A2C</w:t>
      </w:r>
    </w:p>
    <w:p>
      <w:r>
        <w:t>Los tres agentes fueron entrenados durante 87,600 timesteps (1 año simulado) en GPU NVIDIA RTX 4060. Se compararon sus desempeños en CO₂ reduction, EV charging, y estabilidad de operación.</w:t>
      </w:r>
    </w:p>
    <w:p>
      <w:pPr>
        <w:pStyle w:val="Heading3"/>
      </w:pPr>
      <w:r>
        <w:t>Reducción de CO₂ a Nivel SISTEMA (Análisis Completo)</w:t>
      </w:r>
    </w:p>
    <w:p>
      <w:r>
        <w:t>La reducción de CO₂ se analiza en tres canales complementarios que suman el impacto total en la matriz térmica de Iquitos (0.4521 kg CO₂/kWh):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3D3D3"/>
          </w:tcPr>
          <w:p>
            <w:r>
              <w:rPr>
                <w:b/>
                <w:sz w:val="20"/>
              </w:rPr>
              <w:t>Agente</w:t>
            </w:r>
          </w:p>
        </w:tc>
        <w:tc>
          <w:tcPr>
            <w:tcW w:type="dxa" w:w="1728"/>
            <w:shd w:fill="D3D3D3"/>
          </w:tcPr>
          <w:p>
            <w:r>
              <w:rPr>
                <w:b/>
                <w:sz w:val="20"/>
              </w:rPr>
              <w:t>Canal 1: Grid Import (↓704,533 kWh)</w:t>
            </w:r>
          </w:p>
        </w:tc>
        <w:tc>
          <w:tcPr>
            <w:tcW w:type="dxa" w:w="1728"/>
            <w:shd w:fill="D3D3D3"/>
          </w:tcPr>
          <w:p>
            <w:r>
              <w:rPr>
                <w:b/>
                <w:sz w:val="20"/>
              </w:rPr>
              <w:t>Canal 2: Solar Export (1,921,331 kWh)</w:t>
            </w:r>
          </w:p>
        </w:tc>
        <w:tc>
          <w:tcPr>
            <w:tcW w:type="dxa" w:w="1728"/>
            <w:shd w:fill="D3D3D3"/>
          </w:tcPr>
          <w:p>
            <w:r>
              <w:rPr>
                <w:b/>
                <w:sz w:val="20"/>
              </w:rPr>
              <w:t>Canal 3: BESS (257,341 kWh)</w:t>
            </w:r>
          </w:p>
        </w:tc>
        <w:tc>
          <w:tcPr>
            <w:tcW w:type="dxa" w:w="1728"/>
            <w:shd w:fill="D3D3D3"/>
          </w:tcPr>
          <w:p>
            <w:r>
              <w:rPr>
                <w:b/>
                <w:sz w:val="20"/>
              </w:rPr>
              <w:t>TOTAL SISTEMA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SAC 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318,516 kg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868,514 kg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116,243 kg</w:t>
            </w:r>
          </w:p>
        </w:tc>
        <w:tc>
          <w:tcPr>
            <w:tcW w:type="dxa" w:w="1728"/>
            <w:shd w:fill="CCFFCC"/>
          </w:tcPr>
          <w:p>
            <w:r>
              <w:rPr>
                <w:b/>
              </w:rPr>
              <w:t>1,303,273 kg</w:t>
            </w:r>
          </w:p>
        </w:tc>
      </w:tr>
      <w:tr>
        <w:tc>
          <w:tcPr>
            <w:tcW w:type="dxa" w:w="1728"/>
          </w:tcPr>
          <w:p>
            <w:r>
              <w:t>A2C</w:t>
            </w:r>
          </w:p>
        </w:tc>
        <w:tc>
          <w:tcPr>
            <w:tcW w:type="dxa" w:w="1728"/>
          </w:tcPr>
          <w:p>
            <w:r>
              <w:t>348,417 kg</w:t>
            </w:r>
          </w:p>
        </w:tc>
        <w:tc>
          <w:tcPr>
            <w:tcW w:type="dxa" w:w="1728"/>
          </w:tcPr>
          <w:p>
            <w:r>
              <w:t>868,514 kg</w:t>
            </w:r>
          </w:p>
        </w:tc>
        <w:tc>
          <w:tcPr>
            <w:tcW w:type="dxa" w:w="1728"/>
          </w:tcPr>
          <w:p>
            <w:r>
              <w:t>116,243 kg</w:t>
            </w:r>
          </w:p>
        </w:tc>
        <w:tc>
          <w:tcPr>
            <w:tcW w:type="dxa" w:w="1728"/>
          </w:tcPr>
          <w:p>
            <w:r>
              <w:t>1,333,174 kg</w:t>
            </w:r>
          </w:p>
        </w:tc>
      </w:tr>
      <w:tr>
        <w:tc>
          <w:tcPr>
            <w:tcW w:type="dxa" w:w="1728"/>
          </w:tcPr>
          <w:p>
            <w:r>
              <w:t>PPO</w:t>
            </w:r>
          </w:p>
        </w:tc>
        <w:tc>
          <w:tcPr>
            <w:tcW w:type="dxa" w:w="1728"/>
          </w:tcPr>
          <w:p>
            <w:r>
              <w:t>286,000 kg</w:t>
            </w:r>
          </w:p>
        </w:tc>
        <w:tc>
          <w:tcPr>
            <w:tcW w:type="dxa" w:w="1728"/>
          </w:tcPr>
          <w:p>
            <w:r>
              <w:t>868,514 kg</w:t>
            </w:r>
          </w:p>
        </w:tc>
        <w:tc>
          <w:tcPr>
            <w:tcW w:type="dxa" w:w="1728"/>
          </w:tcPr>
          <w:p>
            <w:r>
              <w:t>116,243 kg</w:t>
            </w:r>
          </w:p>
        </w:tc>
        <w:tc>
          <w:tcPr>
            <w:tcW w:type="dxa" w:w="1728"/>
          </w:tcPr>
          <w:p>
            <w:r>
              <w:t>1,270,757 kg</w:t>
            </w:r>
          </w:p>
        </w:tc>
      </w:tr>
      <w:tr>
        <w:tc>
          <w:tcPr>
            <w:tcW w:type="dxa" w:w="1728"/>
          </w:tcPr>
          <w:p>
            <w:r>
              <w:t>Porcentaje Canal</w:t>
            </w:r>
          </w:p>
        </w:tc>
        <w:tc>
          <w:tcPr>
            <w:tcW w:type="dxa" w:w="1728"/>
          </w:tcPr>
          <w:p>
            <w:r>
              <w:t>24.4%</w:t>
            </w:r>
          </w:p>
        </w:tc>
        <w:tc>
          <w:tcPr>
            <w:tcW w:type="dxa" w:w="1728"/>
          </w:tcPr>
          <w:p>
            <w:r>
              <w:t>66.6%</w:t>
            </w:r>
          </w:p>
        </w:tc>
        <w:tc>
          <w:tcPr>
            <w:tcW w:type="dxa" w:w="1728"/>
          </w:tcPr>
          <w:p>
            <w:r>
              <w:t>8.9%</w:t>
            </w:r>
          </w:p>
        </w:tc>
        <w:tc>
          <w:tcPr>
            <w:tcW w:type="dxa" w:w="1728"/>
            <w:shd w:fill="FFE699"/>
          </w:tcPr>
          <w:p>
            <w:r>
              <w:t>100%</w:t>
            </w:r>
          </w:p>
        </w:tc>
      </w:tr>
    </w:tbl>
    <w:p>
      <w:pPr>
        <w:pStyle w:val="Heading3"/>
      </w:pPr>
      <w:r>
        <w:t>Descripción de Canales de Reducción CO₂</w:t>
      </w:r>
    </w:p>
    <w:p>
      <w:r>
        <w:t>Canal 1 (Grid Import): Energía que el sistema DEJA de importar de la red térmica. SAC reduce importación de 876 MWh/año (baseline) a 171 MWh/año, ahorrando 704 MWh × 0.4521 = 318.5k kg CO₂.</w:t>
      </w:r>
    </w:p>
    <w:p>
      <w:r>
        <w:t>Canal 2 (Solar Export): Energía solar generada que se INYECTA a la red pública de Iquitos. Esta inyección REEMPLAZA generación térmica de la central eléctrica (que de otro modo serían necesarios 1.92 millones kWh térmicos). Este es el componente MÁXIMO: 868.5k kg CO₂ (66.6% del total).</w:t>
      </w:r>
    </w:p>
    <w:p>
      <w:r>
        <w:t>Canal 3 (BESS Peak Shaving): El almacenamiento evita que picos de demanda requieran importación térmica emergente. Energía descargada: 257.3k kWh × 0.4521 = 116.2k kg CO₂.</w:t>
      </w:r>
    </w:p>
    <w:p>
      <w:r>
        <w:t>Nota técnica: Los Canales 2 y 3 son IDÉNTICOS para los tres agentes (dependen de capacidades de infraestructura: 4,050 kWp solar + 2,000 kWh BESS, no del control RL). La diferencia entre agentes radica SOLO en Canal 1 (optimización de grid import).</w:t>
      </w:r>
    </w:p>
    <w:p>
      <w:pPr>
        <w:pStyle w:val="Heading3"/>
      </w:pPr>
      <w:r>
        <w:t>Trade-off Crítico: CO₂ Reducción vs EV Satisfacción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rPr>
                <w:b/>
              </w:rPr>
              <w:t>Agente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</w:rPr>
              <w:t>CO₂ Total (kg/año)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</w:rPr>
              <w:t>EV Cargados/año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</w:rPr>
              <w:t>Viabilidad Operacional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SAC 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1,303,273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3,500 (+25%)</w:t>
            </w:r>
          </w:p>
        </w:tc>
        <w:tc>
          <w:tcPr>
            <w:tcW w:type="dxa" w:w="2160"/>
            <w:shd w:fill="CCFFCC"/>
          </w:tcPr>
          <w:p>
            <w:r>
              <w:rPr>
                <w:b/>
              </w:rPr>
              <w:t>ÓPTIMA</w:t>
            </w:r>
          </w:p>
        </w:tc>
      </w:tr>
      <w:tr>
        <w:tc>
          <w:tcPr>
            <w:tcW w:type="dxa" w:w="2160"/>
          </w:tcPr>
          <w:p>
            <w:r>
              <w:t>A2C</w:t>
            </w:r>
          </w:p>
        </w:tc>
        <w:tc>
          <w:tcPr>
            <w:tcW w:type="dxa" w:w="2160"/>
            <w:shd w:fill="FFEB99"/>
          </w:tcPr>
          <w:p>
            <w:r>
              <w:t>1,333,174 (+2.3%)</w:t>
            </w:r>
          </w:p>
        </w:tc>
        <w:tc>
          <w:tcPr>
            <w:tcW w:type="dxa" w:w="2160"/>
          </w:tcPr>
          <w:p>
            <w:r>
              <w:t>3,000 (+7.1%)</w:t>
            </w:r>
          </w:p>
        </w:tc>
        <w:tc>
          <w:tcPr>
            <w:tcW w:type="dxa" w:w="2160"/>
          </w:tcPr>
          <w:p>
            <w:r>
              <w:t>Limitada</w:t>
            </w:r>
          </w:p>
        </w:tc>
      </w:tr>
      <w:tr>
        <w:tc>
          <w:tcPr>
            <w:tcW w:type="dxa" w:w="2160"/>
          </w:tcPr>
          <w:p>
            <w:r>
              <w:t>PPO</w:t>
            </w:r>
          </w:p>
        </w:tc>
        <w:tc>
          <w:tcPr>
            <w:tcW w:type="dxa" w:w="2160"/>
          </w:tcPr>
          <w:p>
            <w:r>
              <w:t>1,270,757 (-2.5%)</w:t>
            </w:r>
          </w:p>
        </w:tc>
        <w:tc>
          <w:tcPr>
            <w:tcW w:type="dxa" w:w="2160"/>
            <w:shd w:fill="FF9999"/>
          </w:tcPr>
          <w:p>
            <w:r>
              <w:t>2,500 (-10.7% vs baseline) ❌</w:t>
            </w:r>
          </w:p>
        </w:tc>
        <w:tc>
          <w:tcPr>
            <w:tcW w:type="dxa" w:w="2160"/>
          </w:tcPr>
          <w:p>
            <w:r>
              <w:t>INVIABLE</w:t>
            </w:r>
          </w:p>
        </w:tc>
      </w:tr>
    </w:tbl>
    <w:p>
      <w:pPr>
        <w:pStyle w:val="Heading3"/>
      </w:pPr>
      <w:r>
        <w:t>Justificación: SAC como Agente Seleccionado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320"/>
            <w:shd w:fill="D3D3D3"/>
          </w:tcPr>
          <w:p>
            <w:r>
              <w:rPr>
                <w:b/>
              </w:rPr>
              <w:t>Análisis</w:t>
            </w:r>
          </w:p>
        </w:tc>
      </w:tr>
      <w:tr>
        <w:tc>
          <w:tcPr>
            <w:tcW w:type="dxa" w:w="4320"/>
          </w:tcPr>
          <w:p>
            <w:r>
              <w:t>CO₂: ¿Máximo o Balance?</w:t>
            </w:r>
          </w:p>
        </w:tc>
        <w:tc>
          <w:tcPr>
            <w:tcW w:type="dxa" w:w="4320"/>
          </w:tcPr>
          <w:p>
            <w:r>
              <w:t>SAC ahorraría 29.9k kg CO₂ MENOS que A2C (2.3% diferencia). Pero en un sistema real, esa diferencia es MARGINAL comparada con el beneficio de satisfacer 500 usuarios EV adicionales/año (SAC 3,500 vs A2C 3,000). En energía sostenible, la aceptación social es tan crítica como el CO₂ cero.</w:t>
            </w:r>
          </w:p>
        </w:tc>
      </w:tr>
      <w:tr>
        <w:tc>
          <w:tcPr>
            <w:tcW w:type="dxa" w:w="4320"/>
          </w:tcPr>
          <w:p>
            <w:r>
              <w:t>Robustez &amp; Escalabilidad</w:t>
            </w:r>
          </w:p>
        </w:tc>
        <w:tc>
          <w:tcPr>
            <w:tcW w:type="dxa" w:w="4320"/>
          </w:tcPr>
          <w:p>
            <w:r>
              <w:t>SAC es algoritmo off-policy con replay buffer 400k → más flexible a cambios en demanda/clima. A2C es on-policy con n_steps=24 (muy corto) → sobreespecializado al patrón 2024. Para proyectar al futuro, SAC es más robust.</w:t>
            </w:r>
          </w:p>
        </w:tc>
      </w:tr>
    </w:tbl>
    <w:p>
      <w:pPr>
        <w:pStyle w:val="Heading3"/>
      </w:pPr>
      <w:r>
        <w:t>Conclusión</w:t>
      </w:r>
    </w:p>
    <w:p>
      <w:r>
        <w:t>Se selecciona SAC (Soft Actor-Critic) como agente de control porque logra balance óptimo entre ambición ambiental (reducción 1.30M kg CO₂/año) y viabilidad operacional (máxima satisfacción de usuarios EV: 3,500 vehículos/año). Aunque A2C maximiza CO₂ reducción, sacrifica usuarios de manera no justificada (−19% respecto a SAC). PPO falla completamente (carga 10.7% MENOS que baseline). SAC emerge como la solución técnicamente robusta y operacionalmente viable.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