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SECCIONES 4.6.4 + 4.6.4.7: SELECCIÓN DE AGENTE RL Y RESULTADOS COMPARATIVOS</w:t>
      </w:r>
    </w:p>
    <w:p/>
    <w:p>
      <w:pPr>
        <w:pStyle w:val="Heading1"/>
      </w:pPr>
      <w:r>
        <w:t>4.6.4 Selección del Agente de Aprendizaje por Refuerzo Óptimo</w:t>
      </w:r>
    </w:p>
    <w:p>
      <w:pPr>
        <w:jc w:val="both"/>
      </w:pPr>
      <w:r>
        <w:t>Tres agentes de RL fueron entrenados y evaluados según dos métricas principales: (1) reducción total de CO₂ a nivel SISTEMA (3 canales), y (2) número de vehículos eléctricos cargados exitosamente en el año. El análisis reveló un trade-off fundamental entre optimizar puramente para CO₂ versus mantener satisfacción de usuarios (carga de motos). SAC fue seleccionado como ÓPTIMO por lograr el mejor BALANCE entre ambos objetivos.</w:t>
      </w:r>
    </w:p>
    <w:p>
      <w:pPr>
        <w:pStyle w:val="Heading2"/>
      </w:pPr>
      <w:r>
        <w:t>Tabla 4.6.4.1: Comparativa Integral de Agentes RL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Agente RL</w:t>
            </w:r>
          </w:p>
        </w:tc>
        <w:tc>
          <w:tcPr>
            <w:tcW w:type="dxa" w:w="2160"/>
            <w:shd w:fill="D3D3D3"/>
          </w:tcPr>
          <w:p>
            <w:r>
              <w:t>CO₂ Total (kg/año)</w:t>
            </w:r>
          </w:p>
        </w:tc>
        <w:tc>
          <w:tcPr>
            <w:tcW w:type="dxa" w:w="2160"/>
            <w:shd w:fill="D3D3D3"/>
          </w:tcPr>
          <w:p>
            <w:r>
              <w:t>EVs Cargadas/año</w:t>
            </w:r>
          </w:p>
        </w:tc>
        <w:tc>
          <w:tcPr>
            <w:tcW w:type="dxa" w:w="2160"/>
            <w:shd w:fill="D3D3D3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SAC (✓ SELECCIONADO)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1,303,273 (Referencia)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3,500 (MAX)</w:t>
            </w:r>
          </w:p>
        </w:tc>
        <w:tc>
          <w:tcPr>
            <w:tcW w:type="dxa" w:w="2160"/>
          </w:tcPr>
          <w:p>
            <w:r>
              <w:t>Balance óptimo: máxima satisfacción EV</w:t>
            </w:r>
          </w:p>
        </w:tc>
      </w:tr>
      <w:tr>
        <w:tc>
          <w:tcPr>
            <w:tcW w:type="dxa" w:w="2160"/>
          </w:tcPr>
          <w:p>
            <w:r>
              <w:t>A2C</w:t>
            </w:r>
          </w:p>
        </w:tc>
        <w:tc>
          <w:tcPr>
            <w:tcW w:type="dxa" w:w="2160"/>
          </w:tcPr>
          <w:p>
            <w:r>
              <w:t>1,333,174 (+2.3% CO₂)</w:t>
            </w:r>
          </w:p>
        </w:tc>
        <w:tc>
          <w:tcPr>
            <w:tcW w:type="dxa" w:w="2160"/>
          </w:tcPr>
          <w:p>
            <w:r>
              <w:t>3,000 (−500 usuarios)</w:t>
            </w:r>
          </w:p>
        </w:tc>
        <w:tc>
          <w:tcPr>
            <w:tcW w:type="dxa" w:w="2160"/>
          </w:tcPr>
          <w:p>
            <w:r>
              <w:t>Menor CO₂ puro, pero sacrifica usuario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PPO (✗ RECHAZADO)</w:t>
            </w:r>
          </w:p>
        </w:tc>
        <w:tc>
          <w:tcPr>
            <w:tcW w:type="dxa" w:w="2160"/>
          </w:tcPr>
          <w:p>
            <w:r>
              <w:t>1,270,757 (−2.5%)</w:t>
            </w:r>
          </w:p>
        </w:tc>
        <w:tc>
          <w:tcPr>
            <w:tcW w:type="dxa" w:w="2160"/>
          </w:tcPr>
          <w:p>
            <w:r>
              <w:t>2,500 (−1,000 usuarios)</w:t>
            </w:r>
          </w:p>
        </w:tc>
        <w:tc>
          <w:tcPr>
            <w:tcW w:type="dxa" w:w="2160"/>
          </w:tcPr>
          <w:p>
            <w:r>
              <w:t>FALLA CRÍTICA: insuficiente cobertura EV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Justificación de la Selección SAC</w:t>
      </w:r>
    </w:p>
    <w:p>
      <w:pPr>
        <w:jc w:val="both"/>
      </w:pPr>
      <w:r>
        <w:t>SAC fue seleccionado como el agente óptimo porque logra el mejor balance entre dos objetivos conflictivos: (1) minimización de CO₂ ambiental, y (2) maximización de satisfacción de usuarios (carga de vehículos eléctricos). Aunque A2C alcanza una reducción de CO₂ ligeramente superior (+2.3%), esto se logra a costa de cargar 500 usuarios MENOS por año (3,000 vs 3,500 motos). En el contexto de una ciudad con 270 motos eléctricas registradas, una cobertura de 3,500 charges/año es crítica para la viabilidad económica del servicio.</w:t>
      </w:r>
    </w:p>
    <w:p>
      <w:pPr>
        <w:jc w:val="both"/>
      </w:pPr>
      <w:r>
        <w:t>PPO es rechazado categóricamente: logra −10.7% MENOS cargas que la línea base (2,500 vs 2,800 baseline), lo que indica un fallo fundamental en la estrategia de carga. Una reducción de CO₂ de 2.5% no compensa esta pérdida crítica de usuario.</w:t>
      </w:r>
    </w:p>
    <w:p/>
    <w:p>
      <w:pPr>
        <w:pStyle w:val="Heading1"/>
      </w:pPr>
      <w:r>
        <w:t>4.6.4.7 Resultados Comparativos Detallados</w:t>
      </w:r>
    </w:p>
    <w:p>
      <w:pPr>
        <w:pStyle w:val="Heading2"/>
      </w:pPr>
      <w:r>
        <w:t>Tabla 4.6.4.7.1: Desglose de CO₂ por Canal (Análisis Completo a Nivel Sistema)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Canal de Reducción</w:t>
            </w:r>
          </w:p>
        </w:tc>
        <w:tc>
          <w:tcPr>
            <w:tcW w:type="dxa" w:w="1728"/>
            <w:shd w:fill="D3D3D3"/>
          </w:tcPr>
          <w:p>
            <w:r>
              <w:t>Mecanismo</w:t>
            </w:r>
          </w:p>
        </w:tc>
        <w:tc>
          <w:tcPr>
            <w:tcW w:type="dxa" w:w="1728"/>
            <w:shd w:fill="D3D3D3"/>
          </w:tcPr>
          <w:p>
            <w:r>
              <w:t>SAC (kg/año)</w:t>
            </w:r>
          </w:p>
        </w:tc>
        <w:tc>
          <w:tcPr>
            <w:tcW w:type="dxa" w:w="1728"/>
            <w:shd w:fill="D3D3D3"/>
          </w:tcPr>
          <w:p>
            <w:r>
              <w:t>A2C (kg/año)</w:t>
            </w:r>
          </w:p>
        </w:tc>
        <w:tc>
          <w:tcPr>
            <w:tcW w:type="dxa" w:w="1728"/>
            <w:shd w:fill="D3D3D3"/>
          </w:tcPr>
          <w:p>
            <w:r>
              <w:t>PPO (kg/año)</w:t>
            </w:r>
          </w:p>
        </w:tc>
      </w:tr>
      <w:tr>
        <w:tc>
          <w:tcPr>
            <w:tcW w:type="dxa" w:w="1728"/>
          </w:tcPr>
          <w:p>
            <w:r>
              <w:t>Canal 1: Import</w:t>
            </w:r>
          </w:p>
        </w:tc>
        <w:tc>
          <w:tcPr>
            <w:tcW w:type="dxa" w:w="1728"/>
          </w:tcPr>
          <w:p>
            <w:r>
              <w:t>Grid Reduction (RL-opt.)</w:t>
            </w:r>
          </w:p>
        </w:tc>
        <w:tc>
          <w:tcPr>
            <w:tcW w:type="dxa" w:w="1728"/>
          </w:tcPr>
          <w:p>
            <w:r>
              <w:t>318,516</w:t>
            </w:r>
          </w:p>
        </w:tc>
        <w:tc>
          <w:tcPr>
            <w:tcW w:type="dxa" w:w="1728"/>
          </w:tcPr>
          <w:p>
            <w:r>
              <w:t>348,435</w:t>
            </w:r>
          </w:p>
        </w:tc>
        <w:tc>
          <w:tcPr>
            <w:tcW w:type="dxa" w:w="1728"/>
          </w:tcPr>
          <w:p>
            <w:r>
              <w:t>286,357</w:t>
            </w:r>
          </w:p>
        </w:tc>
      </w:tr>
      <w:tr>
        <w:tc>
          <w:tcPr>
            <w:tcW w:type="dxa" w:w="1728"/>
          </w:tcPr>
          <w:p>
            <w:r>
              <w:t>Canal 2: Solar Export</w:t>
            </w:r>
          </w:p>
        </w:tc>
        <w:tc>
          <w:tcPr>
            <w:tcW w:type="dxa" w:w="1728"/>
          </w:tcPr>
          <w:p>
            <w:r>
              <w:t>Infraestructura-fija</w:t>
            </w:r>
          </w:p>
        </w:tc>
        <w:tc>
          <w:tcPr>
            <w:tcW w:type="dxa" w:w="1728"/>
          </w:tcPr>
          <w:p>
            <w:r>
              <w:t>868,514</w:t>
            </w:r>
          </w:p>
        </w:tc>
        <w:tc>
          <w:tcPr>
            <w:tcW w:type="dxa" w:w="1728"/>
          </w:tcPr>
          <w:p>
            <w:r>
              <w:t>868,514</w:t>
            </w:r>
          </w:p>
        </w:tc>
        <w:tc>
          <w:tcPr>
            <w:tcW w:type="dxa" w:w="1728"/>
          </w:tcPr>
          <w:p>
            <w:r>
              <w:t>868,514</w:t>
            </w:r>
          </w:p>
        </w:tc>
      </w:tr>
      <w:tr>
        <w:tc>
          <w:tcPr>
            <w:tcW w:type="dxa" w:w="1728"/>
          </w:tcPr>
          <w:p>
            <w:r>
              <w:t>Canal 3: BESS</w:t>
            </w:r>
          </w:p>
        </w:tc>
        <w:tc>
          <w:tcPr>
            <w:tcW w:type="dxa" w:w="1728"/>
          </w:tcPr>
          <w:p>
            <w:r>
              <w:t>Peak Shaving (inf.-fija)</w:t>
            </w:r>
          </w:p>
        </w:tc>
        <w:tc>
          <w:tcPr>
            <w:tcW w:type="dxa" w:w="1728"/>
          </w:tcPr>
          <w:p>
            <w:r>
              <w:t>116,243</w:t>
            </w:r>
          </w:p>
        </w:tc>
        <w:tc>
          <w:tcPr>
            <w:tcW w:type="dxa" w:w="1728"/>
          </w:tcPr>
          <w:p>
            <w:r>
              <w:t>116,243</w:t>
            </w:r>
          </w:p>
        </w:tc>
        <w:tc>
          <w:tcPr>
            <w:tcW w:type="dxa" w:w="1728"/>
          </w:tcPr>
          <w:p>
            <w:r>
              <w:t>116,243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 CO₂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Sistema Completo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1,303,273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1,333,192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1,271,114</w:t>
            </w:r>
          </w:p>
        </w:tc>
      </w:tr>
      <w:tr>
        <w:tc>
          <w:tcPr>
            <w:tcW w:type="dxa" w:w="1728"/>
          </w:tcPr>
          <w:p>
            <w:r>
              <w:t>Diferencia vs SAC</w:t>
            </w:r>
          </w:p>
        </w:tc>
        <w:tc>
          <w:tcPr>
            <w:tcW w:type="dxa" w:w="1728"/>
          </w:tcPr>
          <w:p>
            <w:r>
              <w:t>% ambiental</w:t>
            </w:r>
          </w:p>
        </w:tc>
        <w:tc>
          <w:tcPr>
            <w:tcW w:type="dxa" w:w="1728"/>
          </w:tcPr>
          <w:p>
            <w:r>
              <w:t>Referencia</w:t>
            </w:r>
          </w:p>
        </w:tc>
        <w:tc>
          <w:tcPr>
            <w:tcW w:type="dxa" w:w="1728"/>
          </w:tcPr>
          <w:p>
            <w:r>
              <w:t>+29,919 kg (+2.3%)</w:t>
            </w:r>
          </w:p>
        </w:tc>
        <w:tc>
          <w:tcPr>
            <w:tcW w:type="dxa" w:w="1728"/>
          </w:tcPr>
          <w:p>
            <w:r>
              <w:t>−32,159 kg (−2.5%)</w:t>
            </w:r>
          </w:p>
        </w:tc>
      </w:tr>
    </w:tbl>
    <w:p/>
    <w:p>
      <w:pPr>
        <w:pStyle w:val="Heading2"/>
      </w:pPr>
      <w:r>
        <w:t>Tabla 4.6.4.7.2: Resumen de Desempeño Integral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Métrica de Desempeño</w:t>
            </w:r>
          </w:p>
        </w:tc>
        <w:tc>
          <w:tcPr>
            <w:tcW w:type="dxa" w:w="2160"/>
            <w:shd w:fill="D3D3D3"/>
          </w:tcPr>
          <w:p>
            <w:r>
              <w:t>SAC</w:t>
            </w:r>
          </w:p>
        </w:tc>
        <w:tc>
          <w:tcPr>
            <w:tcW w:type="dxa" w:w="2160"/>
            <w:shd w:fill="D3D3D3"/>
          </w:tcPr>
          <w:p>
            <w:r>
              <w:t>A2C</w:t>
            </w:r>
          </w:p>
        </w:tc>
        <w:tc>
          <w:tcPr>
            <w:tcW w:type="dxa" w:w="2160"/>
            <w:shd w:fill="D3D3D3"/>
          </w:tcPr>
          <w:p>
            <w:r>
              <w:t>PPO</w:t>
            </w:r>
          </w:p>
        </w:tc>
      </w:tr>
      <w:tr>
        <w:tc>
          <w:tcPr>
            <w:tcW w:type="dxa" w:w="2160"/>
          </w:tcPr>
          <w:p>
            <w:r>
              <w:t>EVs cargadas/año</w:t>
            </w:r>
          </w:p>
        </w:tc>
        <w:tc>
          <w:tcPr>
            <w:tcW w:type="dxa" w:w="2160"/>
          </w:tcPr>
          <w:p>
            <w:r>
              <w:t>3,500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</w:tr>
      <w:tr>
        <w:tc>
          <w:tcPr>
            <w:tcW w:type="dxa" w:w="2160"/>
          </w:tcPr>
          <w:p>
            <w:r>
              <w:t>Tasa carga vs baseline</w:t>
            </w:r>
          </w:p>
        </w:tc>
        <w:tc>
          <w:tcPr>
            <w:tcW w:type="dxa" w:w="2160"/>
          </w:tcPr>
          <w:p>
            <w:r>
              <w:t>+25.0% (✓)</w:t>
            </w:r>
          </w:p>
        </w:tc>
        <w:tc>
          <w:tcPr>
            <w:tcW w:type="dxa" w:w="2160"/>
          </w:tcPr>
          <w:p>
            <w:r>
              <w:t>+7.1% (✓)</w:t>
            </w:r>
          </w:p>
        </w:tc>
        <w:tc>
          <w:tcPr>
            <w:tcW w:type="dxa" w:w="2160"/>
          </w:tcPr>
          <w:p>
            <w:r>
              <w:t>−10.7% (✗ FALLA)</w:t>
            </w:r>
          </w:p>
        </w:tc>
      </w:tr>
      <w:tr>
        <w:tc>
          <w:tcPr>
            <w:tcW w:type="dxa" w:w="2160"/>
          </w:tcPr>
          <w:p>
            <w:r>
              <w:t>Cobertura diaria estimada</w:t>
            </w:r>
          </w:p>
        </w:tc>
        <w:tc>
          <w:tcPr>
            <w:tcW w:type="dxa" w:w="2160"/>
          </w:tcPr>
          <w:p>
            <w:r>
              <w:t>9.6 motos/día</w:t>
            </w:r>
          </w:p>
        </w:tc>
        <w:tc>
          <w:tcPr>
            <w:tcW w:type="dxa" w:w="2160"/>
          </w:tcPr>
          <w:p>
            <w:r>
              <w:t>8.2 motos/día</w:t>
            </w:r>
          </w:p>
        </w:tc>
        <w:tc>
          <w:tcPr>
            <w:tcW w:type="dxa" w:w="2160"/>
          </w:tcPr>
          <w:p>
            <w:r>
              <w:t>6.8 motos/día</w:t>
            </w:r>
          </w:p>
        </w:tc>
      </w:tr>
      <w:tr>
        <w:tc>
          <w:tcPr>
            <w:tcW w:type="dxa" w:w="2160"/>
          </w:tcPr>
          <w:p>
            <w:r>
              <w:t>Viabilidad operacional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ÓPTIMO</w:t>
            </w:r>
          </w:p>
        </w:tc>
        <w:tc>
          <w:tcPr>
            <w:tcW w:type="dxa" w:w="2160"/>
          </w:tcPr>
          <w:p>
            <w:r>
              <w:t>Viable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VIABLE</w:t>
            </w:r>
          </w:p>
        </w:tc>
      </w:tr>
    </w:tbl>
    <w:p/>
    <w:p>
      <w:pPr>
        <w:pStyle w:val="Heading2"/>
      </w:pPr>
      <w:r>
        <w:t>Conclusión Sintética</w:t>
      </w:r>
    </w:p>
    <w:p>
      <w:pPr>
        <w:jc w:val="both"/>
      </w:pPr>
      <w:r>
        <w:t>El agente SAC representa la solución ÓPTIMA para el sistema PVBESSCAR por tres razones: (1) logra reducción de CO₂ de 1,303,273 kg/año (sistema completo con 3 canales), (2) mantiene máxima satisfacción de usuarios con 3,500 EV cargadas/año (+25% vs baseline), y (3) proporciona cobertura operacional viable (9.6 motos/día) para sustentar economía del servicio de paga-mirada. Aunque A2C podría reducir CO₂ un 2.3% adicional, sacrificaría 500 usuarios/año, comprometiendo la viabilidad del modelo. SAC alcanza el punto de equilibrio óptimo entre sostenibilidad ambiental y sostenibilidad económica.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