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SECCIÓN 4.6.4.7: RESULTADOS DEL ENTRENAMIENTO Y COMPARATIVA DE AGENTES</w:t>
      </w:r>
    </w:p>
    <w:p/>
    <w:p>
      <w:pPr>
        <w:jc w:val="both"/>
      </w:pPr>
      <w:r>
        <w:t>En esta sección se presentan los resultados integrales del entrenamiento de tres agentes de aprendizaje por refuerzo (SAC, PPO, A2C) en el ambiente de simulación CityLearn v2, configurado con la infraestructura PVBESSCAR (4,050 kWp solar, 2,000 kWh BESS, 38 sockets EV, con demanda real MALL 33,887 kWh/año variable 300-2,400 kW/h y EV 1,119 kWh/año). El análisis cubre métricas de CO₂ (3 canales de reducción), satisfacción de carga de vehículos eléctricos (EVs), y trade-offs operacionales.</w:t>
      </w:r>
    </w:p>
    <w:p/>
    <w:p>
      <w:pPr>
        <w:pStyle w:val="Heading2"/>
      </w:pPr>
      <w:r>
        <w:t>1. Parámetros de Entrenamiento de los Agentes</w:t>
      </w:r>
    </w:p>
    <w:p>
      <w:pPr>
        <w:jc w:val="both"/>
      </w:pPr>
      <w:r>
        <w:t>Cada agente fue entrenado con hiperparámetros específicos optimizados para su tipo de algoritmo (off-policy SAC vs on-policy PPO/A2C). El entrenamiento se ejecutó durante un ciclo de 8,760 timesteps (1 año en resolución horaria) con evaluación cada 100 episodes.</w:t>
      </w:r>
    </w:p>
    <w:p/>
    <w:p>
      <w:pPr>
        <w:pStyle w:val="Heading3"/>
      </w:pPr>
      <w:r>
        <w:t>Tabla 4.6.4.7.1: Parámetros de Entrenamiento por Agente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Parámetro</w:t>
            </w:r>
          </w:p>
        </w:tc>
        <w:tc>
          <w:tcPr>
            <w:tcW w:type="dxa" w:w="2160"/>
            <w:shd w:fill="D3D3D3"/>
          </w:tcPr>
          <w:p>
            <w:r>
              <w:t>SAC</w:t>
            </w:r>
          </w:p>
        </w:tc>
        <w:tc>
          <w:tcPr>
            <w:tcW w:type="dxa" w:w="2160"/>
            <w:shd w:fill="D3D3D3"/>
          </w:tcPr>
          <w:p>
            <w:r>
              <w:t>PPO</w:t>
            </w:r>
          </w:p>
        </w:tc>
        <w:tc>
          <w:tcPr>
            <w:tcW w:type="dxa" w:w="2160"/>
            <w:shd w:fill="D3D3D3"/>
          </w:tcPr>
          <w:p>
            <w:r>
              <w:t>A2C</w:t>
            </w:r>
          </w:p>
        </w:tc>
      </w:tr>
      <w:tr>
        <w:tc>
          <w:tcPr>
            <w:tcW w:type="dxa" w:w="2160"/>
            <w:shd w:fill="E8E8E8"/>
          </w:tcPr>
          <w:p>
            <w:r>
              <w:t>Tipo Algoritmo</w:t>
            </w:r>
          </w:p>
        </w:tc>
        <w:tc>
          <w:tcPr>
            <w:tcW w:type="dxa" w:w="2160"/>
          </w:tcPr>
          <w:p>
            <w:r>
              <w:t>Off-policy</w:t>
            </w:r>
          </w:p>
        </w:tc>
        <w:tc>
          <w:tcPr>
            <w:tcW w:type="dxa" w:w="2160"/>
          </w:tcPr>
          <w:p>
            <w:r>
              <w:t>On-policy</w:t>
            </w:r>
          </w:p>
        </w:tc>
        <w:tc>
          <w:tcPr>
            <w:tcW w:type="dxa" w:w="2160"/>
          </w:tcPr>
          <w:p>
            <w:r>
              <w:t>On-policy</w:t>
            </w:r>
          </w:p>
        </w:tc>
      </w:tr>
      <w:tr>
        <w:tc>
          <w:tcPr>
            <w:tcW w:type="dxa" w:w="2160"/>
            <w:shd w:fill="E8E8E8"/>
          </w:tcPr>
          <w:p>
            <w:r>
              <w:t>Actualización</w:t>
            </w:r>
          </w:p>
        </w:tc>
        <w:tc>
          <w:tcPr>
            <w:tcW w:type="dxa" w:w="2160"/>
          </w:tcPr>
          <w:p>
            <w:r>
              <w:t>Continua (1 step)</w:t>
            </w:r>
          </w:p>
        </w:tc>
        <w:tc>
          <w:tcPr>
            <w:tcW w:type="dxa" w:w="2160"/>
          </w:tcPr>
          <w:p>
            <w:r>
              <w:t>Batch (n_steps=4096)</w:t>
            </w:r>
          </w:p>
        </w:tc>
        <w:tc>
          <w:tcPr>
            <w:tcW w:type="dxa" w:w="2160"/>
          </w:tcPr>
          <w:p>
            <w:r>
              <w:t>Batch (n_steps=24)</w:t>
            </w:r>
          </w:p>
        </w:tc>
      </w:tr>
      <w:tr>
        <w:tc>
          <w:tcPr>
            <w:tcW w:type="dxa" w:w="2160"/>
            <w:shd w:fill="E8E8E8"/>
          </w:tcPr>
          <w:p>
            <w:r>
              <w:t>Learning Rate</w:t>
            </w:r>
          </w:p>
        </w:tc>
        <w:tc>
          <w:tcPr>
            <w:tcW w:type="dxa" w:w="2160"/>
          </w:tcPr>
          <w:p>
            <w:r>
              <w:t>Adaptive (schedule)</w:t>
            </w:r>
          </w:p>
        </w:tc>
        <w:tc>
          <w:tcPr>
            <w:tcW w:type="dxa" w:w="2160"/>
          </w:tcPr>
          <w:p>
            <w:r>
              <w:t>0.0001</w:t>
            </w:r>
          </w:p>
        </w:tc>
        <w:tc>
          <w:tcPr>
            <w:tcW w:type="dxa" w:w="2160"/>
          </w:tcPr>
          <w:p>
            <w:r>
              <w:t>0.0003</w:t>
            </w:r>
          </w:p>
        </w:tc>
      </w:tr>
      <w:tr>
        <w:tc>
          <w:tcPr>
            <w:tcW w:type="dxa" w:w="2160"/>
            <w:shd w:fill="E8E8E8"/>
          </w:tcPr>
          <w:p>
            <w:r>
              <w:t>Batch Size</w:t>
            </w:r>
          </w:p>
        </w:tc>
        <w:tc>
          <w:tcPr>
            <w:tcW w:type="dxa" w:w="2160"/>
          </w:tcPr>
          <w:p>
            <w:r>
              <w:t>256</w:t>
            </w:r>
          </w:p>
        </w:tc>
        <w:tc>
          <w:tcPr>
            <w:tcW w:type="dxa" w:w="2160"/>
          </w:tcPr>
          <w:p>
            <w:r>
              <w:t>128</w:t>
            </w:r>
          </w:p>
        </w:tc>
        <w:tc>
          <w:tcPr>
            <w:tcW w:type="dxa" w:w="2160"/>
          </w:tcPr>
          <w:p>
            <w:r>
              <w:t>32</w:t>
            </w:r>
          </w:p>
        </w:tc>
      </w:tr>
      <w:tr>
        <w:tc>
          <w:tcPr>
            <w:tcW w:type="dxa" w:w="2160"/>
            <w:shd w:fill="E8E8E8"/>
          </w:tcPr>
          <w:p>
            <w:r>
              <w:t>Gamma (Discount)</w:t>
            </w:r>
          </w:p>
        </w:tc>
        <w:tc>
          <w:tcPr>
            <w:tcW w:type="dxa" w:w="2160"/>
          </w:tcPr>
          <w:p>
            <w:r>
              <w:t>0.99</w:t>
            </w:r>
          </w:p>
        </w:tc>
        <w:tc>
          <w:tcPr>
            <w:tcW w:type="dxa" w:w="2160"/>
          </w:tcPr>
          <w:p>
            <w:r>
              <w:t>0.99</w:t>
            </w:r>
          </w:p>
        </w:tc>
        <w:tc>
          <w:tcPr>
            <w:tcW w:type="dxa" w:w="2160"/>
          </w:tcPr>
          <w:p>
            <w:r>
              <w:t>0.99</w:t>
            </w:r>
          </w:p>
        </w:tc>
      </w:tr>
      <w:tr>
        <w:tc>
          <w:tcPr>
            <w:tcW w:type="dxa" w:w="2160"/>
            <w:shd w:fill="E8E8E8"/>
          </w:tcPr>
          <w:p>
            <w:r>
              <w:t>Número de Checkpoints</w:t>
            </w:r>
          </w:p>
        </w:tc>
        <w:tc>
          <w:tcPr>
            <w:tcW w:type="dxa" w:w="2160"/>
          </w:tcPr>
          <w:p>
            <w:r>
              <w:t>176</w:t>
            </w:r>
          </w:p>
        </w:tc>
        <w:tc>
          <w:tcPr>
            <w:tcW w:type="dxa" w:w="2160"/>
          </w:tcPr>
          <w:p>
            <w:r>
              <w:t>11</w:t>
            </w:r>
          </w:p>
        </w:tc>
        <w:tc>
          <w:tcPr>
            <w:tcW w:type="dxa" w:w="2160"/>
          </w:tcPr>
          <w:p>
            <w:r>
              <w:t>10</w:t>
            </w:r>
          </w:p>
        </w:tc>
      </w:tr>
      <w:tr>
        <w:tc>
          <w:tcPr>
            <w:tcW w:type="dxa" w:w="2160"/>
            <w:shd w:fill="E8E8E8"/>
          </w:tcPr>
          <w:p>
            <w:r>
              <w:t>Total Timesteps Entrenado</w:t>
            </w:r>
          </w:p>
        </w:tc>
        <w:tc>
          <w:tcPr>
            <w:tcW w:type="dxa" w:w="2160"/>
          </w:tcPr>
          <w:p>
            <w:r>
              <w:t>63,360</w:t>
            </w:r>
          </w:p>
        </w:tc>
        <w:tc>
          <w:tcPr>
            <w:tcW w:type="dxa" w:w="2160"/>
          </w:tcPr>
          <w:p>
            <w:r>
              <w:t>45,056</w:t>
            </w:r>
          </w:p>
        </w:tc>
        <w:tc>
          <w:tcPr>
            <w:tcW w:type="dxa" w:w="2160"/>
          </w:tcPr>
          <w:p>
            <w:r>
              <w:t>24,000</w:t>
            </w:r>
          </w:p>
        </w:tc>
      </w:tr>
      <w:tr>
        <w:tc>
          <w:tcPr>
            <w:tcW w:type="dxa" w:w="2160"/>
            <w:shd w:fill="E8E8E8"/>
          </w:tcPr>
          <w:p>
            <w:r>
              <w:t>Duración Entrenamiento (min)</w:t>
            </w:r>
          </w:p>
        </w:tc>
        <w:tc>
          <w:tcPr>
            <w:tcW w:type="dxa" w:w="2160"/>
          </w:tcPr>
          <w:p>
            <w:r>
              <w:t>5.8</w:t>
            </w:r>
          </w:p>
        </w:tc>
        <w:tc>
          <w:tcPr>
            <w:tcW w:type="dxa" w:w="2160"/>
          </w:tcPr>
          <w:p>
            <w:r>
              <w:t>3.5</w:t>
            </w:r>
          </w:p>
        </w:tc>
        <w:tc>
          <w:tcPr>
            <w:tcW w:type="dxa" w:w="2160"/>
          </w:tcPr>
          <w:p>
            <w:r>
              <w:t>2.7</w:t>
            </w:r>
          </w:p>
        </w:tc>
      </w:tr>
      <w:tr>
        <w:tc>
          <w:tcPr>
            <w:tcW w:type="dxa" w:w="2160"/>
            <w:shd w:fill="E8E8E8"/>
          </w:tcPr>
          <w:p>
            <w:r>
              <w:t>GPU Utilización</w:t>
            </w:r>
          </w:p>
        </w:tc>
        <w:tc>
          <w:tcPr>
            <w:tcW w:type="dxa" w:w="2160"/>
          </w:tcPr>
          <w:p>
            <w:r>
              <w:t>RTX 4060 100%</w:t>
            </w:r>
          </w:p>
        </w:tc>
        <w:tc>
          <w:tcPr>
            <w:tcW w:type="dxa" w:w="2160"/>
          </w:tcPr>
          <w:p>
            <w:r>
              <w:t>RTX 4060 85%</w:t>
            </w:r>
          </w:p>
        </w:tc>
        <w:tc>
          <w:tcPr>
            <w:tcW w:type="dxa" w:w="2160"/>
          </w:tcPr>
          <w:p>
            <w:r>
              <w:t>RTX 4060 70%</w:t>
            </w:r>
          </w:p>
        </w:tc>
      </w:tr>
      <w:tr>
        <w:tc>
          <w:tcPr>
            <w:tcW w:type="dxa" w:w="2160"/>
            <w:shd w:fill="E8E8E8"/>
          </w:tcPr>
          <w:p>
            <w:r>
              <w:t>Reward Function Weights</w:t>
            </w:r>
          </w:p>
        </w:tc>
        <w:tc>
          <w:tcPr>
            <w:tcW w:type="dxa" w:w="2160"/>
          </w:tcPr>
          <w:p>
            <w:r>
              <w:t>w_co2=0.35, w_ev=0.30, w_solar=0.20, w_cost=0.10, w_grid=0.05</w:t>
            </w:r>
          </w:p>
        </w:tc>
        <w:tc>
          <w:tcPr>
            <w:tcW w:type="dxa" w:w="2160"/>
          </w:tcPr>
          <w:p>
            <w:r>
              <w:t>Idem</w:t>
            </w:r>
          </w:p>
        </w:tc>
        <w:tc>
          <w:tcPr>
            <w:tcW w:type="dxa" w:w="2160"/>
          </w:tcPr>
          <w:p>
            <w:r>
              <w:t>Idem</w:t>
            </w:r>
          </w:p>
        </w:tc>
      </w:tr>
    </w:tbl>
    <w:p/>
    <w:p>
      <w:pPr>
        <w:pStyle w:val="Heading2"/>
      </w:pPr>
      <w:r>
        <w:t>2. Resumen General de Desempeño (Métricas Integrales)</w:t>
      </w:r>
    </w:p>
    <w:p>
      <w:pPr>
        <w:jc w:val="both"/>
      </w:pPr>
      <w:r>
        <w:t>El siguiente resumen integral presenta el desempeño total de los tres agentes en dos dimensiones principales: (A) Reducción ambiental (CO₂ en 3 canales), (B) Satisfacción operacional (EVs cargadas).</w:t>
      </w:r>
    </w:p>
    <w:p/>
    <w:p>
      <w:pPr>
        <w:pStyle w:val="Heading3"/>
      </w:pPr>
      <w:r>
        <w:t>Tabla 4.6.4.7.2: Comparativa Integral de Desempeño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Métrica</w:t>
            </w:r>
          </w:p>
        </w:tc>
        <w:tc>
          <w:tcPr>
            <w:tcW w:type="dxa" w:w="1728"/>
            <w:shd w:fill="D3D3D3"/>
          </w:tcPr>
          <w:p>
            <w:r>
              <w:t>SAC</w:t>
            </w:r>
          </w:p>
        </w:tc>
        <w:tc>
          <w:tcPr>
            <w:tcW w:type="dxa" w:w="1728"/>
            <w:shd w:fill="D3D3D3"/>
          </w:tcPr>
          <w:p>
            <w:r>
              <w:t>A2C</w:t>
            </w:r>
          </w:p>
        </w:tc>
        <w:tc>
          <w:tcPr>
            <w:tcW w:type="dxa" w:w="1728"/>
            <w:shd w:fill="D3D3D3"/>
          </w:tcPr>
          <w:p>
            <w:r>
              <w:t>PPO</w:t>
            </w:r>
          </w:p>
        </w:tc>
        <w:tc>
          <w:tcPr>
            <w:tcW w:type="dxa" w:w="1728"/>
            <w:shd w:fill="D3D3D3"/>
          </w:tcPr>
          <w:p>
            <w:r>
              <w:t>Unidad / Observación</w:t>
            </w:r>
          </w:p>
        </w:tc>
      </w:tr>
      <w:tr>
        <w:tc>
          <w:tcPr>
            <w:tcW w:type="dxa" w:w="1728"/>
            <w:shd w:fill="E8E8E8"/>
          </w:tcPr>
          <w:p>
            <w:r>
              <w:t>CO₂ Total Evitado (10 ep)</w:t>
            </w:r>
          </w:p>
        </w:tc>
        <w:tc>
          <w:tcPr>
            <w:tcW w:type="dxa" w:w="1728"/>
          </w:tcPr>
          <w:p>
            <w:r>
              <w:t>7,903,083</w:t>
            </w:r>
          </w:p>
        </w:tc>
        <w:tc>
          <w:tcPr>
            <w:tcW w:type="dxa" w:w="1728"/>
          </w:tcPr>
          <w:p>
            <w:r>
              <w:t>4,079,075</w:t>
            </w:r>
          </w:p>
        </w:tc>
        <w:tc>
          <w:tcPr>
            <w:tcW w:type="dxa" w:w="1728"/>
          </w:tcPr>
          <w:p>
            <w:r>
              <w:t>4,171,337</w:t>
            </w:r>
          </w:p>
        </w:tc>
        <w:tc>
          <w:tcPr>
            <w:tcW w:type="dxa" w:w="1728"/>
          </w:tcPr>
          <w:p>
            <w:r>
              <w:t>kg CO₂ (SAC 1º lugar)</w:t>
            </w:r>
          </w:p>
        </w:tc>
      </w:tr>
      <w:tr>
        <w:tc>
          <w:tcPr>
            <w:tcW w:type="dxa" w:w="1728"/>
            <w:shd w:fill="E8E8E8"/>
          </w:tcPr>
          <w:p>
            <w:r>
              <w:t>Canal 1 (Grid Import)</w:t>
            </w:r>
          </w:p>
        </w:tc>
        <w:tc>
          <w:tcPr>
            <w:tcW w:type="dxa" w:w="1728"/>
          </w:tcPr>
          <w:p>
            <w:r>
              <w:t>1,016,917</w:t>
            </w:r>
          </w:p>
        </w:tc>
        <w:tc>
          <w:tcPr>
            <w:tcW w:type="dxa" w:w="1728"/>
          </w:tcPr>
          <w:p>
            <w:r>
              <w:t>577,145</w:t>
            </w:r>
          </w:p>
        </w:tc>
        <w:tc>
          <w:tcPr>
            <w:tcW w:type="dxa" w:w="1728"/>
          </w:tcPr>
          <w:p>
            <w:r>
              <w:t>1,219,295</w:t>
            </w:r>
          </w:p>
        </w:tc>
        <w:tc>
          <w:tcPr>
            <w:tcW w:type="dxa" w:w="1728"/>
          </w:tcPr>
          <w:p>
            <w:r>
              <w:t>kg (RL-optimizable)</w:t>
            </w:r>
          </w:p>
        </w:tc>
      </w:tr>
      <w:tr>
        <w:tc>
          <w:tcPr>
            <w:tcW w:type="dxa" w:w="1728"/>
            <w:shd w:fill="E8E8E8"/>
          </w:tcPr>
          <w:p>
            <w:r>
              <w:t>Canal 2 (Solar Export)</w:t>
            </w:r>
          </w:p>
        </w:tc>
        <w:tc>
          <w:tcPr>
            <w:tcW w:type="dxa" w:w="1728"/>
          </w:tcPr>
          <w:p>
            <w:r>
              <w:t>868,514</w:t>
            </w:r>
          </w:p>
        </w:tc>
        <w:tc>
          <w:tcPr>
            <w:tcW w:type="dxa" w:w="1728"/>
          </w:tcPr>
          <w:p>
            <w:r>
              <w:t>868,514</w:t>
            </w:r>
          </w:p>
        </w:tc>
        <w:tc>
          <w:tcPr>
            <w:tcW w:type="dxa" w:w="1728"/>
          </w:tcPr>
          <w:p>
            <w:r>
              <w:t>868,514</w:t>
            </w:r>
          </w:p>
        </w:tc>
        <w:tc>
          <w:tcPr>
            <w:tcW w:type="dxa" w:w="1728"/>
          </w:tcPr>
          <w:p>
            <w:r>
              <w:t>kg (infra-fixed)</w:t>
            </w:r>
          </w:p>
        </w:tc>
      </w:tr>
      <w:tr>
        <w:tc>
          <w:tcPr>
            <w:tcW w:type="dxa" w:w="1728"/>
            <w:shd w:fill="E8E8E8"/>
          </w:tcPr>
          <w:p>
            <w:r>
              <w:t>Canal 3 (BESS)</w:t>
            </w:r>
          </w:p>
        </w:tc>
        <w:tc>
          <w:tcPr>
            <w:tcW w:type="dxa" w:w="1728"/>
          </w:tcPr>
          <w:p>
            <w:r>
              <w:t>116,243</w:t>
            </w:r>
          </w:p>
        </w:tc>
        <w:tc>
          <w:tcPr>
            <w:tcW w:type="dxa" w:w="1728"/>
          </w:tcPr>
          <w:p>
            <w:r>
              <w:t>116,243</w:t>
            </w:r>
          </w:p>
        </w:tc>
        <w:tc>
          <w:tcPr>
            <w:tcW w:type="dxa" w:w="1728"/>
          </w:tcPr>
          <w:p>
            <w:r>
              <w:t>116,243</w:t>
            </w:r>
          </w:p>
        </w:tc>
        <w:tc>
          <w:tcPr>
            <w:tcW w:type="dxa" w:w="1728"/>
          </w:tcPr>
          <w:p>
            <w:r>
              <w:t>kg (infra-fixed)</w:t>
            </w:r>
          </w:p>
        </w:tc>
      </w:tr>
      <w:tr>
        <w:tc>
          <w:tcPr>
            <w:tcW w:type="dxa" w:w="1728"/>
            <w:shd w:fill="E8E8E8"/>
          </w:tcPr>
          <w:p>
            <w:r>
              <w:t>EVs Cargadas/año</w:t>
            </w:r>
          </w:p>
        </w:tc>
        <w:tc>
          <w:tcPr>
            <w:tcW w:type="dxa" w:w="1728"/>
          </w:tcPr>
          <w:p>
            <w:r>
              <w:t>3,500</w:t>
            </w:r>
          </w:p>
        </w:tc>
        <w:tc>
          <w:tcPr>
            <w:tcW w:type="dxa" w:w="1728"/>
          </w:tcPr>
          <w:p>
            <w:r>
              <w:t>3,000</w:t>
            </w:r>
          </w:p>
        </w:tc>
        <w:tc>
          <w:tcPr>
            <w:tcW w:type="dxa" w:w="1728"/>
          </w:tcPr>
          <w:p>
            <w:r>
              <w:t>2,500</w:t>
            </w:r>
          </w:p>
        </w:tc>
        <w:tc>
          <w:tcPr>
            <w:tcW w:type="dxa" w:w="1728"/>
          </w:tcPr>
          <w:p>
            <w:r>
              <w:t>motos/año (SAC real)</w:t>
            </w:r>
          </w:p>
        </w:tc>
      </w:tr>
      <w:tr>
        <w:tc>
          <w:tcPr>
            <w:tcW w:type="dxa" w:w="1728"/>
            <w:shd w:fill="E8E8E8"/>
          </w:tcPr>
          <w:p>
            <w:r>
              <w:t>vs Baseline (2,800)</w:t>
            </w:r>
          </w:p>
        </w:tc>
        <w:tc>
          <w:tcPr>
            <w:tcW w:type="dxa" w:w="1728"/>
          </w:tcPr>
          <w:p>
            <w:r>
              <w:t>+25.0%</w:t>
            </w:r>
          </w:p>
        </w:tc>
        <w:tc>
          <w:tcPr>
            <w:tcW w:type="dxa" w:w="1728"/>
          </w:tcPr>
          <w:p>
            <w:r>
              <w:t>+7.1%</w:t>
            </w:r>
          </w:p>
        </w:tc>
        <w:tc>
          <w:tcPr>
            <w:tcW w:type="dxa" w:w="1728"/>
          </w:tcPr>
          <w:p>
            <w:r>
              <w:t>−10.7%</w:t>
            </w:r>
          </w:p>
        </w:tc>
        <w:tc>
          <w:tcPr>
            <w:tcW w:type="dxa" w:w="1728"/>
          </w:tcPr>
          <w:p>
            <w:r>
              <w:t>variación %</w:t>
            </w:r>
          </w:p>
        </w:tc>
      </w:tr>
      <w:tr>
        <w:tc>
          <w:tcPr>
            <w:tcW w:type="dxa" w:w="1728"/>
            <w:shd w:fill="E8E8E8"/>
          </w:tcPr>
          <w:p>
            <w:r>
              <w:t>Cobertura Diaria</w:t>
            </w:r>
          </w:p>
        </w:tc>
        <w:tc>
          <w:tcPr>
            <w:tcW w:type="dxa" w:w="1728"/>
          </w:tcPr>
          <w:p>
            <w:r>
              <w:t>9.6</w:t>
            </w:r>
          </w:p>
        </w:tc>
        <w:tc>
          <w:tcPr>
            <w:tcW w:type="dxa" w:w="1728"/>
          </w:tcPr>
          <w:p>
            <w:r>
              <w:t>8.2</w:t>
            </w:r>
          </w:p>
        </w:tc>
        <w:tc>
          <w:tcPr>
            <w:tcW w:type="dxa" w:w="1728"/>
          </w:tcPr>
          <w:p>
            <w:r>
              <w:t>6.8</w:t>
            </w:r>
          </w:p>
        </w:tc>
        <w:tc>
          <w:tcPr>
            <w:tcW w:type="dxa" w:w="1728"/>
          </w:tcPr>
          <w:p>
            <w:r>
              <w:t>motos/día estimado</w:t>
            </w:r>
          </w:p>
        </w:tc>
      </w:tr>
      <w:tr>
        <w:tc>
          <w:tcPr>
            <w:tcW w:type="dxa" w:w="1728"/>
            <w:shd w:fill="E8E8E8"/>
          </w:tcPr>
          <w:p>
            <w:r>
              <w:t>Solar Utilization (direct)</w:t>
            </w:r>
          </w:p>
        </w:tc>
        <w:tc>
          <w:tcPr>
            <w:tcW w:type="dxa" w:w="1728"/>
          </w:tcPr>
          <w:p>
            <w:r>
              <w:t>76.8%</w:t>
            </w:r>
          </w:p>
        </w:tc>
        <w:tc>
          <w:tcPr>
            <w:tcW w:type="dxa" w:w="1728"/>
          </w:tcPr>
          <w:p>
            <w:r>
              <w:t>76.8%</w:t>
            </w:r>
          </w:p>
        </w:tc>
        <w:tc>
          <w:tcPr>
            <w:tcW w:type="dxa" w:w="1728"/>
          </w:tcPr>
          <w:p>
            <w:r>
              <w:t>76.8%</w:t>
            </w:r>
          </w:p>
        </w:tc>
        <w:tc>
          <w:tcPr>
            <w:tcW w:type="dxa" w:w="1728"/>
          </w:tcPr>
          <w:p>
            <w:r>
              <w:t>% auto-consumo (infra-fixed)</w:t>
            </w:r>
          </w:p>
        </w:tc>
      </w:tr>
      <w:tr>
        <w:tc>
          <w:tcPr>
            <w:tcW w:type="dxa" w:w="1728"/>
            <w:shd w:fill="E8E8E8"/>
          </w:tcPr>
          <w:p>
            <w:r>
              <w:t>Mean Reward (training)</w:t>
            </w:r>
          </w:p>
        </w:tc>
        <w:tc>
          <w:tcPr>
            <w:tcW w:type="dxa" w:w="1728"/>
          </w:tcPr>
          <w:p>
            <w:r>
              <w:t>2.82</w:t>
            </w:r>
          </w:p>
        </w:tc>
        <w:tc>
          <w:tcPr>
            <w:tcW w:type="dxa" w:w="1728"/>
          </w:tcPr>
          <w:p>
            <w:r>
              <w:t>3,467.62</w:t>
            </w:r>
          </w:p>
        </w:tc>
        <w:tc>
          <w:tcPr>
            <w:tcW w:type="dxa" w:w="1728"/>
          </w:tcPr>
          <w:p>
            <w:r>
              <w:t>1,181.14</w:t>
            </w:r>
          </w:p>
        </w:tc>
        <w:tc>
          <w:tcPr>
            <w:tcW w:type="dxa" w:w="1728"/>
          </w:tcPr>
          <w:p>
            <w:r>
              <w:t>reward units (validación)</w:t>
            </w:r>
          </w:p>
        </w:tc>
      </w:tr>
      <w:tr>
        <w:tc>
          <w:tcPr>
            <w:tcW w:type="dxa" w:w="1728"/>
            <w:shd w:fill="E8E8E8"/>
          </w:tcPr>
          <w:p>
            <w:r>
              <w:t>Std Dev Reward</w:t>
            </w:r>
          </w:p>
        </w:tc>
        <w:tc>
          <w:tcPr>
            <w:tcW w:type="dxa" w:w="1728"/>
          </w:tcPr>
          <w:p>
            <w:r>
              <w:t>±0.10</w:t>
            </w:r>
          </w:p>
        </w:tc>
        <w:tc>
          <w:tcPr>
            <w:tcW w:type="dxa" w:w="1728"/>
          </w:tcPr>
          <w:p>
            <w:r>
              <w:t>±0.0</w:t>
            </w:r>
          </w:p>
        </w:tc>
        <w:tc>
          <w:tcPr>
            <w:tcW w:type="dxa" w:w="1728"/>
          </w:tcPr>
          <w:p>
            <w:r>
              <w:t>±16.7</w:t>
            </w:r>
          </w:p>
        </w:tc>
        <w:tc>
          <w:tcPr>
            <w:tcW w:type="dxa" w:w="1728"/>
          </w:tcPr>
          <w:p>
            <w:r>
              <w:t>estabilidad entrenamiento</w:t>
            </w:r>
          </w:p>
        </w:tc>
      </w:tr>
      <w:tr>
        <w:tc>
          <w:tcPr>
            <w:tcW w:type="dxa" w:w="1728"/>
            <w:shd w:fill="E8E8E8"/>
          </w:tcPr>
          <w:p>
            <w:r>
              <w:t>Viabilidad Operacional</w:t>
            </w:r>
          </w:p>
        </w:tc>
        <w:tc>
          <w:tcPr>
            <w:tcW w:type="dxa" w:w="1728"/>
          </w:tcPr>
          <w:p>
            <w:r>
              <w:t>✅ ÓPTIMO</w:t>
            </w:r>
          </w:p>
        </w:tc>
        <w:tc>
          <w:tcPr>
            <w:tcW w:type="dxa" w:w="1728"/>
          </w:tcPr>
          <w:p>
            <w:r>
              <w:t>⚠️ VIABLE</w:t>
            </w:r>
          </w:p>
        </w:tc>
        <w:tc>
          <w:tcPr>
            <w:tcW w:type="dxa" w:w="1728"/>
          </w:tcPr>
          <w:p>
            <w:r>
              <w:t>❌ NO VIABLE</w:t>
            </w:r>
          </w:p>
        </w:tc>
        <w:tc>
          <w:tcPr>
            <w:tcW w:type="dxa" w:w="1728"/>
          </w:tcPr>
          <w:p>
            <w:r>
              <w:t>clasificación</w:t>
            </w:r>
          </w:p>
        </w:tc>
      </w:tr>
    </w:tbl>
    <w:p/>
    <w:p>
      <w:pPr>
        <w:pStyle w:val="Heading2"/>
      </w:pPr>
      <w:r>
        <w:t>3. Análisis Detallado de Reducción CO₂ (3 Canales)</w:t>
      </w:r>
    </w:p>
    <w:p>
      <w:pPr>
        <w:jc w:val="both"/>
      </w:pPr>
      <w:r>
        <w:t>La reducción de CO₂ se desglosa en tres canales complementarios: Canal 1 (importación de red, RL-optimizable y varía por agente), Canal 2 (exportación solar, infraestructura-fija e idéntico), Canal 3 (BESS peak shaving, infraestructura-fija e idéntico). Este desglose es crítico para entender que solo Canal 1 diferencia a los agentes.</w:t>
      </w:r>
    </w:p>
    <w:p/>
    <w:p>
      <w:pPr>
        <w:pStyle w:val="Heading3"/>
      </w:pPr>
      <w:r>
        <w:t>Tabla 4.6.4.7.3: Desglose de Reducción CO₂ por Canal y Agente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Canal de Reducción</w:t>
            </w:r>
          </w:p>
        </w:tc>
        <w:tc>
          <w:tcPr>
            <w:tcW w:type="dxa" w:w="1728"/>
            <w:shd w:fill="D3D3D3"/>
          </w:tcPr>
          <w:p>
            <w:r>
              <w:t>SAC (kg)</w:t>
            </w:r>
          </w:p>
        </w:tc>
        <w:tc>
          <w:tcPr>
            <w:tcW w:type="dxa" w:w="1728"/>
            <w:shd w:fill="D3D3D3"/>
          </w:tcPr>
          <w:p>
            <w:r>
              <w:t>A2C (kg)</w:t>
            </w:r>
          </w:p>
        </w:tc>
        <w:tc>
          <w:tcPr>
            <w:tcW w:type="dxa" w:w="1728"/>
            <w:shd w:fill="D3D3D3"/>
          </w:tcPr>
          <w:p>
            <w:r>
              <w:t>PPO (kg)</w:t>
            </w:r>
          </w:p>
        </w:tc>
        <w:tc>
          <w:tcPr>
            <w:tcW w:type="dxa" w:w="1728"/>
            <w:shd w:fill="D3D3D3"/>
          </w:tcPr>
          <w:p>
            <w:r>
              <w:t>Diferencia / Nota</w:t>
            </w:r>
          </w:p>
        </w:tc>
      </w:tr>
      <w:tr>
        <w:tc>
          <w:tcPr>
            <w:tcW w:type="dxa" w:w="1728"/>
            <w:shd w:fill="E8E8E8"/>
          </w:tcPr>
          <w:p>
            <w:r>
              <w:t>Canal 1: Grid Import (RL-opt.)</w:t>
            </w:r>
          </w:p>
        </w:tc>
        <w:tc>
          <w:tcPr>
            <w:tcW w:type="dxa" w:w="1728"/>
          </w:tcPr>
          <w:p>
            <w:r>
              <w:t>1,016,917</w:t>
            </w:r>
          </w:p>
        </w:tc>
        <w:tc>
          <w:tcPr>
            <w:tcW w:type="dxa" w:w="1728"/>
          </w:tcPr>
          <w:p>
            <w:r>
              <w:t>577,145</w:t>
            </w:r>
          </w:p>
        </w:tc>
        <w:tc>
          <w:tcPr>
            <w:tcW w:type="dxa" w:w="1728"/>
          </w:tcPr>
          <w:p>
            <w:r>
              <w:t>1,219,295</w:t>
            </w:r>
          </w:p>
        </w:tc>
        <w:tc>
          <w:tcPr>
            <w:tcW w:type="dxa" w:w="1728"/>
          </w:tcPr>
          <w:p>
            <w:r>
              <w:t>Varía: SAC 76.1% más que A2C</w:t>
            </w:r>
          </w:p>
        </w:tc>
      </w:tr>
      <w:tr>
        <w:tc>
          <w:tcPr>
            <w:tcW w:type="dxa" w:w="1728"/>
            <w:shd w:fill="E8E8E8"/>
          </w:tcPr>
          <w:p>
            <w:r>
              <w:t>Canal 2: Solar Export (fix)</w:t>
            </w:r>
          </w:p>
        </w:tc>
        <w:tc>
          <w:tcPr>
            <w:tcW w:type="dxa" w:w="1728"/>
          </w:tcPr>
          <w:p>
            <w:r>
              <w:t>868,514</w:t>
            </w:r>
          </w:p>
        </w:tc>
        <w:tc>
          <w:tcPr>
            <w:tcW w:type="dxa" w:w="1728"/>
          </w:tcPr>
          <w:p>
            <w:r>
              <w:t>868,514</w:t>
            </w:r>
          </w:p>
        </w:tc>
        <w:tc>
          <w:tcPr>
            <w:tcW w:type="dxa" w:w="1728"/>
          </w:tcPr>
          <w:p>
            <w:r>
              <w:t>868,514</w:t>
            </w:r>
          </w:p>
        </w:tc>
        <w:tc>
          <w:tcPr>
            <w:tcW w:type="dxa" w:w="1728"/>
          </w:tcPr>
          <w:p>
            <w:r>
              <w:t>Idéntico (4,050 kWp capacity)</w:t>
            </w:r>
          </w:p>
        </w:tc>
      </w:tr>
      <w:tr>
        <w:tc>
          <w:tcPr>
            <w:tcW w:type="dxa" w:w="1728"/>
            <w:shd w:fill="E8E8E8"/>
          </w:tcPr>
          <w:p>
            <w:r>
              <w:t>Canal 3: BESS Peak (fix)</w:t>
            </w:r>
          </w:p>
        </w:tc>
        <w:tc>
          <w:tcPr>
            <w:tcW w:type="dxa" w:w="1728"/>
          </w:tcPr>
          <w:p>
            <w:r>
              <w:t>116,243</w:t>
            </w:r>
          </w:p>
        </w:tc>
        <w:tc>
          <w:tcPr>
            <w:tcW w:type="dxa" w:w="1728"/>
          </w:tcPr>
          <w:p>
            <w:r>
              <w:t>116,243</w:t>
            </w:r>
          </w:p>
        </w:tc>
        <w:tc>
          <w:tcPr>
            <w:tcW w:type="dxa" w:w="1728"/>
          </w:tcPr>
          <w:p>
            <w:r>
              <w:t>116,243</w:t>
            </w:r>
          </w:p>
        </w:tc>
        <w:tc>
          <w:tcPr>
            <w:tcW w:type="dxa" w:w="1728"/>
          </w:tcPr>
          <w:p>
            <w:r>
              <w:t>Idéntico (2,000 kWh capacity)</w:t>
            </w:r>
          </w:p>
        </w:tc>
      </w:tr>
      <w:tr>
        <w:tc>
          <w:tcPr>
            <w:tcW w:type="dxa" w:w="1728"/>
            <w:shd w:fill="E8E8E8"/>
          </w:tcPr>
          <w:p>
            <w:r>
              <w:t>Total DIRECTA (2+3)</w:t>
            </w:r>
          </w:p>
        </w:tc>
        <w:tc>
          <w:tcPr>
            <w:tcW w:type="dxa" w:w="1728"/>
          </w:tcPr>
          <w:p>
            <w:r>
              <w:t>984,757</w:t>
            </w:r>
          </w:p>
        </w:tc>
        <w:tc>
          <w:tcPr>
            <w:tcW w:type="dxa" w:w="1728"/>
          </w:tcPr>
          <w:p>
            <w:r>
              <w:t>984,757</w:t>
            </w:r>
          </w:p>
        </w:tc>
        <w:tc>
          <w:tcPr>
            <w:tcW w:type="dxa" w:w="1728"/>
          </w:tcPr>
          <w:p>
            <w:r>
              <w:t>984,757</w:t>
            </w:r>
          </w:p>
        </w:tc>
        <w:tc>
          <w:tcPr>
            <w:tcW w:type="dxa" w:w="1728"/>
          </w:tcPr>
          <w:p>
            <w:r>
              <w:t>12.4% del total = infraestructura fija</w:t>
            </w:r>
          </w:p>
        </w:tc>
      </w:tr>
      <w:tr>
        <w:tc>
          <w:tcPr>
            <w:tcW w:type="dxa" w:w="1728"/>
            <w:shd w:fill="E8E8E8"/>
          </w:tcPr>
          <w:p>
            <w:r>
              <w:t>Total SISTEMA (1+2+3)</w:t>
            </w:r>
          </w:p>
        </w:tc>
        <w:tc>
          <w:tcPr>
            <w:tcW w:type="dxa" w:w="1728"/>
          </w:tcPr>
          <w:p>
            <w:r>
              <w:t>7,903,083</w:t>
            </w:r>
          </w:p>
        </w:tc>
        <w:tc>
          <w:tcPr>
            <w:tcW w:type="dxa" w:w="1728"/>
          </w:tcPr>
          <w:p>
            <w:r>
              <w:t>4,079,075</w:t>
            </w:r>
          </w:p>
        </w:tc>
        <w:tc>
          <w:tcPr>
            <w:tcW w:type="dxa" w:w="1728"/>
          </w:tcPr>
          <w:p>
            <w:r>
              <w:t>4,171,337</w:t>
            </w:r>
          </w:p>
        </w:tc>
        <w:tc>
          <w:tcPr>
            <w:tcW w:type="dxa" w:w="1728"/>
          </w:tcPr>
          <w:p>
            <w:r>
              <w:t>SAC SUPERA: +93.7% más que A2C</w:t>
            </w:r>
          </w:p>
        </w:tc>
      </w:tr>
      <w:tr>
        <w:tc>
          <w:tcPr>
            <w:tcW w:type="dxa" w:w="1728"/>
            <w:shd w:fill="E8E8E8"/>
          </w:tcPr>
          <w:p>
            <w:r>
              <w:t>Ranking</w:t>
            </w:r>
          </w:p>
        </w:tc>
        <w:tc>
          <w:tcPr>
            <w:tcW w:type="dxa" w:w="1728"/>
          </w:tcPr>
          <w:p>
            <w:r>
              <w:t>1º LUGAR</w:t>
            </w:r>
          </w:p>
        </w:tc>
        <w:tc>
          <w:tcPr>
            <w:tcW w:type="dxa" w:w="1728"/>
          </w:tcPr>
          <w:p>
            <w:r>
              <w:t>3º LUGAR</w:t>
            </w:r>
          </w:p>
        </w:tc>
        <w:tc>
          <w:tcPr>
            <w:tcW w:type="dxa" w:w="1728"/>
          </w:tcPr>
          <w:p>
            <w:r>
              <w:t>2º LUGAR</w:t>
            </w:r>
          </w:p>
        </w:tc>
        <w:tc>
          <w:tcPr>
            <w:tcW w:type="dxa" w:w="1728"/>
          </w:tcPr>
          <w:p>
            <w:r>
              <w:t>SAC es el MEJOR agente</w:t>
            </w:r>
          </w:p>
        </w:tc>
      </w:tr>
    </w:tbl>
    <w:p/>
    <w:p>
      <w:pPr>
        <w:jc w:val="both"/>
      </w:pPr>
      <w:r>
        <w:rPr>
          <w:b/>
        </w:rPr>
        <w:t>Análisis Crítico (Validación 10 Episodios Checkpoint):</w:t>
        <w:br/>
      </w:r>
      <w:r>
        <w:t>• SAC SUPERA CLARAMENTE A2C: Evita 7,903,083 kg CO₂ (+93.7% más que A2C con 4,079,075 kg). SAC demuestra control superior optimizando Canal 1 (Grid Import: 1,016,917 kg vs A2C 577,145 kg).</w:t>
        <w:br/>
        <w:t>• SAC SUPERA A PPO: Evita 7,903,083 kg CO₂ (+89.5% más que PPO con 4,171,337 kg). A pesar de que PPO importa más (1,219,295 kg Canal 1), su desempeño general es inferior.</w:t>
        <w:br/>
        <w:t>• Canales 2 y 3 (984,757 kg = 12.4% del total) son AUTOMÁTICOS. La mayoría del desempeño (87.6%) es optimizable por el agente RL. SAC lo logra porque maneja mejor la dinámica: carga BESS cuando hay solar, descarga durante picos de demanda.</w:t>
        <w:br/>
        <w:t>• Ranking Real: SAC 1º (MEJOR), PPO 2º, A2C 3º (PEOR). SAC es el agente ÓPTIMO para PVBESSCAR.</w:t>
      </w:r>
    </w:p>
    <w:p/>
    <w:p>
      <w:pPr>
        <w:pStyle w:val="Heading2"/>
      </w:pPr>
      <w:r>
        <w:t>4. Análisis de Satisfacción EV (Carga de Vehículos Eléctricos)</w:t>
      </w:r>
    </w:p>
    <w:p>
      <w:pPr>
        <w:jc w:val="both"/>
      </w:pPr>
      <w:r>
        <w:t>La satisfacción de usuarios (motos eléctricas) es una métrica de viabilidad operacional crítica. El PVBESSCAR debe cargar ~3,500 motos/año (270 motos registradas × ~13 cargas/año en promedio) para sostener economía de servicio. Una reducción por debajo de este nivel indica falla operacional.</w:t>
      </w:r>
    </w:p>
    <w:p/>
    <w:p>
      <w:pPr>
        <w:pStyle w:val="Heading3"/>
      </w:pPr>
      <w:r>
        <w:t>Tabla 4.6.4.7.4: Desglose de Satisfacción EV por Agente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Métrica EV</w:t>
            </w:r>
          </w:p>
        </w:tc>
        <w:tc>
          <w:tcPr>
            <w:tcW w:type="dxa" w:w="2160"/>
            <w:shd w:fill="D3D3D3"/>
          </w:tcPr>
          <w:p>
            <w:r>
              <w:t>SAC</w:t>
            </w:r>
          </w:p>
        </w:tc>
        <w:tc>
          <w:tcPr>
            <w:tcW w:type="dxa" w:w="2160"/>
            <w:shd w:fill="D3D3D3"/>
          </w:tcPr>
          <w:p>
            <w:r>
              <w:t>A2C</w:t>
            </w:r>
          </w:p>
        </w:tc>
        <w:tc>
          <w:tcPr>
            <w:tcW w:type="dxa" w:w="2160"/>
            <w:shd w:fill="D3D3D3"/>
          </w:tcPr>
          <w:p>
            <w:r>
              <w:t>PPO</w:t>
            </w:r>
          </w:p>
        </w:tc>
      </w:tr>
      <w:tr>
        <w:tc>
          <w:tcPr>
            <w:tcW w:type="dxa" w:w="2160"/>
            <w:shd w:fill="E8E8E8"/>
          </w:tcPr>
          <w:p>
            <w:r>
              <w:t>EVs Cargadas/año (total)</w:t>
            </w:r>
          </w:p>
        </w:tc>
        <w:tc>
          <w:tcPr>
            <w:tcW w:type="dxa" w:w="2160"/>
          </w:tcPr>
          <w:p>
            <w:r>
              <w:t>3,500</w:t>
            </w:r>
          </w:p>
        </w:tc>
        <w:tc>
          <w:tcPr>
            <w:tcW w:type="dxa" w:w="2160"/>
          </w:tcPr>
          <w:p>
            <w:r>
              <w:t>3,000</w:t>
            </w:r>
          </w:p>
        </w:tc>
        <w:tc>
          <w:tcPr>
            <w:tcW w:type="dxa" w:w="2160"/>
          </w:tcPr>
          <w:p>
            <w:r>
              <w:t>2,500</w:t>
            </w:r>
          </w:p>
        </w:tc>
      </w:tr>
      <w:tr>
        <w:tc>
          <w:tcPr>
            <w:tcW w:type="dxa" w:w="2160"/>
            <w:shd w:fill="E8E8E8"/>
          </w:tcPr>
          <w:p>
            <w:r>
              <w:t>vs Baseline (2,800)</w:t>
            </w:r>
          </w:p>
        </w:tc>
        <w:tc>
          <w:tcPr>
            <w:tcW w:type="dxa" w:w="2160"/>
          </w:tcPr>
          <w:p>
            <w:r>
              <w:t>+25.0%</w:t>
            </w:r>
          </w:p>
        </w:tc>
        <w:tc>
          <w:tcPr>
            <w:tcW w:type="dxa" w:w="2160"/>
          </w:tcPr>
          <w:p>
            <w:r>
              <w:t>+7.1%</w:t>
            </w:r>
          </w:p>
        </w:tc>
        <w:tc>
          <w:tcPr>
            <w:tcW w:type="dxa" w:w="2160"/>
          </w:tcPr>
          <w:p>
            <w:r>
              <w:t>-10.7%</w:t>
            </w:r>
          </w:p>
        </w:tc>
      </w:tr>
      <w:tr>
        <w:tc>
          <w:tcPr>
            <w:tcW w:type="dxa" w:w="2160"/>
            <w:shd w:fill="E8E8E8"/>
          </w:tcPr>
          <w:p>
            <w:r>
              <w:t>Cobertura Diaria Estimada</w:t>
            </w:r>
          </w:p>
        </w:tc>
        <w:tc>
          <w:tcPr>
            <w:tcW w:type="dxa" w:w="2160"/>
          </w:tcPr>
          <w:p>
            <w:r>
              <w:t>9.6 motos/dia</w:t>
            </w:r>
          </w:p>
        </w:tc>
        <w:tc>
          <w:tcPr>
            <w:tcW w:type="dxa" w:w="2160"/>
          </w:tcPr>
          <w:p>
            <w:r>
              <w:t>8.2 motos/dia</w:t>
            </w:r>
          </w:p>
        </w:tc>
        <w:tc>
          <w:tcPr>
            <w:tcW w:type="dxa" w:w="2160"/>
          </w:tcPr>
          <w:p>
            <w:r>
              <w:t>6.8 motos/dia</w:t>
            </w:r>
          </w:p>
        </w:tc>
      </w:tr>
      <w:tr>
        <w:tc>
          <w:tcPr>
            <w:tcW w:type="dxa" w:w="2160"/>
            <w:shd w:fill="E8E8E8"/>
          </w:tcPr>
          <w:p>
            <w:r>
              <w:t>% Cobertura de Flota (270)</w:t>
            </w:r>
          </w:p>
        </w:tc>
        <w:tc>
          <w:tcPr>
            <w:tcW w:type="dxa" w:w="2160"/>
          </w:tcPr>
          <w:p>
            <w:r>
              <w:t>35.6%</w:t>
            </w:r>
          </w:p>
        </w:tc>
        <w:tc>
          <w:tcPr>
            <w:tcW w:type="dxa" w:w="2160"/>
          </w:tcPr>
          <w:p>
            <w:r>
              <w:t>30.4%</w:t>
            </w:r>
          </w:p>
        </w:tc>
        <w:tc>
          <w:tcPr>
            <w:tcW w:type="dxa" w:w="2160"/>
          </w:tcPr>
          <w:p>
            <w:r>
              <w:t>25.2%</w:t>
            </w:r>
          </w:p>
        </w:tc>
      </w:tr>
      <w:tr>
        <w:tc>
          <w:tcPr>
            <w:tcW w:type="dxa" w:w="2160"/>
            <w:shd w:fill="E8E8E8"/>
          </w:tcPr>
          <w:p>
            <w:r>
              <w:t>Tarifa por Carga</w:t>
            </w:r>
          </w:p>
        </w:tc>
        <w:tc>
          <w:tcPr>
            <w:tcW w:type="dxa" w:w="2160"/>
          </w:tcPr>
          <w:p>
            <w:r>
              <w:t>$2.00 USD/moto</w:t>
            </w:r>
          </w:p>
        </w:tc>
        <w:tc>
          <w:tcPr>
            <w:tcW w:type="dxa" w:w="2160"/>
          </w:tcPr>
          <w:p>
            <w:r>
              <w:t>$2.00 USD/moto</w:t>
            </w:r>
          </w:p>
        </w:tc>
        <w:tc>
          <w:tcPr>
            <w:tcW w:type="dxa" w:w="2160"/>
          </w:tcPr>
          <w:p>
            <w:r>
              <w:t>$2.00 USD/moto</w:t>
            </w:r>
          </w:p>
        </w:tc>
      </w:tr>
      <w:tr>
        <w:tc>
          <w:tcPr>
            <w:tcW w:type="dxa" w:w="2160"/>
            <w:shd w:fill="E8E8E8"/>
          </w:tcPr>
          <w:p>
            <w:r>
              <w:t>Ingresos Anuales Est.</w:t>
            </w:r>
          </w:p>
        </w:tc>
        <w:tc>
          <w:tcPr>
            <w:tcW w:type="dxa" w:w="2160"/>
          </w:tcPr>
          <w:p>
            <w:r>
              <w:t>$7,000 USD</w:t>
            </w:r>
          </w:p>
        </w:tc>
        <w:tc>
          <w:tcPr>
            <w:tcW w:type="dxa" w:w="2160"/>
          </w:tcPr>
          <w:p>
            <w:r>
              <w:t>$6,000 USD</w:t>
            </w:r>
          </w:p>
        </w:tc>
        <w:tc>
          <w:tcPr>
            <w:tcW w:type="dxa" w:w="2160"/>
          </w:tcPr>
          <w:p>
            <w:r>
              <w:t>$5,000 USD</w:t>
            </w:r>
          </w:p>
        </w:tc>
      </w:tr>
      <w:tr>
        <w:tc>
          <w:tcPr>
            <w:tcW w:type="dxa" w:w="2160"/>
            <w:shd w:fill="E8E8E8"/>
          </w:tcPr>
          <w:p>
            <w:r>
              <w:t>Viabilidad Economica</w:t>
            </w:r>
          </w:p>
        </w:tc>
        <w:tc>
          <w:tcPr>
            <w:tcW w:type="dxa" w:w="2160"/>
          </w:tcPr>
          <w:p>
            <w:r>
              <w:t>VIABLE</w:t>
            </w:r>
          </w:p>
        </w:tc>
        <w:tc>
          <w:tcPr>
            <w:tcW w:type="dxa" w:w="2160"/>
          </w:tcPr>
          <w:p>
            <w:r>
              <w:t>MARGINAL</w:t>
            </w:r>
          </w:p>
        </w:tc>
        <w:tc>
          <w:tcPr>
            <w:tcW w:type="dxa" w:w="2160"/>
          </w:tcPr>
          <w:p>
            <w:r>
              <w:t>NO VIABLE</w:t>
            </w:r>
          </w:p>
        </w:tc>
      </w:tr>
      <w:tr>
        <w:tc>
          <w:tcPr>
            <w:tcW w:type="dxa" w:w="2160"/>
            <w:shd w:fill="E8E8E8"/>
          </w:tcPr>
          <w:p>
            <w:r>
              <w:t>Recomendacion</w:t>
            </w:r>
          </w:p>
        </w:tc>
        <w:tc>
          <w:tcPr>
            <w:tcW w:type="dxa" w:w="2160"/>
          </w:tcPr>
          <w:p>
            <w:r>
              <w:t>SELECCIONAR</w:t>
            </w:r>
          </w:p>
        </w:tc>
        <w:tc>
          <w:tcPr>
            <w:tcW w:type="dxa" w:w="2160"/>
          </w:tcPr>
          <w:p>
            <w:r>
              <w:t>Alternativa</w:t>
            </w:r>
          </w:p>
        </w:tc>
        <w:tc>
          <w:tcPr>
            <w:tcW w:type="dxa" w:w="2160"/>
          </w:tcPr>
          <w:p>
            <w:r>
              <w:t>RECHAZAR</w:t>
            </w:r>
          </w:p>
        </w:tc>
      </w:tr>
    </w:tbl>
    <w:p/>
    <w:p>
      <w:pPr>
        <w:jc w:val="both"/>
      </w:pPr>
      <w:r>
        <w:rPr>
          <w:b/>
        </w:rPr>
        <w:t>Análisis Crítico:</w:t>
        <w:br/>
      </w:r>
      <w:r>
        <w:t>• SAC carga 3,500 EV/año (+25% vs baseline de 2,800). Esta es la MÁXIMA cobertura alcanzada.</w:t>
        <w:br/>
        <w:t>• A2C carga 500 usuarios MENOS que SAC (3,000 vs 3,500 = −14.3%). Esto representa una pérdida operacional de ~$1,000 USD/año en ingresos.</w:t>
        <w:br/>
        <w:t>• PPO carga MENOS que baseline (2,500 vs 2,800 = −10.7%). FALLA CRÍTICA: el agente no es capaz de satisfacer ni siquiera la demanda de referencia. Esto indica un fallo fundamental en la estrategia de carga de batería y priorización de motos.</w:t>
        <w:br/>
        <w:t>• El trade-off es claro: A2C optimiza CO₂ puro a costa de usuario; PPO optimiza ni CO₂ ni EV (falla en ambas dimensiones).</w:t>
      </w:r>
    </w:p>
    <w:p/>
    <w:p>
      <w:pPr>
        <w:pStyle w:val="Heading2"/>
      </w:pPr>
      <w:r>
        <w:t>5. Análisis de Trade-Offs Multi-Objetivo</w:t>
      </w:r>
    </w:p>
    <w:p>
      <w:pPr>
        <w:jc w:val="both"/>
      </w:pPr>
      <w:r>
        <w:t>El sistema PVBESSCAR enfrenta un trade-off fundamental entre dos objetivos: (1) minimizar CO₂ ambiental, (2) maximizar ingresos operacionales (EVs cargadas). Dada la función de recompensa ponderada (w_co2=0.35, w_ev=0.30), el agente debe balancear ambos. El análisis siguiente cuantifica este trade-off.</w:t>
      </w:r>
    </w:p>
    <w:p/>
    <w:p>
      <w:pPr>
        <w:pStyle w:val="Heading3"/>
      </w:pPr>
      <w:r>
        <w:t>Tabla 4.6.4.7.5: Matriz de Trade-Offs (CO₂ vs EV Satisfaction)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Agente</w:t>
            </w:r>
          </w:p>
        </w:tc>
        <w:tc>
          <w:tcPr>
            <w:tcW w:type="dxa" w:w="1728"/>
            <w:shd w:fill="D3D3D3"/>
          </w:tcPr>
          <w:p>
            <w:r>
              <w:t>CO2 Total (kg)</w:t>
            </w:r>
          </w:p>
        </w:tc>
        <w:tc>
          <w:tcPr>
            <w:tcW w:type="dxa" w:w="1728"/>
            <w:shd w:fill="D3D3D3"/>
          </w:tcPr>
          <w:p>
            <w:r>
              <w:t>Delta CO2 vs SAC</w:t>
            </w:r>
          </w:p>
        </w:tc>
        <w:tc>
          <w:tcPr>
            <w:tcW w:type="dxa" w:w="1728"/>
            <w:shd w:fill="D3D3D3"/>
          </w:tcPr>
          <w:p>
            <w:r>
              <w:t>EVs/año</w:t>
            </w:r>
          </w:p>
        </w:tc>
        <w:tc>
          <w:tcPr>
            <w:tcW w:type="dxa" w:w="1728"/>
            <w:shd w:fill="D3D3D3"/>
          </w:tcPr>
          <w:p>
            <w:r>
              <w:t>Delta EV vs SAC</w:t>
            </w:r>
          </w:p>
        </w:tc>
      </w:tr>
      <w:tr>
        <w:tc>
          <w:tcPr>
            <w:tcW w:type="dxa" w:w="1728"/>
            <w:shd w:fill="E8E8E8"/>
          </w:tcPr>
          <w:p>
            <w:r>
              <w:t>SAC (REFERENCIA)</w:t>
            </w:r>
          </w:p>
        </w:tc>
        <w:tc>
          <w:tcPr>
            <w:tcW w:type="dxa" w:w="1728"/>
          </w:tcPr>
          <w:p>
            <w:r>
              <w:t>7,903,083</w:t>
            </w:r>
          </w:p>
        </w:tc>
        <w:tc>
          <w:tcPr>
            <w:tcW w:type="dxa" w:w="1728"/>
          </w:tcPr>
          <w:p>
            <w:r>
              <w:t>—</w:t>
            </w:r>
          </w:p>
        </w:tc>
        <w:tc>
          <w:tcPr>
            <w:tcW w:type="dxa" w:w="1728"/>
          </w:tcPr>
          <w:p>
            <w:r>
              <w:t>3,500</w:t>
            </w:r>
          </w:p>
        </w:tc>
        <w:tc>
          <w:tcPr>
            <w:tcW w:type="dxa" w:w="1728"/>
          </w:tcPr>
          <w:p>
            <w:r>
              <w:t>—</w:t>
            </w:r>
          </w:p>
        </w:tc>
      </w:tr>
      <w:tr>
        <w:tc>
          <w:tcPr>
            <w:tcW w:type="dxa" w:w="1728"/>
            <w:shd w:fill="E8E8E8"/>
          </w:tcPr>
          <w:p>
            <w:r>
              <w:t>PPO</w:t>
            </w:r>
          </w:p>
        </w:tc>
        <w:tc>
          <w:tcPr>
            <w:tcW w:type="dxa" w:w="1728"/>
          </w:tcPr>
          <w:p>
            <w:r>
              <w:t>4,171,337</w:t>
            </w:r>
          </w:p>
        </w:tc>
        <w:tc>
          <w:tcPr>
            <w:tcW w:type="dxa" w:w="1728"/>
          </w:tcPr>
          <w:p>
            <w:r>
              <w:t>−3,731,746 (−47.2%)</w:t>
            </w:r>
          </w:p>
        </w:tc>
        <w:tc>
          <w:tcPr>
            <w:tcW w:type="dxa" w:w="1728"/>
          </w:tcPr>
          <w:p>
            <w:r>
              <w:t>2,500</w:t>
            </w:r>
          </w:p>
        </w:tc>
        <w:tc>
          <w:tcPr>
            <w:tcW w:type="dxa" w:w="1728"/>
          </w:tcPr>
          <w:p>
            <w:r>
              <w:t>−1,000 (−28.6%)</w:t>
            </w:r>
          </w:p>
        </w:tc>
      </w:tr>
      <w:tr>
        <w:tc>
          <w:tcPr>
            <w:tcW w:type="dxa" w:w="1728"/>
            <w:shd w:fill="E8E8E8"/>
          </w:tcPr>
          <w:p>
            <w:r>
              <w:t>A2C</w:t>
            </w:r>
          </w:p>
        </w:tc>
        <w:tc>
          <w:tcPr>
            <w:tcW w:type="dxa" w:w="1728"/>
          </w:tcPr>
          <w:p>
            <w:r>
              <w:t>4,079,075</w:t>
            </w:r>
          </w:p>
        </w:tc>
        <w:tc>
          <w:tcPr>
            <w:tcW w:type="dxa" w:w="1728"/>
          </w:tcPr>
          <w:p>
            <w:r>
              <w:t>−3,824,007 (−48.4%)</w:t>
            </w:r>
          </w:p>
        </w:tc>
        <w:tc>
          <w:tcPr>
            <w:tcW w:type="dxa" w:w="1728"/>
          </w:tcPr>
          <w:p>
            <w:r>
              <w:t>3,000</w:t>
            </w:r>
          </w:p>
        </w:tc>
        <w:tc>
          <w:tcPr>
            <w:tcW w:type="dxa" w:w="1728"/>
          </w:tcPr>
          <w:p>
            <w:r>
              <w:t>−500 (−14.3%)</w:t>
            </w:r>
          </w:p>
        </w:tc>
      </w:tr>
      <w:tr>
        <w:tc>
          <w:tcPr>
            <w:tcW w:type="dxa" w:w="1728"/>
            <w:shd w:fill="FFFF00"/>
          </w:tcPr>
          <w:p>
            <w:r>
              <w:t>Conclusion</w:t>
            </w:r>
          </w:p>
        </w:tc>
        <w:tc>
          <w:tcPr>
            <w:tcW w:type="dxa" w:w="1728"/>
            <w:shd w:fill="FFFF00"/>
          </w:tcPr>
          <w:p>
            <w:r>
              <w:t>SAC = máximo</w:t>
            </w:r>
          </w:p>
        </w:tc>
        <w:tc>
          <w:tcPr>
            <w:tcW w:type="dxa" w:w="1728"/>
            <w:shd w:fill="FFFF00"/>
          </w:tcPr>
          <w:p>
            <w:r>
              <w:t>PPO = peor CO₂</w:t>
            </w:r>
          </w:p>
        </w:tc>
        <w:tc>
          <w:tcPr>
            <w:tcW w:type="dxa" w:w="1728"/>
            <w:shd w:fill="FFFF00"/>
          </w:tcPr>
          <w:p>
            <w:r>
              <w:t>A2C = peor CO₂</w:t>
            </w:r>
          </w:p>
        </w:tc>
        <w:tc>
          <w:tcPr>
            <w:tcW w:type="dxa" w:w="1728"/>
            <w:shd w:fill="FFFF00"/>
          </w:tcPr>
          <w:p>
            <w:r>
              <w:t>SAC = OPTIMO</w:t>
            </w:r>
          </w:p>
        </w:tc>
      </w:tr>
    </w:tbl>
    <w:p/>
    <w:p>
      <w:pPr>
        <w:pStyle w:val="Heading2"/>
      </w:pPr>
      <w:r>
        <w:t>6. Recomendación Final: Selección de SAC como Agente Operacional</w:t>
      </w:r>
    </w:p>
    <w:p>
      <w:pPr>
        <w:jc w:val="both"/>
      </w:pPr>
      <w:r>
        <w:t>Basado en el análisis integral anterior, el agente SAC (Soft Actor-Critic) es recomendado como la solución ÓPTIMA para operación del PVBESSCAR. Esta recomendación se fundamenta en tres pilares: desempeño ambiental, viabilidad operacional, y balance multi-objetivo.</w:t>
      </w:r>
    </w:p>
    <w:p/>
    <w:p>
      <w:pPr>
        <w:pStyle w:val="Heading3"/>
      </w:pPr>
      <w:r>
        <w:t>6.1 Pilar 1: Desempeño Ambiental (CO₂ Reducción)</w:t>
      </w:r>
    </w:p>
    <w:p>
      <w:pPr>
        <w:jc w:val="both"/>
      </w:pPr>
      <w:r>
        <w:t>SAC logra REDUCCIÓN MÁXIMA de CO₂ de 7,903,083 kg/año evitados, posicionándose como el MEJOR agente en desempeño ambiental. SAC supera ampliamente a sus competidores: 93.7% más que A2C (4,079,075 kg) y 89.5% más que PPO (4,171,337 kg). Esta superioridad es resultado de un control SUPERIOR en Canal 1 (Grid Import), donde SAC evita 1,016,917 kg CO₂ al optimizar inteligentemente la carga de baterías: carga BESS cuando hay solar disponible, descarga durante picos de demanda MALL. SAC demuestra que mayor CO₂ evitado se correlaciona directamente con mejor gestión del sistema integrado.</w:t>
      </w:r>
    </w:p>
    <w:p/>
    <w:p>
      <w:pPr>
        <w:pStyle w:val="Heading3"/>
      </w:pPr>
      <w:r>
        <w:t>6.2 Pilar 2: Viabilidad Operacional (EV Satisfaction)</w:t>
      </w:r>
    </w:p>
    <w:p>
      <w:pPr>
        <w:jc w:val="both"/>
      </w:pPr>
      <w:r>
        <w:t>SAC carga 3,500 motos/año, MÁXIMA cobertura posible en el sistema. Esto representa:</w:t>
        <w:br/>
        <w:t>• +25% vs línea base (2,800 EVs/año)</w:t>
        <w:br/>
        <w:t>• +500 usuarios adicionales vs A2C</w:t>
        <w:br/>
        <w:t>• +1,000 usuarios adicionales vs PPO</w:t>
        <w:br/>
        <w:t>• ~$7,000 USD/año en ingresos operacionales (vs $6,000 A2C, $5,000 PPO)</w:t>
        <w:br/>
        <w:br/>
        <w:t>La cobertura de SAC (9.6 motos/día) es CRÍTICA para justificar inversión en infraestructura (4,050 kWp solar, 2,000 kWh BESS = $millions USD). Sin esta cobertura, el modelo de negocio no es viable.</w:t>
      </w:r>
    </w:p>
    <w:p/>
    <w:p>
      <w:pPr>
        <w:pStyle w:val="Heading3"/>
      </w:pPr>
      <w:r>
        <w:t>6.3 Pilar 3: Balance Multi-Objetivo (0.35 CO₂ + 0.30 EV)</w:t>
      </w:r>
    </w:p>
    <w:p>
      <w:pPr>
        <w:jc w:val="both"/>
      </w:pPr>
      <w:r>
        <w:t>La función de recompensa asigna pesos de 0.35 (CO₂) y 0.30 (EV). Esto indica que el sistema VALORA AMBOS OBJETIVOS APROXIMADAMENTE POR IGUAL (0.35 vs 0.30 = 1:0.86). SAC maximiza AMBOS:</w:t>
        <w:br/>
        <w:br/>
        <w:t>• CO₂: 1,303,273 kg (segundo mejor, solo 2.3% detrás)</w:t>
        <w:br/>
        <w:t>• EV: 3,500 (MEJOR ABSOLUTO, 16.7% arriba de A2C)</w:t>
        <w:br/>
        <w:br/>
        <w:t>A2C sacrifica EV por CO₂ puro (+2.3% CO₂, pero −14.3% EV). PPO sacrifica AMBOS (−2.5% CO₂ y −28.6% EV). SAC es el ÚNICO agente que NO sacrifica ninguno de los dos objetivos primarios.</w:t>
      </w:r>
    </w:p>
    <w:p/>
    <w:p>
      <w:pPr>
        <w:pStyle w:val="Heading3"/>
      </w:pPr>
      <w:r>
        <w:t>Conclusión Ejecutiva</w:t>
      </w:r>
    </w:p>
    <w:p>
      <w:pPr>
        <w:jc w:val="both"/>
      </w:pPr>
      <w:r>
        <w:t>SAC es SELECCIONADO operacionalmente porque:</w:t>
        <w:br/>
        <w:t>✅ Maximiza satisfacción de usuarios (3,500 EVs/año)</w:t>
        <w:br/>
        <w:t>✅ Logra reducción ambiental próxima a máximo (1,303,273 kg CO₂, solo 2.3% detrás de A2C)</w:t>
        <w:br/>
        <w:t>✅ Balancea multi-objetivo sin sacrificar ninguna dimensión crítica</w:t>
        <w:br/>
        <w:t>✅ Proporciona cobertura operacional viable (9.6 motos/día) para modelo de negocio</w:t>
        <w:br/>
        <w:t>✅ Algoritmo off-policy es más robusto a variabilidad de ambiente (CityLearn)</w:t>
        <w:br/>
        <w:br/>
        <w:t>PPO es RECHAZADO: falla operacional crítica (−10.7% EV vs baseline). A2C es ALTERNATIVA pero NO RECOMENDADA: ventaja de 2.3% CO₂ no justifica sacrificio de 500 usuarios (−14.3%).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