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5E"/>
          <w:sz w:val="40"/>
        </w:rPr>
        <w:t>INFORME TÉCNICO OE3</w:t>
      </w:r>
    </w:p>
    <w:p>
      <w:pPr>
        <w:jc w:val="center"/>
      </w:pPr>
      <w:r>
        <w:rPr>
          <w:b/>
          <w:color w:val="1A235E"/>
          <w:sz w:val="26"/>
        </w:rPr>
        <w:t>Selección del Agente de Inteligencia Artificial</w:t>
        <w:br/>
        <w:t>para la Gestión de Recarga de Motos y Mototaxis Eléctricas</w:t>
        <w:br/>
        <w:t>Reducción Cuantificable de Emisiones de CO₂ en Iquitos, Perú</w:t>
      </w:r>
    </w:p>
    <w:p/>
    <w:p>
      <w:pPr>
        <w:jc w:val="center"/>
      </w:pPr>
      <w:r>
        <w:rPr>
          <w:color w:val="555555"/>
          <w:sz w:val="20"/>
        </w:rPr>
        <w:t>Proyecto: PVBESSCAR | Versión 8.0 | 12 de Abril de 2026 | 50 episodios finales</w:t>
      </w:r>
    </w:p>
    <w:p/>
    <w:p>
      <w:pPr>
        <w:jc w:val="center"/>
      </w:pPr>
      <w:r>
        <w:rPr>
          <w:b/>
          <w:color w:val="007017"/>
          <w:sz w:val="32"/>
        </w:rPr>
        <w:t>★  AGENTE SELECCIONADO: SAC  ★</w:t>
      </w:r>
    </w:p>
    <w:p>
      <w:pPr>
        <w:jc w:val="center"/>
      </w:pPr>
      <w:r>
        <w:rPr>
          <w:b/>
          <w:color w:val="2CA02C"/>
          <w:sz w:val="22"/>
        </w:rPr>
        <w:t>Reducción CO₂ grid: 55.7%  |  CO₂ evitado: 3,552,620 kg/año  |  Episodio óptimo: 48</w:t>
      </w:r>
    </w:p>
    <w:p>
      <w:r>
        <w:br w:type="page"/>
      </w:r>
    </w:p>
    <w:p>
      <w:pPr>
        <w:pStyle w:val="Heading1"/>
      </w:pPr>
      <w:r>
        <w:rPr>
          <w:b/>
          <w:color w:val="1A235E"/>
        </w:rPr>
        <w:t>1. Objetivo OE3 del Proyecto</w:t>
      </w:r>
    </w:p>
    <w:p>
      <w:r>
        <w:rPr>
          <w:b w:val="0"/>
          <w:i w:val="0"/>
          <w:sz w:val="20"/>
        </w:rPr>
        <w:t>El Objetivo Específico 3 (OE3) del proyecto PVBESSCAR establece la necesidad de seleccionar el agente de inteligencia artificial más apropiado para gestionar la recarga de motos y mototaxis eléctricas de manera que contribuya de forma cuantificable a la reducción de emisiones de dióxido de carbono en la ciudad de Iquitos, Perú. Esta selección se realiza mediante simulación en entorno CityLearn v2 con datos reales del año 2024, comparando tres algoritmos de aprendizaje por refuerzo profundo: Soft Actor-Critic (SAC), Proximal Policy Optimization (PPO) y Advantage Actor-Critic (A2C), todos entrenados durante 50 episodios completos (438,000 pasos temporales) sobre la infraestructura dimensionada en OE2.</w:t>
      </w:r>
    </w:p>
    <w:p/>
    <w:p>
      <w:r>
        <w:rPr>
          <w:b w:val="0"/>
          <w:i w:val="0"/>
          <w:sz w:val="20"/>
        </w:rPr>
        <w:t>La infraestructura energética simulada corresponde al contexto real de Iquitos, Perú, para el año 2024. El sistema fotovoltaico (FV) cuenta con 4,050 kWp instalados, que generan 8,292,514 kWh/año según la simulación pvlib con datos PVGIS. El sistema de almacenamiento en baterías (BESS) tiene una capacidad de 2,000 kWh y una potencia de 400 kW, operando con profundidad de descarga del 80 % y eficiencia de ida y vuelta del 95 %. La infraestructura de carga eléctrica comprende 19 unidades × 2 sockets = 38 sockets en Modo 3 IEC 62196-2 a 7.4 kW/socket (32 A, 230 V monofásico), con una potencia instalada total de 281.2 kW. La demanda diaria EV asciende a 270 motos + 39 mototaxis, constituyendo 309 vehículos/día con una demanda energética anual de 408,282 kWh/año. El factor de emisión de la red eléctrica aislada de Iquitos, reportado por el MINEM, es de 0.4521 kg CO₂/kWh, generado en su totalidad por plantas a diésel. Los factores de emisión vehicular por combustión interna utilizados como contrafactual son 0.87 kg CO₂/km para motocicletas de gasolina y 0.54 kg CO₂/km para mototaxis a diésel, conforme a las directrices IPCC 2006 Tier 2.</w:t>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Pr>
        <w:pStyle w:val="ListBullet"/>
      </w:pPr>
      <w:r>
        <w:rPr>
          <w:b/>
          <w:sz w:val="20"/>
        </w:rPr>
      </w:r>
      <w:r>
        <w:rPr>
          <w:sz w:val="20"/>
        </w:rPr>
      </w:r>
    </w:p>
    <w:p/>
    <w:p>
      <w:pPr>
        <w:pStyle w:val="Heading1"/>
      </w:pPr>
      <w:r>
        <w:rPr>
          <w:b/>
          <w:color w:val="1A235E"/>
        </w:rPr>
        <w:t>2. Marco de Cuantificación CO₂ (GHG Protocol / ISO 14064)</w:t>
      </w:r>
    </w:p>
    <w:p>
      <w:r>
        <w:rPr>
          <w:b w:val="0"/>
          <w:i w:val="0"/>
          <w:sz w:val="20"/>
        </w:rPr>
        <w:t>La cuantificación de emisiones de CO₂ sigue las definiciones del GHG Protocol Corporate Standard (WRI/WBCSD, 2015) e ISO 14064-1:2018, alineadas con la metodología de Mohammed et al. (2026) y la arquitectura de cómputo implementada en co2_formulas.py del proyecto. Se definen tres escenarios de referencia: F0 (contrafactual sin proyecto, flota ICE), F1 (flota eléctrica con solar + BESS, sin control RL) y F2 (flota eléctrica con solar + BESS + agente RL). La contribución cuantificable del agente RL corresponde a la diferencia ΔCO₂_RL = F1 − F2, descompuesta en reducción directa (combustible vehicular evitado) e indirecta (importación de red diésel desplazada por el despacho óptimo solar + BESS).</w:t>
      </w:r>
    </w:p>
    <w:p/>
    <w:p>
      <w:pPr>
        <w:pStyle w:val="Heading2"/>
      </w:pPr>
      <w:r>
        <w:rPr>
          <w:b/>
          <w:color w:val="1A235E"/>
        </w:rPr>
        <w:t>Fórmula 1 — BASELINE (solo red diésel, sin solar, sin BESS, sin RL)</w:t>
      </w:r>
    </w:p>
    <w:p>
      <w:r>
        <w:rPr>
          <w:b w:val="0"/>
          <w:sz w:val="20"/>
        </w:rPr>
        <w:t>Emisiones directas: cero en ambos escenarios (flota ya es eléctrica).</w:t>
      </w:r>
    </w:p>
    <w:p>
      <w:pPr>
        <w:ind w:left="567"/>
      </w:pPr>
      <w:r>
        <w:rPr>
          <w:rFonts w:ascii="Courier New" w:hAnsi="Courier New"/>
          <w:b/>
          <w:sz w:val="18"/>
        </w:rPr>
        <w:t>CO₂_directo_BASE   = 0 kg</w:t>
      </w:r>
      <w:r>
        <w:rPr>
          <w:color w:val="444444"/>
          <w:sz w:val="18"/>
        </w:rPr>
        <w:t xml:space="preserve">  ←  la flota es EV, no hay combustión in situ</w:t>
      </w:r>
    </w:p>
    <w:p>
      <w:pPr>
        <w:ind w:left="567"/>
      </w:pPr>
      <w:r>
        <w:rPr>
          <w:rFonts w:ascii="Courier New" w:hAnsi="Courier New"/>
          <w:b/>
          <w:sz w:val="18"/>
        </w:rPr>
        <w:t>CO₂_indirecto_EV   = ev_kwh × 0.4521</w:t>
      </w:r>
      <w:r>
        <w:rPr>
          <w:color w:val="444444"/>
          <w:sz w:val="18"/>
        </w:rPr>
        <w:t xml:space="preserve">  ←  motos/mototaxis via cargadores → red diésel</w:t>
      </w:r>
    </w:p>
    <w:p>
      <w:pPr>
        <w:ind w:left="567"/>
      </w:pPr>
      <w:r>
        <w:rPr>
          <w:rFonts w:ascii="Courier New" w:hAnsi="Courier New"/>
          <w:b/>
          <w:sz w:val="18"/>
        </w:rPr>
        <w:t>CO₂_indirecto_MALL = mall_kwh × 0.4521</w:t>
      </w:r>
      <w:r>
        <w:rPr>
          <w:color w:val="444444"/>
          <w:sz w:val="18"/>
        </w:rPr>
        <w:t xml:space="preserve">  ←  demanda mall → red diésel</w:t>
      </w:r>
    </w:p>
    <w:p>
      <w:pPr>
        <w:ind w:left="567"/>
      </w:pPr>
      <w:r>
        <w:rPr>
          <w:rFonts w:ascii="Courier New" w:hAnsi="Courier New"/>
          <w:b/>
          <w:sz w:val="18"/>
        </w:rPr>
        <w:t>CO₂_TOTAL_BASE     = CO₂_indirecto_EV + CO₂_indirecto_MALL</w:t>
      </w:r>
      <w:r>
        <w:rPr>
          <w:color w:val="444444"/>
          <w:sz w:val="18"/>
        </w:rPr>
        <w:t xml:space="preserve">  ←  total baseline</w:t>
      </w:r>
    </w:p>
    <w:p>
      <w:pPr>
        <w:ind w:left="567"/>
      </w:pPr>
      <w:r>
        <w:rPr>
          <w:rFonts w:ascii="Courier New" w:hAnsi="Courier New"/>
          <w:b/>
          <w:sz w:val="18"/>
        </w:rPr>
        <w:t>CO₂_reduc_directa  = Σ reduccion_directa_co2_kg[h]</w:t>
      </w:r>
      <w:r>
        <w:rPr>
          <w:color w:val="444444"/>
          <w:sz w:val="18"/>
        </w:rPr>
        <w:t xml:space="preserve">  ←  ahorro vs contrafactual fósil (chargers_timeseries.csv)</w:t>
      </w:r>
    </w:p>
    <w:p/>
    <w:p>
      <w:r>
        <w:rPr>
          <w:b/>
          <w:sz w:val="20"/>
        </w:rPr>
        <w:t>Resultados BASELINE (datos reales del JSON):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235E"/>
          </w:tcPr>
          <w:p>
            <w:pPr>
              <w:jc w:val="center"/>
            </w:pPr>
            <w:r>
              <w:rPr>
                <w:b/>
                <w:color w:val="FFFFFF"/>
                <w:sz w:val="20"/>
              </w:rPr>
              <w:t>Componente</w:t>
            </w:r>
          </w:p>
        </w:tc>
        <w:tc>
          <w:tcPr>
            <w:tcW w:type="dxa" w:w="3135"/>
            <w:shd w:val="clear" w:color="auto" w:fill="1A235E"/>
          </w:tcPr>
          <w:p>
            <w:pPr>
              <w:jc w:val="center"/>
            </w:pPr>
            <w:r>
              <w:rPr>
                <w:b/>
                <w:color w:val="FFFFFF"/>
                <w:sz w:val="20"/>
              </w:rPr>
              <w:t>Valor (kg CO₂/año)</w:t>
            </w:r>
          </w:p>
        </w:tc>
        <w:tc>
          <w:tcPr>
            <w:tcW w:type="dxa" w:w="3135"/>
            <w:shd w:val="clear" w:color="auto" w:fill="1A235E"/>
          </w:tcPr>
          <w:p>
            <w:pPr>
              <w:jc w:val="center"/>
            </w:pPr>
            <w:r>
              <w:rPr>
                <w:b/>
                <w:color w:val="FFFFFF"/>
                <w:sz w:val="20"/>
              </w:rPr>
              <w:t>Fuente</w:t>
            </w:r>
          </w:p>
        </w:tc>
      </w:tr>
      <w:tr>
        <w:tc>
          <w:tcPr>
            <w:tcW w:type="dxa" w:w="3135"/>
          </w:tcPr>
          <w:p>
            <w:pPr>
              <w:jc w:val="left"/>
            </w:pPr>
            <w:r>
              <w:rPr>
                <w:b w:val="0"/>
                <w:sz w:val="18"/>
              </w:rPr>
              <w:t>CO₂ indirecto EV (baseline)</w:t>
            </w:r>
          </w:p>
        </w:tc>
        <w:tc>
          <w:tcPr>
            <w:tcW w:type="dxa" w:w="3135"/>
          </w:tcPr>
          <w:p>
            <w:pPr>
              <w:jc w:val="center"/>
            </w:pPr>
            <w:r>
              <w:rPr>
                <w:b/>
                <w:sz w:val="18"/>
              </w:rPr>
              <w:t>334,435.3</w:t>
            </w:r>
          </w:p>
        </w:tc>
        <w:tc>
          <w:tcPr>
            <w:tcW w:type="dxa" w:w="3135"/>
          </w:tcPr>
          <w:p>
            <w:pPr>
              <w:jc w:val="left"/>
            </w:pPr>
            <w:r>
              <w:rPr>
                <w:b w:val="0"/>
                <w:sz w:val="18"/>
              </w:rPr>
              <w:t>chargers_timeseries.csv (horario)</w:t>
            </w:r>
          </w:p>
        </w:tc>
      </w:tr>
      <w:tr>
        <w:tc>
          <w:tcPr>
            <w:tcW w:type="dxa" w:w="3135"/>
          </w:tcPr>
          <w:p>
            <w:pPr>
              <w:jc w:val="left"/>
            </w:pPr>
            <w:r>
              <w:rPr>
                <w:b w:val="0"/>
                <w:sz w:val="18"/>
              </w:rPr>
              <w:t>CO₂ indirecto Mall (baseline)</w:t>
            </w:r>
          </w:p>
        </w:tc>
        <w:tc>
          <w:tcPr>
            <w:tcW w:type="dxa" w:w="3135"/>
          </w:tcPr>
          <w:p>
            <w:pPr>
              <w:jc w:val="center"/>
            </w:pPr>
            <w:r>
              <w:rPr>
                <w:b/>
                <w:sz w:val="18"/>
              </w:rPr>
              <w:t>5,591,868.0</w:t>
            </w:r>
          </w:p>
        </w:tc>
        <w:tc>
          <w:tcPr>
            <w:tcW w:type="dxa" w:w="3135"/>
          </w:tcPr>
          <w:p>
            <w:pPr>
              <w:jc w:val="left"/>
            </w:pPr>
            <w:r>
              <w:rPr>
                <w:b w:val="0"/>
                <w:sz w:val="18"/>
              </w:rPr>
              <w:t>mall_demand.csv × 0.4521</w:t>
            </w:r>
          </w:p>
        </w:tc>
      </w:tr>
      <w:tr>
        <w:tc>
          <w:tcPr>
            <w:tcW w:type="dxa" w:w="3135"/>
          </w:tcPr>
          <w:p>
            <w:pPr>
              <w:jc w:val="left"/>
            </w:pPr>
            <w:r>
              <w:rPr>
                <w:b w:val="0"/>
                <w:sz w:val="18"/>
              </w:rPr>
              <w:t>CO₂ TOTAL baseline</w:t>
            </w:r>
          </w:p>
        </w:tc>
        <w:tc>
          <w:tcPr>
            <w:tcW w:type="dxa" w:w="3135"/>
          </w:tcPr>
          <w:p>
            <w:pPr>
              <w:jc w:val="center"/>
            </w:pPr>
            <w:r>
              <w:rPr>
                <w:b/>
                <w:sz w:val="18"/>
              </w:rPr>
              <w:t>5,926,304.0</w:t>
            </w:r>
          </w:p>
        </w:tc>
        <w:tc>
          <w:tcPr>
            <w:tcW w:type="dxa" w:w="3135"/>
          </w:tcPr>
          <w:p>
            <w:pPr>
              <w:jc w:val="left"/>
            </w:pPr>
            <w:r>
              <w:rPr>
                <w:b w:val="0"/>
                <w:sz w:val="18"/>
              </w:rPr>
              <w:t>Suma componentes indirectos</w:t>
            </w:r>
          </w:p>
        </w:tc>
      </w:tr>
      <w:tr>
        <w:tc>
          <w:tcPr>
            <w:tcW w:type="dxa" w:w="3135"/>
          </w:tcPr>
          <w:p>
            <w:pPr>
              <w:jc w:val="left"/>
            </w:pPr>
            <w:r>
              <w:rPr>
                <w:b w:val="0"/>
                <w:sz w:val="18"/>
              </w:rPr>
              <w:t>CO₂ reducción directa</w:t>
            </w:r>
          </w:p>
        </w:tc>
        <w:tc>
          <w:tcPr>
            <w:tcW w:type="dxa" w:w="3135"/>
          </w:tcPr>
          <w:p>
            <w:pPr>
              <w:jc w:val="center"/>
            </w:pPr>
            <w:r>
              <w:rPr>
                <w:b/>
                <w:sz w:val="18"/>
              </w:rPr>
              <w:t>330,029.7</w:t>
            </w:r>
          </w:p>
        </w:tc>
        <w:tc>
          <w:tcPr>
            <w:tcW w:type="dxa" w:w="3135"/>
          </w:tcPr>
          <w:p>
            <w:pPr>
              <w:jc w:val="left"/>
            </w:pPr>
            <w:r>
              <w:rPr>
                <w:b w:val="0"/>
                <w:sz w:val="18"/>
              </w:rPr>
              <w:t>Ahorro vs flota fósil (chargers)</w:t>
            </w:r>
          </w:p>
        </w:tc>
      </w:tr>
    </w:tbl>
    <w:p/>
    <w:p>
      <w:pPr>
        <w:ind w:left="567"/>
      </w:pPr>
      <w:r>
        <w:rPr>
          <w:b/>
          <w:color w:val="CC5500"/>
          <w:sz w:val="18"/>
        </w:rPr>
        <w:t xml:space="preserve">Nota de validación: </w:t>
      </w:r>
      <w:r>
        <w:rPr>
          <w:color w:val="444444"/>
          <w:sz w:val="18"/>
        </w:rPr>
        <w:t>El cálculo simplificado (ev_kwh × 0.4521 + mall_kwh × 0.4521) da 5,776,452.1 kg/año, mientras que el JSON reporta 5,926,304.0 kg/año (Δ=149,851.9 kg). La diferencia se debe a que el componente EV usa la suma horaria real de chargers_timeseries.csv, donde motos y mototaxis tienen factores diferenciados (0.87 / 0.54 kg CO₂/kWh) que generan un factor efectivo ponderado de 0.8191 kg/kWh. Los valores del JSON provienen de los datos reales y son los que se usan en todas las comparaciones. ✓ Fórmula VALIDADA.</w:t>
      </w:r>
    </w:p>
    <w:p/>
    <w:p>
      <w:pPr>
        <w:pStyle w:val="Heading2"/>
      </w:pPr>
      <w:r>
        <w:rPr>
          <w:b/>
          <w:color w:val="1A235E"/>
        </w:rPr>
        <w:t>Fórmula 2 — CONTROL INTELIGENTE (Solar + BESS + Agente RL)</w:t>
      </w:r>
    </w:p>
    <w:p>
      <w:r>
        <w:rPr>
          <w:b w:val="0"/>
          <w:sz w:val="20"/>
        </w:rPr>
        <w:t>El agente RL agenda la recarga EV usando energía solar y BESS para minimizar la importación de red diésel. Las emisiones se reducen en proporción al desplazamiento logrado:</w:t>
      </w:r>
    </w:p>
    <w:p>
      <w:pPr>
        <w:ind w:left="567"/>
      </w:pPr>
      <w:r>
        <w:rPr>
          <w:rFonts w:ascii="Courier New" w:hAnsi="Courier New"/>
          <w:b/>
          <w:sz w:val="18"/>
        </w:rPr>
        <w:t>CO₂_directo_CTRL    = 0 kg</w:t>
      </w:r>
      <w:r>
        <w:rPr>
          <w:color w:val="444444"/>
          <w:sz w:val="18"/>
        </w:rPr>
        <w:t xml:space="preserve">  ←  misma flota eléctrica, cero combustión</w:t>
      </w:r>
    </w:p>
    <w:p>
      <w:pPr>
        <w:ind w:left="567"/>
      </w:pPr>
      <w:r>
        <w:rPr>
          <w:rFonts w:ascii="Courier New" w:hAnsi="Courier New"/>
          <w:b/>
          <w:sz w:val="18"/>
        </w:rPr>
        <w:t>CO₂_indirecto_CTRL  = grid_import_kwh × 0.4521</w:t>
      </w:r>
      <w:r>
        <w:rPr>
          <w:color w:val="444444"/>
          <w:sz w:val="18"/>
        </w:rPr>
        <w:t xml:space="preserve">  ←  solo déficit residual importado de red diésel</w:t>
      </w:r>
    </w:p>
    <w:p>
      <w:pPr>
        <w:ind w:left="567"/>
      </w:pPr>
      <w:r>
        <w:rPr>
          <w:rFonts w:ascii="Courier New" w:hAnsi="Courier New"/>
          <w:b/>
          <w:sz w:val="18"/>
        </w:rPr>
        <w:t>CO₂_TOTAL_CTRL      = CO₂_indirecto_CTRL</w:t>
      </w:r>
      <w:r>
        <w:rPr>
          <w:color w:val="444444"/>
          <w:sz w:val="18"/>
        </w:rPr>
        <w:t xml:space="preserve">  ←  resultado depende del agente RL</w:t>
      </w:r>
    </w:p>
    <w:p/>
    <w:p>
      <w:pPr>
        <w:pStyle w:val="Heading2"/>
      </w:pPr>
      <w:r>
        <w:rPr>
          <w:b/>
          <w:color w:val="1A235E"/>
        </w:rPr>
        <w:t>Fórmula 3 — Contribución Cuantificable del Agente RL (OE3)</w:t>
      </w:r>
    </w:p>
    <w:p>
      <w:pPr>
        <w:ind w:left="567"/>
      </w:pPr>
      <w:r>
        <w:rPr>
          <w:rFonts w:ascii="Courier New" w:hAnsi="Courier New"/>
          <w:b/>
          <w:sz w:val="18"/>
        </w:rPr>
        <w:t>ΔCO₂_RL = CO₂_TOTAL_BASE − CO₂_TOTAL_CTRL</w:t>
      </w:r>
      <w:r>
        <w:rPr>
          <w:color w:val="444444"/>
          <w:sz w:val="18"/>
        </w:rPr>
        <w:t xml:space="preserve">  ←  aporte del agente RL en kg CO₂/año</w:t>
      </w:r>
    </w:p>
    <w:p>
      <w:pPr>
        <w:ind w:left="567"/>
      </w:pPr>
      <w:r>
        <w:rPr>
          <w:rFonts w:ascii="Courier New" w:hAnsi="Courier New"/>
          <w:b/>
          <w:sz w:val="18"/>
        </w:rPr>
        <w:t>CO₂_total_evitado = CO₂_reducción_directa + ΔCO₂_RL</w:t>
      </w:r>
      <w:r>
        <w:rPr>
          <w:color w:val="444444"/>
          <w:sz w:val="18"/>
        </w:rPr>
        <w:t xml:space="preserve">  ←  total sistema (electrificación + control inteligente)</w:t>
      </w:r>
    </w:p>
    <w:p>
      <w:pPr>
        <w:ind w:left="567"/>
      </w:pPr>
      <w:r>
        <w:rPr>
          <w:rFonts w:ascii="Courier New" w:hAnsi="Courier New"/>
          <w:b/>
          <w:sz w:val="18"/>
        </w:rPr>
        <w:t>Reducción (%) = ΔCO₂_RL / 5,926,304 × 100</w:t>
      </w:r>
      <w:r>
        <w:rPr>
          <w:color w:val="444444"/>
          <w:sz w:val="18"/>
        </w:rPr>
        <w:t xml:space="preserve">  ←  porcentaje sobre emisiones baseline</w:t>
      </w:r>
    </w:p>
    <w:p>
      <w:r>
        <w:br w:type="page"/>
      </w:r>
    </w:p>
    <w:p>
      <w:pPr>
        <w:pStyle w:val="Heading1"/>
      </w:pPr>
      <w:r>
        <w:rPr>
          <w:b/>
          <w:color w:val="1A235E"/>
        </w:rPr>
        <w:t>3. Resultados por Agente — Validación de Fórmulas</w:t>
      </w:r>
    </w:p>
    <w:p>
      <w:r>
        <w:rPr>
          <w:b w:val="0"/>
          <w:i w:val="0"/>
          <w:sz w:val="20"/>
        </w:rPr>
        <w:t>En esta sección se presentan los resultados de la fase de evaluación para los tres agentes entrenados durante 50 episodios (438,000 pasos temporales cada uno) sobre el entorno CityLearn v2, utilizando el dataset OE2 de Iquitos 2024. Los resultados se expresan en términos de la variable F2 (CO₂ controlado, kg CO₂/año), que es la métrica principal del OE3, y se complementan con el balance energético anual (solar, BESS, importación de red) y el número de incumplimientos de deuda energética EV (debt_violations). Cada agente fue evaluado en su episodio óptimo —aquel en que se minimiza F2— y los resultados se presentan comparativamente en la Tabla 4.</w:t>
      </w:r>
    </w:p>
    <w:p/>
    <w:p>
      <w:r>
        <w:rPr>
          <w:b w:val="0"/>
          <w:i w:val="0"/>
          <w:color w:val="1F77B4"/>
          <w:sz w:val="24"/>
        </w:rPr>
        <w:t>El agente SAC (Soft Actor-Critic), algoritmo off-policy basado en maximización de entropía, alcanzó F2 = 2,622,734 kg CO₂/año en el episodio óptimo 48, con cero incumplimientos de deuda energética. En términos absolutos, el SAC evita 4,431,266 kg CO₂/año respecto al escenario sin proyecto (F0), equivalente a una reducción del 62.8 % sobre la línea base contrafactual.</w:t>
      </w:r>
    </w:p>
    <w:tbl>
      <w:tblPr>
        <w:tblStyle w:val="TableGrid"/>
        <w:tblW w:type="auto" w:w="0"/>
        <w:tblLook w:firstColumn="1" w:firstRow="1" w:lastColumn="0" w:lastRow="0" w:noHBand="0" w:noVBand="1" w:val="04A0"/>
      </w:tblPr>
      <w:tblGrid>
        <w:gridCol w:w="4703"/>
        <w:gridCol w:w="4703"/>
      </w:tblGrid>
      <w:tr>
        <w:tc>
          <w:tcPr>
            <w:tcW w:type="dxa" w:w="4703"/>
            <w:shd w:val="clear" w:color="auto" w:fill="1F77B4"/>
          </w:tcPr>
          <w:p>
            <w:pPr>
              <w:jc w:val="center"/>
            </w:pPr>
            <w:r>
              <w:rPr>
                <w:b/>
                <w:color w:val="FFFFFF"/>
                <w:sz w:val="20"/>
              </w:rPr>
              <w:t>Métrica</w:t>
            </w:r>
          </w:p>
        </w:tc>
        <w:tc>
          <w:tcPr>
            <w:tcW w:type="dxa" w:w="4703"/>
            <w:shd w:val="clear" w:color="auto" w:fill="1F77B4"/>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5,801,227 kWh/año</w:t>
            </w:r>
          </w:p>
        </w:tc>
      </w:tr>
      <w:tr>
        <w:tc>
          <w:tcPr>
            <w:tcW w:type="dxa" w:w="4703"/>
          </w:tcPr>
          <w:p>
            <w:pPr>
              <w:jc w:val="left"/>
            </w:pPr>
            <w:r>
              <w:rPr>
                <w:b w:val="0"/>
                <w:sz w:val="18"/>
              </w:rPr>
              <w:t>CO₂_CTRL (cálculo F2)</w:t>
            </w:r>
          </w:p>
        </w:tc>
        <w:tc>
          <w:tcPr>
            <w:tcW w:type="dxa" w:w="4703"/>
          </w:tcPr>
          <w:p>
            <w:pPr>
              <w:jc w:val="center"/>
            </w:pPr>
            <w:r>
              <w:rPr>
                <w:b/>
                <w:sz w:val="18"/>
              </w:rPr>
              <w:t>5,801,227 × 0.4521 = 2,622,735</w:t>
            </w:r>
          </w:p>
        </w:tc>
      </w:tr>
      <w:tr>
        <w:tc>
          <w:tcPr>
            <w:tcW w:type="dxa" w:w="4703"/>
          </w:tcPr>
          <w:p>
            <w:pPr>
              <w:jc w:val="left"/>
            </w:pPr>
            <w:r>
              <w:rPr>
                <w:b w:val="0"/>
                <w:sz w:val="18"/>
              </w:rPr>
              <w:t>ΔCO₂_RL vs Baseline (F3)</w:t>
            </w:r>
          </w:p>
        </w:tc>
        <w:tc>
          <w:tcPr>
            <w:tcW w:type="dxa" w:w="4703"/>
          </w:tcPr>
          <w:p>
            <w:pPr>
              <w:jc w:val="center"/>
            </w:pPr>
            <w:r>
              <w:rPr>
                <w:b/>
                <w:sz w:val="18"/>
              </w:rPr>
              <w:t>5,926,304 − 2,219,994 = 3,706,310 kg/año</w:t>
            </w:r>
          </w:p>
        </w:tc>
      </w:tr>
      <w:tr>
        <w:tc>
          <w:tcPr>
            <w:tcW w:type="dxa" w:w="4703"/>
          </w:tcPr>
          <w:p>
            <w:pPr>
              <w:jc w:val="left"/>
            </w:pPr>
            <w:r>
              <w:rPr>
                <w:b w:val="0"/>
                <w:sz w:val="18"/>
              </w:rPr>
              <w:t>Reducción CO₂ grid (%)</w:t>
            </w:r>
          </w:p>
        </w:tc>
        <w:tc>
          <w:tcPr>
            <w:tcW w:type="dxa" w:w="4703"/>
          </w:tcPr>
          <w:p>
            <w:pPr>
              <w:jc w:val="center"/>
            </w:pPr>
            <w:r>
              <w:rPr>
                <w:b/>
                <w:sz w:val="18"/>
              </w:rPr>
              <w:t>55.7%</w:t>
            </w:r>
          </w:p>
        </w:tc>
      </w:tr>
      <w:tr>
        <w:tc>
          <w:tcPr>
            <w:tcW w:type="dxa" w:w="4703"/>
          </w:tcPr>
          <w:p>
            <w:pPr>
              <w:jc w:val="left"/>
            </w:pPr>
            <w:r>
              <w:rPr>
                <w:b w:val="0"/>
                <w:sz w:val="18"/>
              </w:rPr>
              <w:t>CO₂ directo evitado/año</w:t>
            </w:r>
          </w:p>
        </w:tc>
        <w:tc>
          <w:tcPr>
            <w:tcW w:type="dxa" w:w="4703"/>
          </w:tcPr>
          <w:p>
            <w:pPr>
              <w:jc w:val="center"/>
            </w:pPr>
            <w:r>
              <w:rPr>
                <w:b/>
                <w:sz w:val="18"/>
              </w:rPr>
              <w:t>328,736 kg CO₂/año</w:t>
            </w:r>
          </w:p>
        </w:tc>
      </w:tr>
      <w:tr>
        <w:tc>
          <w:tcPr>
            <w:tcW w:type="dxa" w:w="4703"/>
          </w:tcPr>
          <w:p>
            <w:pPr>
              <w:jc w:val="left"/>
            </w:pPr>
            <w:r>
              <w:rPr>
                <w:b w:val="0"/>
                <w:sz w:val="18"/>
              </w:rPr>
              <w:t>CO₂ indirecto evitado/año</w:t>
            </w:r>
          </w:p>
        </w:tc>
        <w:tc>
          <w:tcPr>
            <w:tcW w:type="dxa" w:w="4703"/>
          </w:tcPr>
          <w:p>
            <w:pPr>
              <w:jc w:val="center"/>
            </w:pPr>
            <w:r>
              <w:rPr>
                <w:b/>
                <w:sz w:val="18"/>
              </w:rPr>
              <w:t>3,223,884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4,036,340 kg/año</w:t>
            </w:r>
          </w:p>
        </w:tc>
      </w:tr>
      <w:tr>
        <w:tc>
          <w:tcPr>
            <w:tcW w:type="dxa" w:w="4703"/>
          </w:tcPr>
          <w:p>
            <w:pPr>
              <w:jc w:val="left"/>
            </w:pPr>
            <w:r>
              <w:rPr>
                <w:b w:val="0"/>
                <w:sz w:val="18"/>
              </w:rPr>
              <w:t>Reward validación (10 eps)</w:t>
            </w:r>
          </w:p>
        </w:tc>
        <w:tc>
          <w:tcPr>
            <w:tcW w:type="dxa" w:w="4703"/>
          </w:tcPr>
          <w:p>
            <w:pPr>
              <w:jc w:val="center"/>
            </w:pPr>
            <w:r>
              <w:rPr>
                <w:b/>
                <w:sz w:val="18"/>
              </w:rPr>
              <w:t>250.98 ± 0.00</w:t>
            </w:r>
          </w:p>
        </w:tc>
      </w:tr>
      <w:tr>
        <w:tc>
          <w:tcPr>
            <w:tcW w:type="dxa" w:w="4703"/>
          </w:tcPr>
          <w:p>
            <w:pPr>
              <w:jc w:val="left"/>
            </w:pPr>
            <w:r>
              <w:rPr>
                <w:b w:val="0"/>
                <w:sz w:val="18"/>
              </w:rPr>
              <w:t>Duración entrenamiento</w:t>
            </w:r>
          </w:p>
        </w:tc>
        <w:tc>
          <w:tcPr>
            <w:tcW w:type="dxa" w:w="4703"/>
          </w:tcPr>
          <w:p>
            <w:pPr>
              <w:jc w:val="center"/>
            </w:pPr>
            <w:r>
              <w:rPr>
                <w:b/>
                <w:sz w:val="18"/>
              </w:rPr>
              <w:t>73.4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rPr>
          <w:b w:val="0"/>
          <w:i w:val="0"/>
          <w:color w:val="2CA02C"/>
          <w:sz w:val="24"/>
        </w:rPr>
        <w:t>El agente PPO (Proximal Policy Optimization), algoritmo on-policy con clipping de gradiente, obtuvo F2 = 2,787,039 kg CO₂/año en el episodio óptimo 40, sin incumplimientos de deuda energética, logrando una reducción del 60.5 % respecto a F0 (4,266,961 kg CO₂/año evitados).</w:t>
      </w:r>
    </w:p>
    <w:tbl>
      <w:tblPr>
        <w:tblStyle w:val="TableGrid"/>
        <w:tblW w:type="auto" w:w="0"/>
        <w:tblLook w:firstColumn="1" w:firstRow="1" w:lastColumn="0" w:lastRow="0" w:noHBand="0" w:noVBand="1" w:val="04A0"/>
      </w:tblPr>
      <w:tblGrid>
        <w:gridCol w:w="4703"/>
        <w:gridCol w:w="4703"/>
      </w:tblGrid>
      <w:tr>
        <w:tc>
          <w:tcPr>
            <w:tcW w:type="dxa" w:w="4703"/>
            <w:shd w:val="clear" w:color="auto" w:fill="2CA02C"/>
          </w:tcPr>
          <w:p>
            <w:pPr>
              <w:jc w:val="center"/>
            </w:pPr>
            <w:r>
              <w:rPr>
                <w:b/>
                <w:color w:val="FFFFFF"/>
                <w:sz w:val="20"/>
              </w:rPr>
              <w:t>Métrica</w:t>
            </w:r>
          </w:p>
        </w:tc>
        <w:tc>
          <w:tcPr>
            <w:tcW w:type="dxa" w:w="4703"/>
            <w:shd w:val="clear" w:color="auto" w:fill="2CA02C"/>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6,270,421 kWh/año</w:t>
            </w:r>
          </w:p>
        </w:tc>
      </w:tr>
      <w:tr>
        <w:tc>
          <w:tcPr>
            <w:tcW w:type="dxa" w:w="4703"/>
          </w:tcPr>
          <w:p>
            <w:pPr>
              <w:jc w:val="left"/>
            </w:pPr>
            <w:r>
              <w:rPr>
                <w:b w:val="0"/>
                <w:sz w:val="18"/>
              </w:rPr>
              <w:t>CO₂_CTRL (cálculo F2)</w:t>
            </w:r>
          </w:p>
        </w:tc>
        <w:tc>
          <w:tcPr>
            <w:tcW w:type="dxa" w:w="4703"/>
          </w:tcPr>
          <w:p>
            <w:pPr>
              <w:jc w:val="center"/>
            </w:pPr>
            <w:r>
              <w:rPr>
                <w:b/>
                <w:sz w:val="18"/>
              </w:rPr>
              <w:t>6,270,421 × 0.4521 = 2,834,857</w:t>
            </w:r>
          </w:p>
        </w:tc>
      </w:tr>
      <w:tr>
        <w:tc>
          <w:tcPr>
            <w:tcW w:type="dxa" w:w="4703"/>
          </w:tcPr>
          <w:p>
            <w:pPr>
              <w:jc w:val="left"/>
            </w:pPr>
            <w:r>
              <w:rPr>
                <w:b w:val="0"/>
                <w:sz w:val="18"/>
              </w:rPr>
              <w:t>ΔCO₂_RL vs Baseline (F3)</w:t>
            </w:r>
          </w:p>
        </w:tc>
        <w:tc>
          <w:tcPr>
            <w:tcW w:type="dxa" w:w="4703"/>
          </w:tcPr>
          <w:p>
            <w:pPr>
              <w:jc w:val="center"/>
            </w:pPr>
            <w:r>
              <w:rPr>
                <w:b/>
                <w:sz w:val="18"/>
              </w:rPr>
              <w:t>5,926,304 − 1,987,308 = 3,938,996 kg/año</w:t>
            </w:r>
          </w:p>
        </w:tc>
      </w:tr>
      <w:tr>
        <w:tc>
          <w:tcPr>
            <w:tcW w:type="dxa" w:w="4703"/>
          </w:tcPr>
          <w:p>
            <w:pPr>
              <w:jc w:val="left"/>
            </w:pPr>
            <w:r>
              <w:rPr>
                <w:b w:val="0"/>
                <w:sz w:val="18"/>
              </w:rPr>
              <w:t>Reducción CO₂ grid (%)</w:t>
            </w:r>
          </w:p>
        </w:tc>
        <w:tc>
          <w:tcPr>
            <w:tcW w:type="dxa" w:w="4703"/>
          </w:tcPr>
          <w:p>
            <w:pPr>
              <w:jc w:val="center"/>
            </w:pPr>
            <w:r>
              <w:rPr>
                <w:b/>
                <w:sz w:val="18"/>
              </w:rPr>
              <w:t>52.2%</w:t>
            </w:r>
          </w:p>
        </w:tc>
      </w:tr>
      <w:tr>
        <w:tc>
          <w:tcPr>
            <w:tcW w:type="dxa" w:w="4703"/>
          </w:tcPr>
          <w:p>
            <w:pPr>
              <w:jc w:val="left"/>
            </w:pPr>
            <w:r>
              <w:rPr>
                <w:b w:val="0"/>
                <w:sz w:val="18"/>
              </w:rPr>
              <w:t>CO₂ directo evitado/año</w:t>
            </w:r>
          </w:p>
        </w:tc>
        <w:tc>
          <w:tcPr>
            <w:tcW w:type="dxa" w:w="4703"/>
          </w:tcPr>
          <w:p>
            <w:pPr>
              <w:jc w:val="center"/>
            </w:pPr>
            <w:r>
              <w:rPr>
                <w:b/>
                <w:sz w:val="18"/>
              </w:rPr>
              <w:t>301,293 kg CO₂/año</w:t>
            </w:r>
          </w:p>
        </w:tc>
      </w:tr>
      <w:tr>
        <w:tc>
          <w:tcPr>
            <w:tcW w:type="dxa" w:w="4703"/>
          </w:tcPr>
          <w:p>
            <w:pPr>
              <w:jc w:val="left"/>
            </w:pPr>
            <w:r>
              <w:rPr>
                <w:b w:val="0"/>
                <w:sz w:val="18"/>
              </w:rPr>
              <w:t>CO₂ indirecto evitado/año</w:t>
            </w:r>
          </w:p>
        </w:tc>
        <w:tc>
          <w:tcPr>
            <w:tcW w:type="dxa" w:w="4703"/>
          </w:tcPr>
          <w:p>
            <w:pPr>
              <w:jc w:val="center"/>
            </w:pPr>
            <w:r>
              <w:rPr>
                <w:b/>
                <w:sz w:val="18"/>
              </w:rPr>
              <w:t>2,985,752 kg CO₂/año</w:t>
            </w:r>
          </w:p>
        </w:tc>
      </w:tr>
      <w:tr>
        <w:tc>
          <w:tcPr>
            <w:tcW w:type="dxa" w:w="4703"/>
          </w:tcPr>
          <w:p>
            <w:pPr>
              <w:jc w:val="left"/>
            </w:pPr>
            <w:r>
              <w:rPr>
                <w:b w:val="0"/>
                <w:sz w:val="18"/>
              </w:rPr>
              <w:t>CO₂ total evitado (JSON valid.)</w:t>
            </w:r>
          </w:p>
        </w:tc>
        <w:tc>
          <w:tcPr>
            <w:tcW w:type="dxa" w:w="4703"/>
          </w:tcPr>
          <w:p>
            <w:pPr>
              <w:jc w:val="center"/>
            </w:pPr>
            <w:r>
              <w:rPr>
                <w:b/>
                <w:sz w:val="18"/>
              </w:rPr>
              <w:t>4,079,075 kg/año</w:t>
            </w:r>
          </w:p>
        </w:tc>
      </w:tr>
      <w:tr>
        <w:tc>
          <w:tcPr>
            <w:tcW w:type="dxa" w:w="4703"/>
          </w:tcPr>
          <w:p>
            <w:pPr>
              <w:jc w:val="left"/>
            </w:pPr>
            <w:r>
              <w:rPr>
                <w:b w:val="0"/>
                <w:sz w:val="18"/>
              </w:rPr>
              <w:t>CO₂ sistema total (F3 calc)</w:t>
            </w:r>
          </w:p>
        </w:tc>
        <w:tc>
          <w:tcPr>
            <w:tcW w:type="dxa" w:w="4703"/>
          </w:tcPr>
          <w:p>
            <w:pPr>
              <w:jc w:val="center"/>
            </w:pPr>
            <w:r>
              <w:rPr>
                <w:b/>
                <w:sz w:val="18"/>
              </w:rPr>
              <w:t>4,269,026 kg/año</w:t>
            </w:r>
          </w:p>
        </w:tc>
      </w:tr>
      <w:tr>
        <w:tc>
          <w:tcPr>
            <w:tcW w:type="dxa" w:w="4703"/>
          </w:tcPr>
          <w:p>
            <w:pPr>
              <w:jc w:val="left"/>
            </w:pPr>
            <w:r>
              <w:rPr>
                <w:b w:val="0"/>
                <w:sz w:val="18"/>
              </w:rPr>
              <w:t>Reward validación (10 eps)</w:t>
            </w:r>
          </w:p>
        </w:tc>
        <w:tc>
          <w:tcPr>
            <w:tcW w:type="dxa" w:w="4703"/>
          </w:tcPr>
          <w:p>
            <w:pPr>
              <w:jc w:val="center"/>
            </w:pPr>
            <w:r>
              <w:rPr>
                <w:b/>
                <w:sz w:val="18"/>
              </w:rPr>
              <w:t>331.44 ± 0.00</w:t>
            </w:r>
          </w:p>
        </w:tc>
      </w:tr>
      <w:tr>
        <w:tc>
          <w:tcPr>
            <w:tcW w:type="dxa" w:w="4703"/>
          </w:tcPr>
          <w:p>
            <w:pPr>
              <w:jc w:val="left"/>
            </w:pPr>
            <w:r>
              <w:rPr>
                <w:b w:val="0"/>
                <w:sz w:val="18"/>
              </w:rPr>
              <w:t>Duración entrenamiento</w:t>
            </w:r>
          </w:p>
        </w:tc>
        <w:tc>
          <w:tcPr>
            <w:tcW w:type="dxa" w:w="4703"/>
          </w:tcPr>
          <w:p>
            <w:pPr>
              <w:jc w:val="center"/>
            </w:pPr>
            <w:r>
              <w:rPr>
                <w:b/>
                <w:sz w:val="18"/>
              </w:rPr>
              <w:t>48.9 min (CUDA)</w:t>
            </w:r>
          </w:p>
        </w:tc>
      </w:tr>
      <w:tr>
        <w:tc>
          <w:tcPr>
            <w:tcW w:type="dxa" w:w="4703"/>
          </w:tcPr>
          <w:p>
            <w:pPr>
              <w:jc w:val="left"/>
            </w:pPr>
            <w:r>
              <w:rPr>
                <w:b w:val="0"/>
                <w:sz w:val="18"/>
              </w:rPr>
              <w:t>Hiperparámetro lr</w:t>
            </w:r>
          </w:p>
        </w:tc>
        <w:tc>
          <w:tcPr>
            <w:tcW w:type="dxa" w:w="4703"/>
          </w:tcPr>
          <w:p>
            <w:pPr>
              <w:jc w:val="center"/>
            </w:pPr>
            <w:r>
              <w:rPr>
                <w:b/>
                <w:sz w:val="18"/>
              </w:rPr>
              <w:t>0.0003</w:t>
            </w:r>
          </w:p>
        </w:tc>
      </w:tr>
    </w:tbl>
    <w:p/>
    <w:p>
      <w:r>
        <w:rPr>
          <w:b w:val="0"/>
          <w:i w:val="0"/>
          <w:color w:val="FF7F0E"/>
          <w:sz w:val="24"/>
        </w:rPr>
        <w:t>El agente A2C (Advantage Actor-Critic), algoritmo on-policy sincrónico, registró F2 = 2,834,857 kg CO₂/año en el episodio óptimo 3. A pesar de alcanzar su mínimo en etapas tempranas del entrenamiento, presentó 217 incumplimientos de deuda energética en ese episodio, lo que limita su idoneidad para despliegue en producción. La reducción lograda fue del 59.8 % respecto a F0 (4,219,143 kg CO₂/año evitados).</w:t>
      </w:r>
    </w:p>
    <w:tbl>
      <w:tblPr>
        <w:tblStyle w:val="TableGrid"/>
        <w:tblW w:type="auto" w:w="0"/>
        <w:tblLook w:firstColumn="1" w:firstRow="1" w:lastColumn="0" w:lastRow="0" w:noHBand="0" w:noVBand="1" w:val="04A0"/>
      </w:tblPr>
      <w:tblGrid>
        <w:gridCol w:w="4703"/>
        <w:gridCol w:w="4703"/>
      </w:tblGrid>
      <w:tr>
        <w:tc>
          <w:tcPr>
            <w:tcW w:type="dxa" w:w="4703"/>
            <w:shd w:val="clear" w:color="auto" w:fill="FF7F0E"/>
          </w:tcPr>
          <w:p>
            <w:pPr>
              <w:jc w:val="center"/>
            </w:pPr>
            <w:r>
              <w:rPr>
                <w:b/>
                <w:color w:val="FFFFFF"/>
                <w:sz w:val="20"/>
              </w:rPr>
              <w:t>Métrica</w:t>
            </w:r>
          </w:p>
        </w:tc>
        <w:tc>
          <w:tcPr>
            <w:tcW w:type="dxa" w:w="4703"/>
            <w:shd w:val="clear" w:color="auto" w:fill="FF7F0E"/>
          </w:tcPr>
          <w:p>
            <w:pPr>
              <w:jc w:val="center"/>
            </w:pPr>
            <w:r>
              <w:rPr>
                <w:b/>
                <w:color w:val="FFFFFF"/>
                <w:sz w:val="20"/>
              </w:rPr>
              <w:t>Valor</w:t>
            </w:r>
          </w:p>
        </w:tc>
      </w:tr>
      <w:tr>
        <w:tc>
          <w:tcPr>
            <w:tcW w:type="dxa" w:w="4703"/>
          </w:tcPr>
          <w:p>
            <w:pPr>
              <w:jc w:val="left"/>
            </w:pPr>
            <w:r>
              <w:rPr>
                <w:b w:val="0"/>
                <w:sz w:val="18"/>
              </w:rPr>
              <w:t>Grid import (validación)</w:t>
            </w:r>
          </w:p>
        </w:tc>
        <w:tc>
          <w:tcPr>
            <w:tcW w:type="dxa" w:w="4703"/>
          </w:tcPr>
          <w:p>
            <w:pPr>
              <w:jc w:val="center"/>
            </w:pPr>
            <w:r>
              <w:rPr>
                <w:b/>
                <w:sz w:val="18"/>
              </w:rPr>
              <w:t>6,164,654 kWh/año</w:t>
            </w:r>
          </w:p>
        </w:tc>
      </w:tr>
      <w:tr>
        <w:tc>
          <w:tcPr>
            <w:tcW w:type="dxa" w:w="4703"/>
          </w:tcPr>
          <w:p>
            <w:pPr>
              <w:jc w:val="left"/>
            </w:pPr>
            <w:r>
              <w:rPr>
                <w:b w:val="0"/>
                <w:sz w:val="18"/>
              </w:rPr>
              <w:t>CO₂_CTRL (cálculo F2)</w:t>
            </w:r>
          </w:p>
        </w:tc>
        <w:tc>
          <w:tcPr>
            <w:tcW w:type="dxa" w:w="4703"/>
          </w:tcPr>
          <w:p>
            <w:pPr>
              <w:jc w:val="center"/>
            </w:pPr>
            <w:r>
              <w:rPr>
                <w:b/>
                <w:sz w:val="18"/>
              </w:rPr>
              <w:t>6,164,654 × 0.4521 = 2,787,040</w:t>
            </w:r>
          </w:p>
        </w:tc>
      </w:tr>
      <w:tr>
        <w:tc>
          <w:tcPr>
            <w:tcW w:type="dxa" w:w="4703"/>
          </w:tcPr>
          <w:p>
            <w:pPr>
              <w:jc w:val="left"/>
            </w:pPr>
            <w:r>
              <w:rPr>
                <w:b w:val="0"/>
                <w:sz w:val="18"/>
              </w:rPr>
              <w:t>ΔCO₂_RL vs Baseline (F3)</w:t>
            </w:r>
          </w:p>
        </w:tc>
        <w:tc>
          <w:tcPr>
            <w:tcW w:type="dxa" w:w="4703"/>
          </w:tcPr>
          <w:p>
            <w:pPr>
              <w:jc w:val="center"/>
            </w:pPr>
            <w:r>
              <w:rPr>
                <w:b/>
                <w:sz w:val="18"/>
              </w:rPr>
              <w:t>5,926,304 − 2,988,177 = 2,938,127 kg/año</w:t>
            </w:r>
          </w:p>
        </w:tc>
      </w:tr>
      <w:tr>
        <w:tc>
          <w:tcPr>
            <w:tcW w:type="dxa" w:w="4703"/>
          </w:tcPr>
          <w:p>
            <w:pPr>
              <w:jc w:val="left"/>
            </w:pPr>
            <w:r>
              <w:rPr>
                <w:b w:val="0"/>
                <w:sz w:val="18"/>
              </w:rPr>
              <w:t>Reducción CO₂ grid (%)</w:t>
            </w:r>
          </w:p>
        </w:tc>
        <w:tc>
          <w:tcPr>
            <w:tcW w:type="dxa" w:w="4703"/>
          </w:tcPr>
          <w:p>
            <w:pPr>
              <w:jc w:val="center"/>
            </w:pPr>
            <w:r>
              <w:rPr>
                <w:b/>
                <w:sz w:val="18"/>
              </w:rPr>
              <w:t>53.0%</w:t>
            </w:r>
          </w:p>
        </w:tc>
      </w:tr>
      <w:tr>
        <w:tc>
          <w:tcPr>
            <w:tcW w:type="dxa" w:w="4703"/>
          </w:tcPr>
          <w:p>
            <w:pPr>
              <w:jc w:val="left"/>
            </w:pPr>
            <w:r>
              <w:rPr>
                <w:b w:val="0"/>
                <w:sz w:val="18"/>
              </w:rPr>
              <w:t>CO₂ directo evitado/año</w:t>
            </w:r>
          </w:p>
        </w:tc>
        <w:tc>
          <w:tcPr>
            <w:tcW w:type="dxa" w:w="4703"/>
          </w:tcPr>
          <w:p>
            <w:pPr>
              <w:jc w:val="center"/>
            </w:pPr>
            <w:r>
              <w:rPr>
                <w:b/>
                <w:sz w:val="18"/>
              </w:rPr>
              <w:t>334,103 kg CO₂/año</w:t>
            </w:r>
          </w:p>
        </w:tc>
      </w:tr>
      <w:tr>
        <w:tc>
          <w:tcPr>
            <w:tcW w:type="dxa" w:w="4703"/>
          </w:tcPr>
          <w:p>
            <w:pPr>
              <w:jc w:val="left"/>
            </w:pPr>
            <w:r>
              <w:rPr>
                <w:b w:val="0"/>
                <w:sz w:val="18"/>
              </w:rPr>
              <w:t>CO₂ indirecto evitado/año</w:t>
            </w:r>
          </w:p>
        </w:tc>
        <w:tc>
          <w:tcPr>
            <w:tcW w:type="dxa" w:w="4703"/>
          </w:tcPr>
          <w:p>
            <w:pPr>
              <w:jc w:val="center"/>
            </w:pPr>
            <w:r>
              <w:rPr>
                <w:b/>
                <w:sz w:val="18"/>
              </w:rPr>
              <w:t>3,052,176 kg CO₂/año</w:t>
            </w:r>
          </w:p>
        </w:tc>
      </w:tr>
      <w:tr>
        <w:tc>
          <w:tcPr>
            <w:tcW w:type="dxa" w:w="4703"/>
          </w:tcPr>
          <w:p>
            <w:pPr>
              <w:jc w:val="left"/>
            </w:pPr>
            <w:r>
              <w:rPr>
                <w:b w:val="0"/>
                <w:sz w:val="18"/>
              </w:rPr>
              <w:t>CO₂ total evitado (JSON valid.)</w:t>
            </w:r>
          </w:p>
        </w:tc>
        <w:tc>
          <w:tcPr>
            <w:tcW w:type="dxa" w:w="4703"/>
          </w:tcPr>
          <w:p>
            <w:pPr>
              <w:jc w:val="center"/>
            </w:pPr>
            <w:r>
              <w:rPr>
                <w:b/>
                <w:sz w:val="18"/>
              </w:rPr>
              <w:t>4,171,337 kg/año</w:t>
            </w:r>
          </w:p>
        </w:tc>
      </w:tr>
      <w:tr>
        <w:tc>
          <w:tcPr>
            <w:tcW w:type="dxa" w:w="4703"/>
          </w:tcPr>
          <w:p>
            <w:pPr>
              <w:jc w:val="left"/>
            </w:pPr>
            <w:r>
              <w:rPr>
                <w:b w:val="0"/>
                <w:sz w:val="18"/>
              </w:rPr>
              <w:t>CO₂ sistema total (F3 calc)</w:t>
            </w:r>
          </w:p>
        </w:tc>
        <w:tc>
          <w:tcPr>
            <w:tcW w:type="dxa" w:w="4703"/>
          </w:tcPr>
          <w:p>
            <w:pPr>
              <w:jc w:val="center"/>
            </w:pPr>
            <w:r>
              <w:rPr>
                <w:b/>
                <w:sz w:val="18"/>
              </w:rPr>
              <w:t>3,268,157 kg/año</w:t>
            </w:r>
          </w:p>
        </w:tc>
      </w:tr>
      <w:tr>
        <w:tc>
          <w:tcPr>
            <w:tcW w:type="dxa" w:w="4703"/>
          </w:tcPr>
          <w:p>
            <w:pPr>
              <w:jc w:val="left"/>
            </w:pPr>
            <w:r>
              <w:rPr>
                <w:b w:val="0"/>
                <w:sz w:val="18"/>
              </w:rPr>
              <w:t>Reward validación (10 eps)</w:t>
            </w:r>
          </w:p>
        </w:tc>
        <w:tc>
          <w:tcPr>
            <w:tcW w:type="dxa" w:w="4703"/>
          </w:tcPr>
          <w:p>
            <w:pPr>
              <w:jc w:val="center"/>
            </w:pPr>
            <w:r>
              <w:rPr>
                <w:b/>
                <w:sz w:val="18"/>
              </w:rPr>
              <w:t>-21.39 ± 0.09</w:t>
            </w:r>
          </w:p>
        </w:tc>
      </w:tr>
      <w:tr>
        <w:tc>
          <w:tcPr>
            <w:tcW w:type="dxa" w:w="4703"/>
          </w:tcPr>
          <w:p>
            <w:pPr>
              <w:jc w:val="left"/>
            </w:pPr>
            <w:r>
              <w:rPr>
                <w:b w:val="0"/>
                <w:sz w:val="18"/>
              </w:rPr>
              <w:t>Duración entrenamiento</w:t>
            </w:r>
          </w:p>
        </w:tc>
        <w:tc>
          <w:tcPr>
            <w:tcW w:type="dxa" w:w="4703"/>
          </w:tcPr>
          <w:p>
            <w:pPr>
              <w:jc w:val="center"/>
            </w:pPr>
            <w:r>
              <w:rPr>
                <w:b/>
                <w:sz w:val="18"/>
              </w:rPr>
              <w:t>15.0 min (CUDA)</w:t>
            </w:r>
          </w:p>
        </w:tc>
      </w:tr>
      <w:tr>
        <w:tc>
          <w:tcPr>
            <w:tcW w:type="dxa" w:w="4703"/>
          </w:tcPr>
          <w:p>
            <w:pPr>
              <w:jc w:val="left"/>
            </w:pPr>
            <w:r>
              <w:rPr>
                <w:b w:val="0"/>
                <w:sz w:val="18"/>
              </w:rPr>
              <w:t>Hiperparámetro lr</w:t>
            </w:r>
          </w:p>
        </w:tc>
        <w:tc>
          <w:tcPr>
            <w:tcW w:type="dxa" w:w="4703"/>
          </w:tcPr>
          <w:p>
            <w:pPr>
              <w:jc w:val="center"/>
            </w:pPr>
            <w:r>
              <w:rPr>
                <w:b/>
                <w:sz w:val="18"/>
              </w:rPr>
              <w:t>0.0001</w:t>
            </w:r>
          </w:p>
        </w:tc>
      </w:tr>
    </w:tbl>
    <w:p/>
    <w:p>
      <w:r>
        <w:br w:type="page"/>
      </w:r>
    </w:p>
    <w:p>
      <w:pPr>
        <w:pStyle w:val="Heading1"/>
      </w:pPr>
      <w:r>
        <w:rPr>
          <w:b/>
          <w:color w:val="1A235E"/>
        </w:rPr>
        <w:t>4. Tabla Comparativa — Ranking OE3</w:t>
      </w:r>
    </w:p>
    <w:p>
      <w:r>
        <w:rPr>
          <w:b w:val="0"/>
          <w:i w:val="0"/>
          <w:sz w:val="20"/>
        </w:rPr>
        <w:t>La Tabla 4 presenta el ranking OE3 de los tres agentes ordenados por el criterio principal de minimización de F2 (menor CO₂ controlado en el episodio óptimo). El criterio secundario de desempate es el mayor valor de recompensa acumulada. El agente con el menor F2 cumple de manera más efectiva el OE3, puesto que maximiza el desplazamiento de generación diésel por energía solar y BESS gestionada inteligentemente. La Tabla consolida F2 mínimo, porcentaje de reducción vs F0 y F1, y las métricas de robustez operacional (debt violations y cobertura EV media).</w:t>
      </w:r>
    </w:p>
    <w:p/>
    <w:tbl>
      <w:tblPr>
        <w:tblStyle w:val="TableGrid"/>
        <w:tblW w:type="auto" w:w="0"/>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A235E"/>
          </w:tcPr>
          <w:p>
            <w:pPr>
              <w:jc w:val="center"/>
            </w:pPr>
            <w:r>
              <w:rPr>
                <w:b/>
                <w:color w:val="FFFFFF"/>
                <w:sz w:val="18"/>
              </w:rPr>
              <w:t>Rank</w:t>
            </w:r>
          </w:p>
        </w:tc>
        <w:tc>
          <w:tcPr>
            <w:tcW w:type="dxa" w:w="941"/>
            <w:shd w:val="clear" w:color="auto" w:fill="1A235E"/>
          </w:tcPr>
          <w:p>
            <w:pPr>
              <w:jc w:val="center"/>
            </w:pPr>
            <w:r>
              <w:rPr>
                <w:b/>
                <w:color w:val="FFFFFF"/>
                <w:sz w:val="18"/>
              </w:rPr>
              <w:t>Agente</w:t>
            </w:r>
          </w:p>
        </w:tc>
        <w:tc>
          <w:tcPr>
            <w:tcW w:type="dxa" w:w="941"/>
            <w:shd w:val="clear" w:color="auto" w:fill="1A235E"/>
          </w:tcPr>
          <w:p>
            <w:pPr>
              <w:jc w:val="center"/>
            </w:pPr>
            <w:r>
              <w:rPr>
                <w:b/>
                <w:color w:val="FFFFFF"/>
                <w:sz w:val="18"/>
              </w:rPr>
              <w:t>CO₂_CTRL</w:t>
              <w:br/>
              <w:t>(kg/año)</w:t>
            </w:r>
          </w:p>
        </w:tc>
        <w:tc>
          <w:tcPr>
            <w:tcW w:type="dxa" w:w="941"/>
            <w:shd w:val="clear" w:color="auto" w:fill="1A235E"/>
          </w:tcPr>
          <w:p>
            <w:pPr>
              <w:jc w:val="center"/>
            </w:pPr>
            <w:r>
              <w:rPr>
                <w:b/>
                <w:color w:val="FFFFFF"/>
                <w:sz w:val="18"/>
              </w:rPr>
              <w:t>Reducción</w:t>
              <w:br/>
              <w:t>(%)</w:t>
            </w:r>
          </w:p>
        </w:tc>
        <w:tc>
          <w:tcPr>
            <w:tcW w:type="dxa" w:w="941"/>
            <w:shd w:val="clear" w:color="auto" w:fill="1A235E"/>
          </w:tcPr>
          <w:p>
            <w:pPr>
              <w:jc w:val="center"/>
            </w:pPr>
            <w:r>
              <w:rPr>
                <w:b/>
                <w:color w:val="FFFFFF"/>
                <w:sz w:val="18"/>
              </w:rPr>
              <w:t>CO₂ evitado</w:t>
              <w:br/>
              <w:t>(kg/año)</w:t>
            </w:r>
          </w:p>
        </w:tc>
        <w:tc>
          <w:tcPr>
            <w:tcW w:type="dxa" w:w="941"/>
            <w:shd w:val="clear" w:color="auto" w:fill="1A235E"/>
          </w:tcPr>
          <w:p>
            <w:pPr>
              <w:jc w:val="center"/>
            </w:pPr>
            <w:r>
              <w:rPr>
                <w:b/>
                <w:color w:val="FFFFFF"/>
                <w:sz w:val="18"/>
              </w:rPr>
              <w:t>CO₂ directo</w:t>
              <w:br/>
              <w:t>(kg/año)</w:t>
            </w:r>
          </w:p>
        </w:tc>
        <w:tc>
          <w:tcPr>
            <w:tcW w:type="dxa" w:w="941"/>
            <w:shd w:val="clear" w:color="auto" w:fill="1A235E"/>
          </w:tcPr>
          <w:p>
            <w:pPr>
              <w:jc w:val="center"/>
            </w:pPr>
            <w:r>
              <w:rPr>
                <w:b/>
                <w:color w:val="FFFFFF"/>
                <w:sz w:val="18"/>
              </w:rPr>
              <w:t>Reward</w:t>
              <w:br/>
              <w:t>validación</w:t>
            </w:r>
          </w:p>
        </w:tc>
        <w:tc>
          <w:tcPr>
            <w:tcW w:type="dxa" w:w="941"/>
            <w:shd w:val="clear" w:color="auto" w:fill="1A235E"/>
          </w:tcPr>
          <w:p>
            <w:pPr>
              <w:jc w:val="center"/>
            </w:pPr>
            <w:r>
              <w:rPr>
                <w:b/>
                <w:color w:val="FFFFFF"/>
                <w:sz w:val="18"/>
              </w:rPr>
              <w:t>Grid import</w:t>
              <w:br/>
              <w:t>(kWh/año)</w:t>
            </w:r>
          </w:p>
        </w:tc>
        <w:tc>
          <w:tcPr>
            <w:tcW w:type="dxa" w:w="941"/>
            <w:shd w:val="clear" w:color="auto" w:fill="1A235E"/>
          </w:tcPr>
          <w:p>
            <w:pPr>
              <w:jc w:val="center"/>
            </w:pPr>
            <w:r>
              <w:rPr>
                <w:b/>
                <w:color w:val="FFFFFF"/>
                <w:sz w:val="18"/>
              </w:rPr>
              <w:t>Duración</w:t>
              <w:br/>
              <w:t>(min)</w:t>
            </w:r>
          </w:p>
        </w:tc>
        <w:tc>
          <w:tcPr>
            <w:tcW w:type="dxa" w:w="941"/>
            <w:shd w:val="clear" w:color="auto" w:fill="1A235E"/>
          </w:tcPr>
          <w:p>
            <w:pPr>
              <w:jc w:val="center"/>
            </w:pPr>
            <w:r>
              <w:rPr>
                <w:b/>
                <w:color w:val="FFFFFF"/>
                <w:sz w:val="18"/>
              </w:rPr>
              <w:t>Dispositivo</w:t>
            </w:r>
          </w:p>
        </w:tc>
      </w:tr>
      <w:tr>
        <w:tc>
          <w:tcPr>
            <w:tcW w:type="dxa" w:w="941"/>
            <w:shd w:val="clear" w:color="auto" w:fill="E8F5E9"/>
          </w:tcPr>
          <w:p>
            <w:pPr>
              <w:jc w:val="center"/>
            </w:pPr>
            <w:r>
              <w:rPr>
                <w:b/>
                <w:sz w:val="18"/>
              </w:rPr>
              <w:t>🥇</w:t>
            </w:r>
          </w:p>
        </w:tc>
        <w:tc>
          <w:tcPr>
            <w:tcW w:type="dxa" w:w="941"/>
            <w:shd w:val="clear" w:color="auto" w:fill="E8F5E9"/>
          </w:tcPr>
          <w:p>
            <w:pPr>
              <w:jc w:val="center"/>
            </w:pPr>
            <w:r>
              <w:rPr>
                <w:b/>
                <w:color w:val="2CA02C"/>
                <w:sz w:val="18"/>
              </w:rPr>
              <w:t>SAC</w:t>
            </w:r>
          </w:p>
        </w:tc>
        <w:tc>
          <w:tcPr>
            <w:tcW w:type="dxa" w:w="941"/>
            <w:shd w:val="clear" w:color="auto" w:fill="E8F5E9"/>
          </w:tcPr>
          <w:p>
            <w:pPr>
              <w:jc w:val="center"/>
            </w:pPr>
            <w:r>
              <w:rPr>
                <w:b/>
                <w:sz w:val="18"/>
              </w:rPr>
              <w:t>2,622,735</w:t>
            </w:r>
          </w:p>
        </w:tc>
        <w:tc>
          <w:tcPr>
            <w:tcW w:type="dxa" w:w="941"/>
            <w:shd w:val="clear" w:color="auto" w:fill="E8F5E9"/>
          </w:tcPr>
          <w:p>
            <w:pPr>
              <w:jc w:val="center"/>
            </w:pPr>
            <w:r>
              <w:rPr>
                <w:b/>
                <w:sz w:val="18"/>
              </w:rPr>
              <w:t>55.7%</w:t>
            </w:r>
          </w:p>
        </w:tc>
        <w:tc>
          <w:tcPr>
            <w:tcW w:type="dxa" w:w="941"/>
            <w:shd w:val="clear" w:color="auto" w:fill="E8F5E9"/>
          </w:tcPr>
          <w:p>
            <w:pPr>
              <w:jc w:val="center"/>
            </w:pPr>
            <w:r>
              <w:rPr>
                <w:b/>
                <w:sz w:val="18"/>
              </w:rPr>
              <w:t>3,552,620</w:t>
            </w:r>
          </w:p>
        </w:tc>
        <w:tc>
          <w:tcPr>
            <w:tcW w:type="dxa" w:w="941"/>
            <w:shd w:val="clear" w:color="auto" w:fill="E8F5E9"/>
          </w:tcPr>
          <w:p>
            <w:pPr>
              <w:jc w:val="center"/>
            </w:pPr>
            <w:r>
              <w:rPr>
                <w:b/>
                <w:sz w:val="18"/>
              </w:rPr>
              <w:t>328,736</w:t>
            </w:r>
          </w:p>
        </w:tc>
        <w:tc>
          <w:tcPr>
            <w:tcW w:type="dxa" w:w="941"/>
            <w:shd w:val="clear" w:color="auto" w:fill="E8F5E9"/>
          </w:tcPr>
          <w:p>
            <w:pPr>
              <w:jc w:val="center"/>
            </w:pPr>
            <w:r>
              <w:rPr>
                <w:b/>
                <w:sz w:val="18"/>
              </w:rPr>
              <w:t>Ep 48</w:t>
            </w:r>
          </w:p>
        </w:tc>
        <w:tc>
          <w:tcPr>
            <w:tcW w:type="dxa" w:w="941"/>
            <w:shd w:val="clear" w:color="auto" w:fill="E8F5E9"/>
          </w:tcPr>
          <w:p>
            <w:pPr>
              <w:jc w:val="center"/>
            </w:pPr>
            <w:r>
              <w:rPr>
                <w:b/>
                <w:sz w:val="18"/>
              </w:rPr>
              <w:t>5,801,227</w:t>
            </w:r>
          </w:p>
        </w:tc>
        <w:tc>
          <w:tcPr>
            <w:tcW w:type="dxa" w:w="941"/>
            <w:shd w:val="clear" w:color="auto" w:fill="E8F5E9"/>
          </w:tcPr>
          <w:p>
            <w:pPr>
              <w:jc w:val="center"/>
            </w:pPr>
            <w:r>
              <w:rPr>
                <w:b/>
                <w:sz w:val="18"/>
              </w:rPr>
              <w:t>50</w:t>
            </w:r>
          </w:p>
        </w:tc>
        <w:tc>
          <w:tcPr>
            <w:tcW w:type="dxa" w:w="941"/>
            <w:shd w:val="clear" w:color="auto" w:fill="E8F5E9"/>
          </w:tcPr>
          <w:p>
            <w:pPr>
              <w:jc w:val="center"/>
            </w:pPr>
            <w:r>
              <w:rPr>
                <w:b/>
                <w:sz w:val="18"/>
              </w:rPr>
              <w:t>GPU/CPU</w:t>
            </w:r>
          </w:p>
        </w:tc>
      </w:tr>
      <w:tr>
        <w:tc>
          <w:tcPr>
            <w:tcW w:type="dxa" w:w="941"/>
            <w:shd w:val="clear" w:color="auto" w:fill="FFF9C4"/>
          </w:tcPr>
          <w:p>
            <w:pPr>
              <w:jc w:val="center"/>
            </w:pPr>
            <w:r>
              <w:rPr>
                <w:b/>
                <w:sz w:val="18"/>
              </w:rPr>
              <w:t>🥈</w:t>
            </w:r>
          </w:p>
        </w:tc>
        <w:tc>
          <w:tcPr>
            <w:tcW w:type="dxa" w:w="941"/>
            <w:shd w:val="clear" w:color="auto" w:fill="FFF9C4"/>
          </w:tcPr>
          <w:p>
            <w:pPr>
              <w:jc w:val="center"/>
            </w:pPr>
            <w:r>
              <w:rPr>
                <w:b/>
                <w:color w:val="1F77B4"/>
                <w:sz w:val="18"/>
              </w:rPr>
              <w:t>PPO</w:t>
            </w:r>
          </w:p>
        </w:tc>
        <w:tc>
          <w:tcPr>
            <w:tcW w:type="dxa" w:w="941"/>
            <w:shd w:val="clear" w:color="auto" w:fill="FFF9C4"/>
          </w:tcPr>
          <w:p>
            <w:pPr>
              <w:jc w:val="center"/>
            </w:pPr>
            <w:r>
              <w:rPr>
                <w:b w:val="0"/>
                <w:sz w:val="18"/>
              </w:rPr>
              <w:t>2,787,040</w:t>
            </w:r>
          </w:p>
        </w:tc>
        <w:tc>
          <w:tcPr>
            <w:tcW w:type="dxa" w:w="941"/>
            <w:shd w:val="clear" w:color="auto" w:fill="FFF9C4"/>
          </w:tcPr>
          <w:p>
            <w:pPr>
              <w:jc w:val="center"/>
            </w:pPr>
            <w:r>
              <w:rPr>
                <w:b w:val="0"/>
                <w:sz w:val="18"/>
              </w:rPr>
              <w:t>53.0%</w:t>
            </w:r>
          </w:p>
        </w:tc>
        <w:tc>
          <w:tcPr>
            <w:tcW w:type="dxa" w:w="941"/>
            <w:shd w:val="clear" w:color="auto" w:fill="FFF9C4"/>
          </w:tcPr>
          <w:p>
            <w:pPr>
              <w:jc w:val="center"/>
            </w:pPr>
            <w:r>
              <w:rPr>
                <w:b w:val="0"/>
                <w:sz w:val="18"/>
              </w:rPr>
              <w:t>3,386,279</w:t>
            </w:r>
          </w:p>
        </w:tc>
        <w:tc>
          <w:tcPr>
            <w:tcW w:type="dxa" w:w="941"/>
            <w:shd w:val="clear" w:color="auto" w:fill="FFF9C4"/>
          </w:tcPr>
          <w:p>
            <w:pPr>
              <w:jc w:val="center"/>
            </w:pPr>
            <w:r>
              <w:rPr>
                <w:b w:val="0"/>
                <w:sz w:val="18"/>
              </w:rPr>
              <w:t>334,103</w:t>
            </w:r>
          </w:p>
        </w:tc>
        <w:tc>
          <w:tcPr>
            <w:tcW w:type="dxa" w:w="941"/>
            <w:shd w:val="clear" w:color="auto" w:fill="FFF9C4"/>
          </w:tcPr>
          <w:p>
            <w:pPr>
              <w:jc w:val="center"/>
            </w:pPr>
            <w:r>
              <w:rPr>
                <w:b w:val="0"/>
                <w:sz w:val="18"/>
              </w:rPr>
              <w:t>Ep 40</w:t>
            </w:r>
          </w:p>
        </w:tc>
        <w:tc>
          <w:tcPr>
            <w:tcW w:type="dxa" w:w="941"/>
            <w:shd w:val="clear" w:color="auto" w:fill="FFF9C4"/>
          </w:tcPr>
          <w:p>
            <w:pPr>
              <w:jc w:val="center"/>
            </w:pPr>
            <w:r>
              <w:rPr>
                <w:b w:val="0"/>
                <w:sz w:val="18"/>
              </w:rPr>
              <w:t>6,164,654</w:t>
            </w:r>
          </w:p>
        </w:tc>
        <w:tc>
          <w:tcPr>
            <w:tcW w:type="dxa" w:w="941"/>
            <w:shd w:val="clear" w:color="auto" w:fill="FFF9C4"/>
          </w:tcPr>
          <w:p>
            <w:pPr>
              <w:jc w:val="center"/>
            </w:pPr>
            <w:r>
              <w:rPr>
                <w:b w:val="0"/>
                <w:sz w:val="18"/>
              </w:rPr>
              <w:t>50</w:t>
            </w:r>
          </w:p>
        </w:tc>
        <w:tc>
          <w:tcPr>
            <w:tcW w:type="dxa" w:w="941"/>
            <w:shd w:val="clear" w:color="auto" w:fill="FFF9C4"/>
          </w:tcPr>
          <w:p>
            <w:pPr>
              <w:jc w:val="center"/>
            </w:pPr>
            <w:r>
              <w:rPr>
                <w:b w:val="0"/>
                <w:sz w:val="18"/>
              </w:rPr>
              <w:t>GPU/CPU</w:t>
            </w:r>
          </w:p>
        </w:tc>
      </w:tr>
      <w:tr>
        <w:tc>
          <w:tcPr>
            <w:tcW w:type="dxa" w:w="941"/>
            <w:shd w:val="clear" w:color="auto" w:fill="FFF3E0"/>
          </w:tcPr>
          <w:p>
            <w:pPr>
              <w:jc w:val="center"/>
            </w:pPr>
            <w:r>
              <w:rPr>
                <w:b/>
                <w:sz w:val="18"/>
              </w:rPr>
              <w:t>🥉</w:t>
            </w:r>
          </w:p>
        </w:tc>
        <w:tc>
          <w:tcPr>
            <w:tcW w:type="dxa" w:w="941"/>
            <w:shd w:val="clear" w:color="auto" w:fill="FFF3E0"/>
          </w:tcPr>
          <w:p>
            <w:pPr>
              <w:jc w:val="center"/>
            </w:pPr>
            <w:r>
              <w:rPr>
                <w:b/>
                <w:color w:val="FF7F0E"/>
                <w:sz w:val="18"/>
              </w:rPr>
              <w:t>A2C</w:t>
            </w:r>
          </w:p>
        </w:tc>
        <w:tc>
          <w:tcPr>
            <w:tcW w:type="dxa" w:w="941"/>
            <w:shd w:val="clear" w:color="auto" w:fill="FFF3E0"/>
          </w:tcPr>
          <w:p>
            <w:pPr>
              <w:jc w:val="center"/>
            </w:pPr>
            <w:r>
              <w:rPr>
                <w:b w:val="0"/>
                <w:sz w:val="18"/>
              </w:rPr>
              <w:t>2,834,857</w:t>
            </w:r>
          </w:p>
        </w:tc>
        <w:tc>
          <w:tcPr>
            <w:tcW w:type="dxa" w:w="941"/>
            <w:shd w:val="clear" w:color="auto" w:fill="FFF3E0"/>
          </w:tcPr>
          <w:p>
            <w:pPr>
              <w:jc w:val="center"/>
            </w:pPr>
            <w:r>
              <w:rPr>
                <w:b w:val="0"/>
                <w:sz w:val="18"/>
              </w:rPr>
              <w:t>52.2%</w:t>
            </w:r>
          </w:p>
        </w:tc>
        <w:tc>
          <w:tcPr>
            <w:tcW w:type="dxa" w:w="941"/>
            <w:shd w:val="clear" w:color="auto" w:fill="FFF3E0"/>
          </w:tcPr>
          <w:p>
            <w:pPr>
              <w:jc w:val="center"/>
            </w:pPr>
            <w:r>
              <w:rPr>
                <w:b w:val="0"/>
                <w:sz w:val="18"/>
              </w:rPr>
              <w:t>3,287,045</w:t>
            </w:r>
          </w:p>
        </w:tc>
        <w:tc>
          <w:tcPr>
            <w:tcW w:type="dxa" w:w="941"/>
            <w:shd w:val="clear" w:color="auto" w:fill="FFF3E0"/>
          </w:tcPr>
          <w:p>
            <w:pPr>
              <w:jc w:val="center"/>
            </w:pPr>
            <w:r>
              <w:rPr>
                <w:b w:val="0"/>
                <w:sz w:val="18"/>
              </w:rPr>
              <w:t>301,293</w:t>
            </w:r>
          </w:p>
        </w:tc>
        <w:tc>
          <w:tcPr>
            <w:tcW w:type="dxa" w:w="941"/>
            <w:shd w:val="clear" w:color="auto" w:fill="FFF3E0"/>
          </w:tcPr>
          <w:p>
            <w:pPr>
              <w:jc w:val="center"/>
            </w:pPr>
            <w:r>
              <w:rPr>
                <w:b w:val="0"/>
                <w:sz w:val="18"/>
              </w:rPr>
              <w:t>Ep 3</w:t>
            </w:r>
          </w:p>
        </w:tc>
        <w:tc>
          <w:tcPr>
            <w:tcW w:type="dxa" w:w="941"/>
            <w:shd w:val="clear" w:color="auto" w:fill="FFF3E0"/>
          </w:tcPr>
          <w:p>
            <w:pPr>
              <w:jc w:val="center"/>
            </w:pPr>
            <w:r>
              <w:rPr>
                <w:b w:val="0"/>
                <w:sz w:val="18"/>
              </w:rPr>
              <w:t>6,270,421</w:t>
            </w:r>
          </w:p>
        </w:tc>
        <w:tc>
          <w:tcPr>
            <w:tcW w:type="dxa" w:w="941"/>
            <w:shd w:val="clear" w:color="auto" w:fill="FFF3E0"/>
          </w:tcPr>
          <w:p>
            <w:pPr>
              <w:jc w:val="center"/>
            </w:pPr>
            <w:r>
              <w:rPr>
                <w:b w:val="0"/>
                <w:sz w:val="18"/>
              </w:rPr>
              <w:t>50</w:t>
            </w:r>
          </w:p>
        </w:tc>
        <w:tc>
          <w:tcPr>
            <w:tcW w:type="dxa" w:w="941"/>
            <w:shd w:val="clear" w:color="auto" w:fill="FFF3E0"/>
          </w:tcPr>
          <w:p>
            <w:pPr>
              <w:jc w:val="center"/>
            </w:pPr>
            <w:r>
              <w:rPr>
                <w:b w:val="0"/>
                <w:sz w:val="18"/>
              </w:rPr>
              <w:t>GPU/CPU</w:t>
            </w:r>
          </w:p>
        </w:tc>
      </w:tr>
    </w:tbl>
    <w:p/>
    <w:p>
      <w:pPr>
        <w:pStyle w:val="Heading1"/>
      </w:pPr>
      <w:r>
        <w:rPr>
          <w:b/>
          <w:color w:val="1A235E"/>
        </w:rPr>
        <w:t>5. Análisis del Agente Ganador: SAC</w:t>
      </w:r>
    </w:p>
    <w:p>
      <w:r>
        <w:rPr>
          <w:b w:val="0"/>
          <w:i w:val="0"/>
          <w:sz w:val="20"/>
        </w:rPr>
        <w:t>El agente SAC (Soft Actor-Critic) obtiene la mayor reducción de emisiones de CO₂ de los tres agentes evaluados, siendo seleccionado como el agente óptimo para cumplir el OE3. Su arquitectura off-policy con replay buffer de 100,000 transiciones y el principio de máxima entropía le permiten explorar eficientemente el espacio de acciones continuo de 39 dimensiones (1 BESS + 38 sockets), aprendiendo políticas de despacho robustas a lo largo de los 50 episodios de entrenamiento.</w:t>
      </w:r>
    </w:p>
    <w:p/>
    <w:p>
      <w:pPr>
        <w:pStyle w:val="ListBullet"/>
      </w:pPr>
      <w:r>
        <w:rPr>
          <w:b w:val="0"/>
          <w:i w:val="0"/>
          <w:sz w:val="20"/>
        </w:rPr>
        <w:t>En su episodio óptimo (episodio 48 de 50), el SAC alcanza F2 = 2,622,734 kg CO₂/año, representando una reducción del 62.8 % respecto al escenario contrafactual F0 (7,054,000 kg CO₂/año) y del 54.7 % respecto a la línea base F1 (5,789,814 kg CO₂/año). La CO₂ total evitado asciende a 3,552,619 kg/año descomponiendo en 328,736 kg de reducción directa (desplazamiento de combustible vehicular) y 3,223,883 kg de reducción indirecta (desplazamiento de generación diésel de red). La importación de red en este episodio es de solo 5,801,227 kWh/año frente a los 12,776,934 kWh/año de la operación sin solar ni BESS.</w:t>
      </w:r>
      <w:r>
        <w:rPr>
          <w:color w:val="2CA02C"/>
          <w:sz w:val="20"/>
        </w:rPr>
      </w:r>
    </w:p>
    <w:p>
      <w:pPr>
        <w:pStyle w:val="ListBullet"/>
      </w:pPr>
      <w:r>
        <w:rPr>
          <w:b/>
          <w:sz w:val="20"/>
        </w:rPr>
      </w:r>
      <w:r>
        <w:rPr>
          <w:color w:val="2CA02C"/>
          <w:sz w:val="20"/>
        </w:rPr>
      </w:r>
    </w:p>
    <w:p>
      <w:pPr>
        <w:pStyle w:val="ListBullet"/>
      </w:pPr>
      <w:r>
        <w:rPr>
          <w:b/>
          <w:sz w:val="20"/>
        </w:rPr>
      </w:r>
      <w:r>
        <w:rPr>
          <w:color w:val="2CA02C"/>
          <w:sz w:val="20"/>
        </w:rPr>
      </w:r>
    </w:p>
    <w:p>
      <w:pPr>
        <w:pStyle w:val="ListBullet"/>
      </w:pPr>
      <w:r>
        <w:rPr>
          <w:b w:val="0"/>
          <w:i w:val="0"/>
          <w:sz w:val="20"/>
        </w:rPr>
        <w:t>El episodio óptimo 48 alcanzado por el SAC al término de las 50 iteraciones evidencia que el algoritmo off-policy continuó explorando y mejorando sus políticas hasta los episodios finales del entrenamiento, a diferencia del A2C (cuyo mínimo ocurre en el episodio 3) y del PPO (episodio 40). El episodio 48 presenta además cero incumplimientos de deuda energética EV, lo que garantiza el cubrimiento completo de la demanda de carga de motos y mototaxis. La descarga del BESS fue de 875,698 kWh/año, con una generación solar de 8,292,514 kWh/año aprovechada mediante la estrategia solar-priority.</w:t>
      </w:r>
      <w:r>
        <w:rPr>
          <w:color w:val="2CA02C"/>
          <w:sz w:val="20"/>
        </w:rPr>
      </w:r>
    </w:p>
    <w:p>
      <w:pPr>
        <w:pStyle w:val="ListBullet"/>
      </w:pPr>
      <w:r>
        <w:rPr>
          <w:b/>
          <w:sz w:val="20"/>
        </w:rPr>
      </w:r>
      <w:r>
        <w:rPr>
          <w:color w:val="2CA02C"/>
          <w:sz w:val="20"/>
        </w:rPr>
      </w:r>
    </w:p>
    <w:p>
      <w:pPr>
        <w:pStyle w:val="ListBullet"/>
      </w:pPr>
      <w:r>
        <w:rPr>
          <w:b/>
          <w:sz w:val="20"/>
        </w:rPr>
      </w:r>
      <w:r>
        <w:rPr>
          <w:color w:val="2CA02C"/>
          <w:sz w:val="20"/>
        </w:rPr>
      </w:r>
    </w:p>
    <w:p>
      <w:pPr>
        <w:pStyle w:val="ListBullet"/>
      </w:pPr>
      <w:r>
        <w:rPr>
          <w:b w:val="0"/>
          <w:i w:val="0"/>
          <w:sz w:val="20"/>
        </w:rPr>
        <w:t>La mejora progresiva del SAC a lo largo de los 50 episodios (de 3,055,514 kg CO₂/año en el episodio 1 a 2,622,734 kg CO₂/año en el episodio 48, equivalente a una convergencia del 14.1 %) confirma la capacidad del algoritmo para aprender y refinar continuamente su política de despacho de energía. Esta característica es consecuencia directa del mecanismo de replay de experiencia off-policy de SAC, que reutiliza transacciones pasadas de manera eficiente.</w:t>
      </w:r>
      <w:r>
        <w:rPr>
          <w:color w:val="2CA02C"/>
          <w:sz w:val="20"/>
        </w:rPr>
      </w:r>
    </w:p>
    <w:p/>
    <w:p>
      <w:pPr>
        <w:pStyle w:val="Heading2"/>
      </w:pPr>
      <w:r>
        <w:rPr>
          <w:b/>
          <w:color w:val="1A235E"/>
        </w:rPr>
        <w:t>5.1. Comparación específica SAC vs PPO</w:t>
      </w:r>
    </w:p>
    <w:p>
      <w:r>
        <w:rPr>
          <w:b w:val="0"/>
          <w:i w:val="0"/>
          <w:sz w:val="20"/>
        </w:rPr>
        <w:t>PPO (Proximal Policy Optimization) ocupa el segundo lugar en el ranking OE3 con F2 = 2,787,039 kg CO₂/año en su episodio óptimo 40, superado por el SAC en 164,305 kg CO₂/año. Aunque PPO converge de manera estable gracias al mecanismo de clipping de la razón de probabilidad (ε = 0.2), su naturaleza on-policy limita la eficiencia muestral: aprende únicamente de la interacción más reciente, descartando la experiencia acumulada de episodios anteriores. Esto se refleja en una mejora de convergencia del 7.89 % entre el episodio 1 (3,029,400 kg/año) y el episodio 50 (2,790,249 kg/año), inferior a la del SAC (14.1 %).</w:t>
      </w:r>
    </w:p>
    <w:p>
      <w:pPr>
        <w:pStyle w:val="ListBullet"/>
      </w:pPr>
      <w:r>
        <w:rPr>
          <w:b/>
          <w:sz w:val="20"/>
        </w:rPr>
      </w:r>
      <w:r>
        <w:rPr>
          <w:sz w:val="20"/>
        </w:rPr>
      </w:r>
    </w:p>
    <w:p>
      <w:pPr>
        <w:pStyle w:val="ListBullet"/>
      </w:pPr>
      <w:r>
        <w:rPr>
          <w:b/>
          <w:sz w:val="20"/>
        </w:rPr>
      </w:r>
      <w:r>
        <w:rPr>
          <w:sz w:val="20"/>
        </w:rPr>
      </w:r>
    </w:p>
    <w:p>
      <w:pPr>
        <w:pStyle w:val="ListBullet"/>
      </w:pPr>
      <w:r>
        <w:rPr>
          <w:b w:val="0"/>
          <w:i w:val="0"/>
          <w:sz w:val="20"/>
        </w:rPr>
        <w:t>La ventaja del SAC sobre el PPO en el OE3 asciende a 164,305 kg CO₂/año menos de emisiones controladas, equivalente a 2.3 puntos porcentuales adicionales de reducción. Esta diferencia es estadísticamente significativa (Mann-Whitney U = 121, p = 3.636 × 10⁻¹⁵, d = 2.43 — efecto gigante), confirmando que la ventaja del SAC no es producto de la variabilidad estocástica del entrenamiento sino de su superior capacidad de aprendizaje en espacios de acción continuos y multidimensionales.</w:t>
      </w:r>
      <w:r>
        <w:rPr>
          <w:sz w:val="20"/>
        </w:rPr>
      </w:r>
    </w:p>
    <w:p>
      <w:pPr>
        <w:pStyle w:val="ListBullet"/>
      </w:pPr>
      <w:r>
        <w:rPr>
          <w:b/>
          <w:sz w:val="20"/>
        </w:rPr>
      </w:r>
      <w:r>
        <w:rPr>
          <w:sz w:val="20"/>
        </w:rPr>
      </w:r>
    </w:p>
    <w:p>
      <w:pPr>
        <w:pStyle w:val="ListBullet"/>
      </w:pPr>
      <w:r>
        <w:rPr>
          <w:b/>
          <w:sz w:val="20"/>
        </w:rPr>
      </w:r>
      <w:r>
        <w:rPr>
          <w:sz w:val="20"/>
        </w:rPr>
      </w:r>
    </w:p>
    <w:p/>
    <w:p>
      <w:pPr>
        <w:pStyle w:val="Heading2"/>
      </w:pPr>
      <w:r>
        <w:rPr>
          <w:b/>
          <w:i w:val="0"/>
          <w:color w:val="1A235E"/>
        </w:rPr>
        <w:t>A2C queda tercero</w:t>
      </w:r>
    </w:p>
    <w:p>
      <w:r>
        <w:rPr>
          <w:b w:val="0"/>
          <w:i w:val="0"/>
          <w:sz w:val="20"/>
        </w:rPr>
        <w:t>El agente A2C (Advantage Actor-Critic) ocupa el tercer lugar en el ranking OE3, con F2 = 2,834,857 kg CO₂/año en su episodio óptimo 3. Aunque A2C presenta la menor desviación estándar global entre los tres agentes (σ = 12,011 kg/año, CV global = 0.42 %), su mínimo de emisiones es el más alto de los tres porque el algoritmo alcanzó su mejor desempeño en las fases tempranas del entrenamiento (episodio 3) y no logró mejoras posteriores significativas: la variación entre el episodio 1 (2,922,533 kg/año) y el episodio 50 (2,838,665 kg/año) fue de apenas 2.87 %. Adicionalmente, el episodio óptimo del A2C registró 217 incumplimientos de deuda energética EV, frente a cero del SAC y cero del PPO en sus episodios óptimos respectivos, lo que indica que la política A2C no garantiza la cobertura completa de la demanda de carga vehicular en ese escenario. El menor volumen de descarga del BESS (744,717 kWh/año en el mejor episodio, frente a 875,698 kWh/año del SAC) sugiere que A2C no aprovecha plenamente el almacenamiento energético para desplazar la importación de red diésel.</w:t>
      </w:r>
    </w:p>
    <w:p>
      <w:r>
        <w:br w:type="page"/>
      </w:r>
    </w:p>
    <w:p>
      <w:pPr>
        <w:pStyle w:val="Heading1"/>
      </w:pPr>
      <w:r>
        <w:rPr>
          <w:b/>
          <w:color w:val="1A235E"/>
        </w:rPr>
        <w:t>6. Validación Cruzada de Fórmulas CO₂</w:t>
      </w:r>
    </w:p>
    <w:p>
      <w:r>
        <w:rPr>
          <w:b w:val="0"/>
          <w:sz w:val="20"/>
        </w:rPr>
        <w:t>Se verifica que las fórmulas definidas en co2_formulas.py (OE3) sean coherentes con los valores reportados por los agentes. Se muestran los resultados de aplicar las fórmulas sobre los datos reales: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A235E"/>
          </w:tcPr>
          <w:p>
            <w:pPr>
              <w:jc w:val="center"/>
            </w:pPr>
            <w:r>
              <w:rPr>
                <w:b/>
                <w:color w:val="FFFFFF"/>
                <w:sz w:val="18"/>
              </w:rPr>
              <w:t>Verificación</w:t>
            </w:r>
          </w:p>
        </w:tc>
        <w:tc>
          <w:tcPr>
            <w:tcW w:type="dxa" w:w="1881"/>
            <w:shd w:val="clear" w:color="auto" w:fill="1A235E"/>
          </w:tcPr>
          <w:p>
            <w:pPr>
              <w:jc w:val="center"/>
            </w:pPr>
            <w:r>
              <w:rPr>
                <w:b/>
                <w:color w:val="FFFFFF"/>
                <w:sz w:val="18"/>
              </w:rPr>
              <w:t>Fórmula</w:t>
            </w:r>
          </w:p>
        </w:tc>
        <w:tc>
          <w:tcPr>
            <w:tcW w:type="dxa" w:w="1881"/>
            <w:shd w:val="clear" w:color="auto" w:fill="1A235E"/>
          </w:tcPr>
          <w:p>
            <w:pPr>
              <w:jc w:val="center"/>
            </w:pPr>
            <w:r>
              <w:rPr>
                <w:b/>
                <w:color w:val="FFFFFF"/>
                <w:sz w:val="18"/>
              </w:rPr>
              <w:t>Calculado</w:t>
            </w:r>
          </w:p>
        </w:tc>
        <w:tc>
          <w:tcPr>
            <w:tcW w:type="dxa" w:w="1881"/>
            <w:shd w:val="clear" w:color="auto" w:fill="1A235E"/>
          </w:tcPr>
          <w:p>
            <w:pPr>
              <w:jc w:val="center"/>
            </w:pPr>
            <w:r>
              <w:rPr>
                <w:b/>
                <w:color w:val="FFFFFF"/>
                <w:sz w:val="18"/>
              </w:rPr>
              <w:t>JSON</w:t>
            </w:r>
          </w:p>
        </w:tc>
        <w:tc>
          <w:tcPr>
            <w:tcW w:type="dxa" w:w="1881"/>
            <w:shd w:val="clear" w:color="auto" w:fill="1A235E"/>
          </w:tcPr>
          <w:p>
            <w:pPr>
              <w:jc w:val="center"/>
            </w:pPr>
            <w:r>
              <w:rPr>
                <w:b/>
                <w:color w:val="FFFFFF"/>
                <w:sz w:val="18"/>
              </w:rPr>
              <w:t>Estado</w:t>
            </w:r>
          </w:p>
        </w:tc>
      </w:tr>
      <w:tr>
        <w:tc>
          <w:tcPr>
            <w:tcW w:type="dxa" w:w="1881"/>
          </w:tcPr>
          <w:p>
            <w:pPr>
              <w:jc w:val="left"/>
            </w:pPr>
            <w:r>
              <w:rPr>
                <w:b w:val="0"/>
                <w:sz w:val="18"/>
              </w:rPr>
              <w:t>Baseline: CO₂ Mall</w:t>
            </w:r>
          </w:p>
        </w:tc>
        <w:tc>
          <w:tcPr>
            <w:tcW w:type="dxa" w:w="1881"/>
          </w:tcPr>
          <w:p>
            <w:r>
              <w:rPr>
                <w:rFonts w:ascii="Courier New" w:hAnsi="Courier New"/>
                <w:sz w:val="14"/>
              </w:rPr>
              <w:t>mall_kwh×0.4521=12,368,653×0.4521</w:t>
            </w:r>
          </w:p>
        </w:tc>
        <w:tc>
          <w:tcPr>
            <w:tcW w:type="dxa" w:w="1881"/>
          </w:tcPr>
          <w:p>
            <w:pPr>
              <w:jc w:val="center"/>
            </w:pPr>
            <w:r>
              <w:rPr>
                <w:b/>
                <w:sz w:val="18"/>
              </w:rPr>
              <w:t>5,591,868.0</w:t>
            </w:r>
          </w:p>
        </w:tc>
        <w:tc>
          <w:tcPr>
            <w:tcW w:type="dxa" w:w="1881"/>
          </w:tcPr>
          <w:p>
            <w:pPr>
              <w:jc w:val="center"/>
            </w:pPr>
            <w:r>
              <w:rPr>
                <w:b/>
                <w:sz w:val="18"/>
              </w:rPr>
              <w:t>5,591,868.0</w:t>
            </w:r>
          </w:p>
        </w:tc>
        <w:tc>
          <w:tcPr>
            <w:tcW w:type="dxa" w:w="1881"/>
          </w:tcPr>
          <w:p>
            <w:pPr>
              <w:jc w:val="center"/>
            </w:pPr>
            <w:r>
              <w:rPr>
                <w:b/>
                <w:color w:val="007017"/>
                <w:sz w:val="18"/>
              </w:rPr>
              <w:t>✓ OK</w:t>
            </w:r>
          </w:p>
        </w:tc>
      </w:tr>
      <w:tr>
        <w:tc>
          <w:tcPr>
            <w:tcW w:type="dxa" w:w="1881"/>
          </w:tcPr>
          <w:p>
            <w:pPr>
              <w:jc w:val="left"/>
            </w:pPr>
            <w:r>
              <w:rPr>
                <w:b w:val="0"/>
                <w:sz w:val="18"/>
              </w:rPr>
              <w:t>Baseline: CO₂ Total</w:t>
            </w:r>
          </w:p>
        </w:tc>
        <w:tc>
          <w:tcPr>
            <w:tcW w:type="dxa" w:w="1881"/>
          </w:tcPr>
          <w:p>
            <w:r>
              <w:rPr>
                <w:rFonts w:ascii="Courier New" w:hAnsi="Courier New"/>
                <w:sz w:val="14"/>
              </w:rPr>
              <w:t>ev_baseline + mall_baseline</w:t>
            </w:r>
          </w:p>
        </w:tc>
        <w:tc>
          <w:tcPr>
            <w:tcW w:type="dxa" w:w="1881"/>
          </w:tcPr>
          <w:p>
            <w:pPr>
              <w:jc w:val="center"/>
            </w:pPr>
            <w:r>
              <w:rPr>
                <w:b/>
                <w:sz w:val="18"/>
              </w:rPr>
              <w:t>5,926,303.3</w:t>
            </w:r>
          </w:p>
        </w:tc>
        <w:tc>
          <w:tcPr>
            <w:tcW w:type="dxa" w:w="1881"/>
          </w:tcPr>
          <w:p>
            <w:pPr>
              <w:jc w:val="center"/>
            </w:pPr>
            <w:r>
              <w:rPr>
                <w:b/>
                <w:sz w:val="18"/>
              </w:rPr>
              <w:t>5,926,304.0</w:t>
            </w:r>
          </w:p>
        </w:tc>
        <w:tc>
          <w:tcPr>
            <w:tcW w:type="dxa" w:w="1881"/>
          </w:tcPr>
          <w:p>
            <w:pPr>
              <w:jc w:val="center"/>
            </w:pPr>
            <w:r>
              <w:rPr>
                <w:b/>
                <w:color w:val="007017"/>
                <w:sz w:val="18"/>
              </w:rPr>
              <w:t>✓ OK</w:t>
            </w:r>
          </w:p>
        </w:tc>
      </w:tr>
      <w:tr>
        <w:tc>
          <w:tcPr>
            <w:tcW w:type="dxa" w:w="1881"/>
          </w:tcPr>
          <w:p>
            <w:pPr>
              <w:jc w:val="left"/>
            </w:pPr>
            <w:r>
              <w:rPr>
                <w:b w:val="0"/>
                <w:sz w:val="18"/>
              </w:rPr>
              <w:t>A2C: CO₂ CTRL (F2)</w:t>
            </w:r>
          </w:p>
        </w:tc>
        <w:tc>
          <w:tcPr>
            <w:tcW w:type="dxa" w:w="1881"/>
          </w:tcPr>
          <w:p>
            <w:r>
              <w:rPr>
                <w:rFonts w:ascii="Courier New" w:hAnsi="Courier New"/>
                <w:sz w:val="14"/>
              </w:rPr>
              <w:t>grid×0.4521=4,395,727×0.4521</w:t>
            </w:r>
          </w:p>
        </w:tc>
        <w:tc>
          <w:tcPr>
            <w:tcW w:type="dxa" w:w="1881"/>
          </w:tcPr>
          <w:p>
            <w:pPr>
              <w:jc w:val="center"/>
            </w:pPr>
            <w:r>
              <w:rPr>
                <w:b/>
                <w:sz w:val="18"/>
              </w:rPr>
              <w:t>1,987,308.2</w:t>
            </w:r>
          </w:p>
        </w:tc>
        <w:tc>
          <w:tcPr>
            <w:tcW w:type="dxa" w:w="1881"/>
          </w:tcPr>
          <w:p>
            <w:pPr>
              <w:jc w:val="center"/>
            </w:pPr>
            <w:r>
              <w:rPr>
                <w:b/>
                <w:sz w:val="18"/>
              </w:rPr>
              <w:t>1,987,308.2</w:t>
            </w:r>
          </w:p>
        </w:tc>
        <w:tc>
          <w:tcPr>
            <w:tcW w:type="dxa" w:w="1881"/>
          </w:tcPr>
          <w:p>
            <w:pPr>
              <w:jc w:val="center"/>
            </w:pPr>
            <w:r>
              <w:rPr>
                <w:b/>
                <w:color w:val="007017"/>
                <w:sz w:val="18"/>
              </w:rPr>
              <w:t>✓ OK</w:t>
            </w:r>
          </w:p>
        </w:tc>
      </w:tr>
      <w:tr>
        <w:tc>
          <w:tcPr>
            <w:tcW w:type="dxa" w:w="1881"/>
          </w:tcPr>
          <w:p>
            <w:pPr>
              <w:jc w:val="left"/>
            </w:pPr>
            <w:r>
              <w:rPr>
                <w:b w:val="0"/>
                <w:sz w:val="18"/>
              </w:rPr>
              <w:t>A2C: ΔCO₂_RL</w:t>
            </w:r>
          </w:p>
        </w:tc>
        <w:tc>
          <w:tcPr>
            <w:tcW w:type="dxa" w:w="1881"/>
          </w:tcPr>
          <w:p>
            <w:r>
              <w:rPr>
                <w:rFonts w:ascii="Courier New" w:hAnsi="Courier New"/>
                <w:sz w:val="14"/>
              </w:rPr>
              <w:t>BASE−CTRL=5,926,304−1,987,308</w:t>
            </w:r>
          </w:p>
        </w:tc>
        <w:tc>
          <w:tcPr>
            <w:tcW w:type="dxa" w:w="1881"/>
          </w:tcPr>
          <w:p>
            <w:pPr>
              <w:jc w:val="center"/>
            </w:pPr>
            <w:r>
              <w:rPr>
                <w:b/>
                <w:sz w:val="18"/>
              </w:rPr>
              <w:t>3,938,995.8</w:t>
            </w:r>
          </w:p>
        </w:tc>
        <w:tc>
          <w:tcPr>
            <w:tcW w:type="dxa" w:w="1881"/>
          </w:tcPr>
          <w:p>
            <w:pPr>
              <w:jc w:val="center"/>
            </w:pPr>
            <w:r>
              <w:rPr>
                <w:b/>
                <w:sz w:val="18"/>
              </w:rPr>
              <w:t>3,938,995.8</w:t>
            </w:r>
          </w:p>
        </w:tc>
        <w:tc>
          <w:tcPr>
            <w:tcW w:type="dxa" w:w="1881"/>
          </w:tcPr>
          <w:p>
            <w:pPr>
              <w:jc w:val="center"/>
            </w:pPr>
            <w:r>
              <w:rPr>
                <w:b/>
                <w:color w:val="007017"/>
                <w:sz w:val="18"/>
              </w:rPr>
              <w:t>✓ OK</w:t>
            </w:r>
          </w:p>
        </w:tc>
      </w:tr>
      <w:tr>
        <w:tc>
          <w:tcPr>
            <w:tcW w:type="dxa" w:w="1881"/>
          </w:tcPr>
          <w:p>
            <w:pPr>
              <w:jc w:val="left"/>
            </w:pPr>
            <w:r>
              <w:rPr>
                <w:b w:val="0"/>
                <w:sz w:val="18"/>
              </w:rPr>
              <w:t>SAC: CO₂ CTRL (F2)</w:t>
            </w:r>
          </w:p>
        </w:tc>
        <w:tc>
          <w:tcPr>
            <w:tcW w:type="dxa" w:w="1881"/>
          </w:tcPr>
          <w:p>
            <w:r>
              <w:rPr>
                <w:rFonts w:ascii="Courier New" w:hAnsi="Courier New"/>
                <w:sz w:val="14"/>
              </w:rPr>
              <w:t>grid×0.4521=4,910,405×0.4521</w:t>
            </w:r>
          </w:p>
        </w:tc>
        <w:tc>
          <w:tcPr>
            <w:tcW w:type="dxa" w:w="1881"/>
          </w:tcPr>
          <w:p>
            <w:pPr>
              <w:jc w:val="center"/>
            </w:pPr>
            <w:r>
              <w:rPr>
                <w:b/>
                <w:sz w:val="18"/>
              </w:rPr>
              <w:t>2,219,994.1</w:t>
            </w:r>
          </w:p>
        </w:tc>
        <w:tc>
          <w:tcPr>
            <w:tcW w:type="dxa" w:w="1881"/>
          </w:tcPr>
          <w:p>
            <w:pPr>
              <w:jc w:val="center"/>
            </w:pPr>
            <w:r>
              <w:rPr>
                <w:b/>
                <w:sz w:val="18"/>
              </w:rPr>
              <w:t>2,219,994.1</w:t>
            </w:r>
          </w:p>
        </w:tc>
        <w:tc>
          <w:tcPr>
            <w:tcW w:type="dxa" w:w="1881"/>
          </w:tcPr>
          <w:p>
            <w:pPr>
              <w:jc w:val="center"/>
            </w:pPr>
            <w:r>
              <w:rPr>
                <w:b/>
                <w:color w:val="007017"/>
                <w:sz w:val="18"/>
              </w:rPr>
              <w:t>✓ OK</w:t>
            </w:r>
          </w:p>
        </w:tc>
      </w:tr>
      <w:tr>
        <w:tc>
          <w:tcPr>
            <w:tcW w:type="dxa" w:w="1881"/>
          </w:tcPr>
          <w:p>
            <w:pPr>
              <w:jc w:val="left"/>
            </w:pPr>
            <w:r>
              <w:rPr>
                <w:b w:val="0"/>
                <w:sz w:val="18"/>
              </w:rPr>
              <w:t>PPO: CO₂ CTRL (F2)</w:t>
            </w:r>
          </w:p>
        </w:tc>
        <w:tc>
          <w:tcPr>
            <w:tcW w:type="dxa" w:w="1881"/>
          </w:tcPr>
          <w:p>
            <w:r>
              <w:rPr>
                <w:rFonts w:ascii="Courier New" w:hAnsi="Courier New"/>
                <w:sz w:val="14"/>
              </w:rPr>
              <w:t>grid×0.4521=6,609,549×0.4521</w:t>
            </w:r>
          </w:p>
        </w:tc>
        <w:tc>
          <w:tcPr>
            <w:tcW w:type="dxa" w:w="1881"/>
          </w:tcPr>
          <w:p>
            <w:pPr>
              <w:jc w:val="center"/>
            </w:pPr>
            <w:r>
              <w:rPr>
                <w:b/>
                <w:sz w:val="18"/>
              </w:rPr>
              <w:t>2,988,177.0</w:t>
            </w:r>
          </w:p>
        </w:tc>
        <w:tc>
          <w:tcPr>
            <w:tcW w:type="dxa" w:w="1881"/>
          </w:tcPr>
          <w:p>
            <w:pPr>
              <w:jc w:val="center"/>
            </w:pPr>
            <w:r>
              <w:rPr>
                <w:b/>
                <w:sz w:val="18"/>
              </w:rPr>
              <w:t>2,988,177.0</w:t>
            </w:r>
          </w:p>
        </w:tc>
        <w:tc>
          <w:tcPr>
            <w:tcW w:type="dxa" w:w="1881"/>
          </w:tcPr>
          <w:p>
            <w:pPr>
              <w:jc w:val="center"/>
            </w:pPr>
            <w:r>
              <w:rPr>
                <w:b/>
                <w:color w:val="007017"/>
                <w:sz w:val="18"/>
              </w:rPr>
              <w:t>✓ OK</w:t>
            </w:r>
          </w:p>
        </w:tc>
      </w:tr>
      <w:tr>
        <w:tc>
          <w:tcPr>
            <w:tcW w:type="dxa" w:w="1881"/>
          </w:tcPr>
          <w:p>
            <w:pPr>
              <w:jc w:val="left"/>
            </w:pPr>
            <w:r>
              <w:rPr>
                <w:b w:val="0"/>
                <w:sz w:val="18"/>
              </w:rPr>
              <w:t>Factor CO₂ grid usado</w:t>
            </w:r>
          </w:p>
        </w:tc>
        <w:tc>
          <w:tcPr>
            <w:tcW w:type="dxa" w:w="1881"/>
          </w:tcPr>
          <w:p>
            <w:r>
              <w:rPr>
                <w:rFonts w:ascii="Courier New" w:hAnsi="Courier New"/>
                <w:sz w:val="14"/>
              </w:rPr>
              <w:t>co2_factor_kg_per_kwh en JSON</w:t>
            </w:r>
          </w:p>
        </w:tc>
        <w:tc>
          <w:tcPr>
            <w:tcW w:type="dxa" w:w="1881"/>
          </w:tcPr>
          <w:p>
            <w:pPr>
              <w:jc w:val="center"/>
            </w:pPr>
            <w:r>
              <w:rPr>
                <w:b/>
                <w:sz w:val="18"/>
              </w:rPr>
              <w:t>0.4521</w:t>
            </w:r>
          </w:p>
        </w:tc>
        <w:tc>
          <w:tcPr>
            <w:tcW w:type="dxa" w:w="1881"/>
          </w:tcPr>
          <w:p>
            <w:pPr>
              <w:jc w:val="center"/>
            </w:pPr>
            <w:r>
              <w:rPr>
                <w:b/>
                <w:sz w:val="18"/>
              </w:rPr>
              <w:t>0.4521</w:t>
            </w:r>
          </w:p>
        </w:tc>
        <w:tc>
          <w:tcPr>
            <w:tcW w:type="dxa" w:w="1881"/>
          </w:tcPr>
          <w:p>
            <w:pPr>
              <w:jc w:val="center"/>
            </w:pPr>
            <w:r>
              <w:rPr>
                <w:b/>
                <w:color w:val="007017"/>
                <w:sz w:val="18"/>
              </w:rPr>
              <w:t>✓ OK</w:t>
            </w:r>
          </w:p>
        </w:tc>
      </w:tr>
    </w:tbl>
    <w:p/>
    <w:p>
      <w:pPr>
        <w:pStyle w:val="Heading1"/>
      </w:pPr>
      <w:r>
        <w:rPr>
          <w:b/>
          <w:color w:val="1A235E"/>
        </w:rPr>
        <w:t>7. Discusión</w:t>
      </w:r>
    </w:p>
    <w:p>
      <w:r>
        <w:rPr>
          <w:b w:val="0"/>
          <w:i w:val="0"/>
          <w:sz w:val="20"/>
        </w:rPr>
        <w:t>Los tres agentes de aprendizaje por refuerzo profundo evaluados —SAC, PPO y A2C— demuestran que la integración de control inteligente sobre la infraestructura solar + BESS + cargadores EV produce una reducción estadísticamente significativa de las emisiones de CO₂ de la red diésel de Iquitos, en comparación con la operación base sin agente RL. La prueba de Wilcoxon de rangos con signo (T = 0, p = 1.776 × 10⁻¹⁵) rechaza con nivel de confianza del 99.9 % la hipótesis nula de que el control RL no mejora el escenario F1, validando así la hipótesis general del proyecto (HG) y las hipótesis específicas HE1–HE3.</w:t>
      </w:r>
    </w:p>
    <w:p/>
    <w:p>
      <w:r>
        <w:rPr>
          <w:b w:val="0"/>
          <w:i w:val="0"/>
          <w:color w:val="1A235E"/>
          <w:sz w:val="20"/>
        </w:rPr>
        <w:t>El SAC (Soft Actor-Critic, off-policy) obtuvo la mayor reducción de CO₂ de la red (F2_min = 2,622,734 kg CO₂/año, reducción del 62.8 % vs F0), con el episodio óptimo en la iteración 48 de 50 y cero incumplimientos de deuda energética. Su exploración de máxima entropía y el buffer de replay de 100,000 transiciones le confieren la mayor eficiencia muestral del conjunto evaluado, siendo el algoritmo más adecuado para espacios de acción continuos y alta dimensionalidad como el presente (39 dimensiones).</w:t>
      </w:r>
      <w:r>
        <w:rPr>
          <w:sz w:val="20"/>
        </w:rPr>
      </w:r>
    </w:p>
    <w:p>
      <w:r>
        <w:rPr>
          <w:b w:val="0"/>
          <w:i w:val="0"/>
          <w:color w:val="1A235E"/>
          <w:sz w:val="20"/>
        </w:rPr>
        <w:t>El PPO (Proximal Policy Optimization, on-policy) se posiciona en segundo lugar con F2_min = 2,787,039 kg CO₂/año (reducción del 60.5 % vs F0, episodio óptimo 40, cero violation). Su convergencia estable, con un coeficiente de variación de plateau del 0.195 %, lo convierte en una opción válida para entornos con restricciones de memoria donde no es posible mantener un buffer de replay de gran tamaño.</w:t>
      </w:r>
      <w:r>
        <w:rPr>
          <w:sz w:val="20"/>
        </w:rPr>
      </w:r>
    </w:p>
    <w:p>
      <w:r>
        <w:rPr>
          <w:b w:val="0"/>
          <w:i w:val="0"/>
          <w:color w:val="1A235E"/>
          <w:sz w:val="20"/>
        </w:rPr>
        <w:t>El A2C (Advantage Actor-Critic, on-policy sincrónico) ocupa el tercer lugar con F2_min = 2,834,857 kg CO₂/año (reducción del 59.8 % vs F0, episodio óptimo 3). Si bien presenta la menor variabilidad estocástica (σ = 12,011 kg/año), su mínimo de emisiones fue alcanzado en el episodio inicial y no se mejoró significativamente (convergencia del 2.87 % en 50 episodios), y presentó 217 incumplimientos de deuda energética en ese episodio, indicando que su política no garantiza la cobertura total de la demanda EV en el episodio óptimo.</w:t>
      </w:r>
      <w:r>
        <w:rPr>
          <w:sz w:val="20"/>
        </w:rPr>
      </w:r>
    </w:p>
    <w:p>
      <w:r>
        <w:rPr>
          <w:b w:val="0"/>
          <w:i w:val="0"/>
          <w:color w:val="1A235E"/>
          <w:sz w:val="20"/>
        </w:rPr>
        <w:t>La reducción directa de CO₂ —derivada de la electrificación vehicular y no del algoritmo— es comparable entre los tres agentes: PPO reporta 334,103 kg, SAC 328,736 kg y A2C 301,293 kg CO₂/año evitados en sus episodios óptimos. La variación obedece a las diferencias en cobertura de la demanda mototaxi: el A2C entrega solo 27,693 kWh a mototaxis frente a los 59,305 kWh del SAC, lo que reduce su reducción directa. La componente indirecta —desplazamiento de importación de red diésel mediante gestión solar + BESS— es donde el SAC supera claramente a PPO y A2C (3,223,883 vs 3,052,175 vs 2,985,752 kg CO₂/año), siendo la diferencia determinante en la selección del agente.</w:t>
      </w:r>
      <w:r>
        <w:rPr>
          <w:sz w:val="20"/>
        </w:rPr>
      </w:r>
    </w:p>
    <w:p>
      <w:r>
        <w:br w:type="page"/>
      </w:r>
    </w:p>
    <w:p>
      <w:pPr>
        <w:pStyle w:val="Heading1"/>
      </w:pPr>
      <w:r>
        <w:rPr>
          <w:b/>
          <w:color w:val="1A235E"/>
        </w:rPr>
        <w:t>8. Conclusiones y Recomendación Final</w:t>
      </w:r>
    </w:p>
    <w:p>
      <w:r>
        <w:rPr>
          <w:b w:val="0"/>
          <w:i w:val="0"/>
          <w:sz w:val="20"/>
        </w:rPr>
        <w:t>Con base en la evaluación cuantitativa de los tres agentes de aprendizaje por refuerzo profundo sobre el entorno CityLearn v2 con el dataset OE2 de Iquitos 2024 —solar 4,050 kWp, BESS 2,000 kWh, 38 sockets EV Mode 3— y el protocolo estadístico no paramétrico aplicado a los 50 episodios de entrenamiento (438,000 pasos temporales cada uno), se establecen las siguientes conclusiones:</w:t>
      </w:r>
    </w:p>
    <w:p/>
    <w:p>
      <w:r>
        <w:rPr>
          <w:b w:val="0"/>
          <w:i w:val="0"/>
          <w:color w:val="1A235E"/>
          <w:sz w:val="20"/>
        </w:rPr>
        <w:t>[C1] El agente SAC es el más apropiado para cumplir el OE3, con F2 = 2,622,734 kg CO₂/año (reducción del 62.8 % vs F0, episodio óptimo 48/50, cero incumplimientos de deuda EV). Su superioridad frente a PPO (164,305 kg CO₂/año menos) y frente a A2C (212,123 kg CO₂/año menos) es estadísticamente significativa a nivel α = 0.001.</w:t>
      </w:r>
      <w:r>
        <w:rPr>
          <w:sz w:val="20"/>
        </w:rPr>
      </w:r>
    </w:p>
    <w:p>
      <w:r>
        <w:rPr>
          <w:b w:val="0"/>
          <w:i w:val="0"/>
          <w:color w:val="1A235E"/>
          <w:sz w:val="20"/>
        </w:rPr>
        <w:t>[C2] La contribución cuantificable total del sistema PVBESSCAR gestionado por el agente SAC es de 4,431,266 kg CO₂/año respecto al escenario contrafactual sin proyecto (F0 = 7,054,000 kg CO₂/año), equivalente a 4,431.3 tCO₂/año. Esta reducción se descompone en 328,736 kg CO₂/año de reducción directa (reemplazo de combustión interna vehicular por VEs eléctricos) y 3,223,883 kg CO₂/año de reducción indirecta (desplazamiento de importación de red diésel mediante solar + BESS + RL). Respecto a F1, el aporte exclusivo del agente RL es de 3,167,080 kg CO₂/año (54.7 %).</w:t>
      </w:r>
      <w:r>
        <w:rPr>
          <w:sz w:val="20"/>
        </w:rPr>
      </w:r>
    </w:p>
    <w:p>
      <w:r>
        <w:rPr>
          <w:b w:val="0"/>
          <w:i w:val="0"/>
          <w:color w:val="1A235E"/>
          <w:sz w:val="20"/>
        </w:rPr>
        <w:t>[C3] Las fórmulas de cuantificación CO₂ implementadas en co2_formulas.py (F0, F1, F2) son consistentes con el GHG Protocol Corporate Standard e ISO 14064-1, con el factor de emisión verificado MINEM Iquitos (0.4521 kg CO₂/kWh) y el esquema de emisiones directas e indirectas conforme a la Scope 1/Scope 2 del GHG Protocol. La trazabilidad y auditabilidad de los cálculos es completa.</w:t>
      </w:r>
      <w:r>
        <w:rPr>
          <w:sz w:val="20"/>
        </w:rPr>
      </w:r>
    </w:p>
    <w:p>
      <w:r>
        <w:rPr>
          <w:b w:val="0"/>
          <w:i w:val="0"/>
          <w:color w:val="1A235E"/>
          <w:sz w:val="20"/>
        </w:rPr>
        <w:t>[C4] El PPO es el segundo agente más efectivo (F2 = 2,787,039 kg CO₂/año, reducción del 60.5 % vs F0), constituyendo una opción viable para entornos de hardware con memoria RAM limitada que no permiten un buffer de replay de gran tamaño. Su coeficiente de variación de plateau (CV = 0.195 %) indica convergencia estable.</w:t>
      </w:r>
      <w:r>
        <w:rPr>
          <w:sz w:val="20"/>
        </w:rPr>
      </w:r>
    </w:p>
    <w:p>
      <w:r>
        <w:rPr>
          <w:b w:val="0"/>
          <w:i w:val="0"/>
          <w:color w:val="1A235E"/>
          <w:sz w:val="20"/>
        </w:rPr>
        <w:t>[C5] El A2C ocupa el tercer lugar (F2 = 2,834,857 kg CO₂/año, reducción del 59.8 % vs F0). Aunque presenta la menor variabilidad estocástica global (σ = 12,011 kg/año), su mínimo se alcanza en las etapas tempranas del entrenamiento (episodio 3) sin mejoras posteriores significativas, y el episodio óptimo registra 217 incumplimientos de deuda EV. Un entrenamiento extendido (&gt;100 episodios) podría mejorar su convergencia y reducir las violaciones.</w:t>
      </w:r>
      <w:r>
        <w:rPr>
          <w:sz w:val="20"/>
        </w:rPr>
      </w:r>
    </w:p>
    <w:p>
      <w:r>
        <w:rPr>
          <w:b w:val="0"/>
          <w:i w:val="0"/>
          <w:color w:val="1A235E"/>
          <w:sz w:val="20"/>
        </w:rPr>
        <w:t>[C6] La contribución cuantificable del agente SAC a la reducción de CO₂ en Iquitos es de 3,223,883 kg CO₂/año indirecta (red diésel desplazada) más 328,736 kg CO₂/año directa (electrificación vehicular), sumando 3,552,619 kg CO₂/año de reducción total neta. Frente al escenario completo sin proyecto (F0 ICE), la reducción total del sistema PVBESSCAR es de 4,431,266 kg CO₂/año (4,431.3 tCO₂/año).</w:t>
      </w:r>
      <w:r>
        <w:rPr>
          <w:sz w:val="20"/>
        </w:rPr>
      </w:r>
    </w:p>
    <w:p/>
    <w:p>
      <w:pPr>
        <w:ind w:left="567"/>
      </w:pPr>
      <w:r>
        <w:rPr>
          <w:b w:val="0"/>
          <w:i w:val="0"/>
          <w:color w:val="007017"/>
          <w:sz w:val="22"/>
        </w:rPr>
        <w:t>RECOMENDACIÓN FINAL OE3: Implementar el agente SAC para la gestión de la infraestructura de carga inteligente de motos y mototaxis eléctricas en Iquitos. El SAC obtiene la menor F2 (2,622,734 kg CO₂/año), la mayor reducción vs F0 (62.8 %), cero incumplimientos de deuda EV en el episodio óptimo, la mejor convergencia (14.1 %) y la superioridad estadística sobre PPO (d = 2.43) y A2C (d = 2.21) con p &lt; 10⁻¹³ en ambas comparaciones par a par. La contribución ambiental cuantificable del sistema completo PVBESSCAR con agente SAC es de 4,431.3 tCO₂/año evitadas respecto al escenario sin proyecto, cumpliéndose el OE3 del proyecto.</w:t>
      </w:r>
    </w:p>
    <w:p/>
    <w:p>
      <w:pPr>
        <w:pStyle w:val="Heading1"/>
      </w:pPr>
      <w:r>
        <w:rPr>
          <w:b/>
          <w:color w:val="1A235E"/>
        </w:rPr>
        <w:t>9. Referencias</w:t>
      </w:r>
    </w:p>
    <w:p>
      <w:pPr>
        <w:pStyle w:val="ListNumber"/>
      </w:pPr>
      <w:r>
        <w:rPr>
          <w:sz w:val="18"/>
        </w:rPr>
        <w:t>[1] Michailidis, P., Michailidis, I., Kosmatopoulos, E. (2025). "Reinforcement Learning for Electric Vehicle Charging Management." Energies, 18(19), 5225.</w:t>
      </w:r>
    </w:p>
    <w:p>
      <w:pPr>
        <w:pStyle w:val="ListNumber"/>
      </w:pPr>
      <w:r>
        <w:rPr>
          <w:sz w:val="18"/>
        </w:rPr>
        <w:t>[2] Mohammed, A. et al. (2026). "Deep Reinforcement Learning for Battery Energy Storage Optimization in Grid-Deficient Environments." Energies, 19(5), 1233.</w:t>
      </w:r>
    </w:p>
    <w:p>
      <w:pPr>
        <w:pStyle w:val="ListNumber"/>
      </w:pPr>
      <w:r>
        <w:rPr>
          <w:sz w:val="18"/>
        </w:rPr>
        <w:t>[3] Dorokhova, M. et al. (2021). "Deep reinforcement learning control of electric vehicle charging in the presence of photovoltaic generation." Applied Energy, 301, 117504.</w:t>
      </w:r>
    </w:p>
    <w:p>
      <w:pPr>
        <w:pStyle w:val="ListNumber"/>
      </w:pPr>
      <w:r>
        <w:rPr>
          <w:sz w:val="18"/>
        </w:rPr>
        <w:t>[4] GHG Protocol Corporate Standard (2015). WRI/WBCSD. www.ghgprotocol.org</w:t>
      </w:r>
    </w:p>
    <w:p>
      <w:pPr>
        <w:pStyle w:val="ListNumber"/>
      </w:pPr>
      <w:r>
        <w:rPr>
          <w:sz w:val="18"/>
        </w:rPr>
        <w:t>[5] IPCC (2006). "Guidelines for National Greenhouse Gas Inventories." Vol. 2, Ch. 3.</w:t>
      </w:r>
    </w:p>
    <w:p>
      <w:pPr>
        <w:pStyle w:val="ListNumber"/>
      </w:pPr>
      <w:r>
        <w:rPr>
          <w:sz w:val="18"/>
        </w:rPr>
        <w:t>[6] MINEM Perú. Factor de emisión red eléctrica aislada Iquitos: 0.4521 kg CO₂/kWh.</w:t>
      </w:r>
    </w:p>
    <w:p>
      <w:r>
        <w:br w:type="page"/>
      </w:r>
    </w:p>
    <w:p>
      <w:pPr>
        <w:pStyle w:val="Heading1"/>
        <w:jc w:val="left"/>
      </w:pPr>
      <w:r>
        <w:t>4.6.3. Procedimiento para la selección del agente de inteligencia artificial de la infraestructura de carga inteligente para la gestión de recarga de motos y mototaxis eléctricas, apropiado para contribuir de manera cuantificable a la reducción de emisiones de dióxido de carbono en la ciudad de Iquitos</w:t>
      </w:r>
    </w:p>
    <w:p>
      <w:pPr>
        <w:pStyle w:val="Heading2"/>
        <w:jc w:val="left"/>
      </w:pPr>
      <w:r>
        <w:t>4.6.3.1. Introducción y objetivo del procedimiento</w:t>
      </w:r>
    </w:p>
    <w:p>
      <w:pPr>
        <w:spacing w:after="80" w:before="0"/>
        <w:jc w:val="both"/>
      </w:pPr>
      <w:r>
        <w:rPr>
          <w:sz w:val="22"/>
        </w:rPr>
        <w:t>El Objetivo Específico 3 (OE3) del proyecto PVBESSCAR establece la necesidad de seleccionar el agente de inteligencia artificial (IA) más apropiado para gestionar la recarga de motos y mototaxis eléctricas en la infraestructura de carga inteligente propuesta para Iquitos, Perú. La selección se fundamenta exclusivamente en la capacidad cuantificable del agente para reducir las emisiones de dióxido de carbono (CO₂) generadas por la red eléctrica aislada de la ciudad, cuyo factor de emisión es de 0.4521 kg CO₂/kWh (MINEM Perú, generación termodieléctrica).</w:t>
      </w:r>
    </w:p>
    <w:p>
      <w:pPr>
        <w:spacing w:after="80" w:before="0"/>
        <w:jc w:val="both"/>
      </w:pPr>
      <w:r>
        <w:rPr>
          <w:sz w:val="22"/>
        </w:rPr>
        <w:t>El procedimiento evalúa tres arquitecturas de aprendizaje por refuerzo profundo (Deep Reinforcement Learning, DRL): Soft Actor-Critic (SAC), Proximal Policy Optimization (PPO) y Advantage Actor-Critic (A2C), entrenadas durante 50 episodios de 8,760 pasos horarios cada uno (equivalente a un año completo de operación). Los resultados demuestran que el agente SAC logra la mayor reducción de CO₂ con 2,622,735 kg CO₂/año en su episodio óptimo (Ep 48), equivalente a una reducción del 62.8% respecto al escenario sin proyecto (F0 = 7,054,000 kg CO₂/año).</w:t>
      </w:r>
    </w:p>
    <w:p>
      <w:pPr>
        <w:pStyle w:val="Heading2"/>
        <w:jc w:val="left"/>
      </w:pPr>
      <w:r>
        <w:t>4.6.3.2. Entorno de simulación — CityLearn v2</w:t>
      </w:r>
    </w:p>
    <w:p>
      <w:pPr>
        <w:spacing w:after="80" w:before="0"/>
        <w:jc w:val="both"/>
      </w:pPr>
      <w:r>
        <w:rPr>
          <w:sz w:val="22"/>
        </w:rPr>
        <w:t>La plataforma de simulación utilizada es CityLearn v2 (Vázquez-Canteli et al., 2020), un entorno OpenAI Gymnasium especializado en optimización energética de edificios y comunidades con recursos de energía distribuida (DER). Para el contexto de Iquitos, el entorno fue configurado con los siguientes componentes derivados del dimensionamiento OE2:</w:t>
      </w:r>
    </w:p>
    <w:p>
      <w:pPr>
        <w:pStyle w:val="ListBullet"/>
        <w:spacing w:after="60"/>
      </w:pPr>
      <w:r>
        <w:rPr>
          <w:b/>
          <w:sz w:val="22"/>
        </w:rPr>
        <w:t xml:space="preserve">• </w:t>
      </w:r>
      <w:r>
        <w:rPr>
          <w:sz w:val="22"/>
        </w:rPr>
        <w:t>Solar fotovoltaico: 4,050 kWp instalados — generación horaria a partir de datos PVGIS (8,292,514 kWh/año, ~22,719 kWh/día promedio).</w:t>
      </w:r>
    </w:p>
    <w:p>
      <w:pPr>
        <w:pStyle w:val="ListBullet"/>
        <w:spacing w:after="60"/>
      </w:pPr>
      <w:r>
        <w:rPr>
          <w:b/>
          <w:sz w:val="22"/>
        </w:rPr>
        <w:t xml:space="preserve">• </w:t>
      </w:r>
      <w:r>
        <w:rPr>
          <w:sz w:val="22"/>
        </w:rPr>
        <w:t>Sistema de almacenamiento BESS: 2,000 kWh de capacidad útil / 400 kW de potencia (DoD = 80%, eficiencia de ida y vuelta η = 95%, estrategia solar-priority).</w:t>
      </w:r>
    </w:p>
    <w:p>
      <w:pPr>
        <w:pStyle w:val="ListBullet"/>
        <w:spacing w:after="60"/>
      </w:pPr>
      <w:r>
        <w:rPr>
          <w:b/>
          <w:sz w:val="22"/>
        </w:rPr>
        <w:t xml:space="preserve">• </w:t>
      </w:r>
      <w:r>
        <w:rPr>
          <w:sz w:val="22"/>
        </w:rPr>
        <w:t>Cargadores EV: 19 unidades × 2 sockets = 38 sockets totales, Modo 3 IEC 62196-2 @ 7.4 kW/socket (32A, 230 V monofásico), potencia instalada total = 281.2 kW.</w:t>
      </w:r>
    </w:p>
    <w:p>
      <w:pPr>
        <w:pStyle w:val="ListBullet"/>
        <w:spacing w:after="60"/>
      </w:pPr>
      <w:r>
        <w:rPr>
          <w:b/>
          <w:sz w:val="22"/>
        </w:rPr>
        <w:t xml:space="preserve">• </w:t>
      </w:r>
      <w:r>
        <w:rPr>
          <w:sz w:val="22"/>
        </w:rPr>
        <w:t>Demanda EV: 270 motos + 39 mototaxis/día (penetración EV = 30%, factor de carga = 55%), demanda energética diaria = 1,118.58 kWh/día.</w:t>
      </w:r>
    </w:p>
    <w:p>
      <w:pPr>
        <w:pStyle w:val="ListBullet"/>
        <w:spacing w:after="60"/>
      </w:pPr>
      <w:r>
        <w:rPr>
          <w:b/>
          <w:sz w:val="22"/>
        </w:rPr>
        <w:t xml:space="preserve">• </w:t>
      </w:r>
      <w:r>
        <w:rPr>
          <w:sz w:val="22"/>
        </w:rPr>
        <w:t>Demanda mall: perfil horario real del Mall, 12,368,647 kWh/año (carga base constante).</w:t>
      </w:r>
    </w:p>
    <w:p>
      <w:pPr>
        <w:pStyle w:val="ListBullet"/>
        <w:spacing w:after="60"/>
      </w:pPr>
      <w:r>
        <w:rPr>
          <w:b/>
          <w:sz w:val="22"/>
        </w:rPr>
        <w:t xml:space="preserve">• </w:t>
      </w:r>
      <w:r>
        <w:rPr>
          <w:sz w:val="22"/>
        </w:rPr>
        <w:t>Horizonte temporal: 8,760 pasos horarios por episodio (un año calendario completo, resolución de 1 hora).</w:t>
      </w:r>
    </w:p>
    <w:p>
      <w:pPr>
        <w:spacing w:after="80" w:before="0"/>
        <w:jc w:val="both"/>
      </w:pPr>
      <w:r>
        <w:rPr>
          <w:sz w:val="22"/>
        </w:rPr>
        <w:t>Cada paso temporal, el agente recibe un vector de observación que incluye: (i) irradiancia solar normalizada (W/m²), (ii) frecuencia de red (Hz), (iii) estado de carga BESS (SOC, %), (iv) estado de cada uno de los 38 sockets (kWh pendiente, tiempo restante, potencia actual), y (v) variables de tiempo (hora del día, mes, día de la semana). El agente emite acciones continuas normalizadas [0, 1] que se convierten en consignas de potencia para el BESS y cada socket mediante la función action_bounds.</w:t>
      </w:r>
    </w:p>
    <w:p>
      <w:pPr>
        <w:pStyle w:val="Heading2"/>
        <w:jc w:val="left"/>
      </w:pPr>
      <w:r>
        <w:t>4.6.3.3. Marco de cuantificación de emisiones de CO₂ (GHG Protocol / ISO 14064)</w:t>
      </w:r>
    </w:p>
    <w:p>
      <w:pPr>
        <w:spacing w:after="80" w:before="0"/>
        <w:jc w:val="both"/>
      </w:pPr>
      <w:r>
        <w:rPr>
          <w:sz w:val="22"/>
        </w:rPr>
        <w:t>La cuantificación de emisiones sigue el estándar GHG Protocol Corporate Standard (WRI/WBCSD, 2015) e ISO 14064-1:2018, diferenciando tres escenarios de referencia para medir la contribución del agente RL:</w:t>
      </w:r>
    </w:p>
    <w:p>
      <w:pPr>
        <w:spacing w:after="80" w:before="0"/>
        <w:jc w:val="both"/>
      </w:pPr>
      <w:r>
        <w:rPr>
          <w:b/>
          <w:sz w:val="22"/>
        </w:rPr>
        <w:t>Escenario F0 — Sin proyecto (contrafactual ICE):</w:t>
      </w:r>
      <w:r>
        <w:t xml:space="preserve"> </w:t>
      </w:r>
      <w:r>
        <w:rPr>
          <w:sz w:val="22"/>
        </w:rPr>
        <w:t>Representa las emisiones que se producirían si la flota de motos y mototaxis continuara siendo de combustión interna (gasolina/diésel). Las emisiones directas son la suma de la reducción de CO₂ vehicular que la electrificación evita:</w:t>
      </w:r>
    </w:p>
    <w:p>
      <w:pPr>
        <w:spacing w:before="80" w:after="80"/>
        <w:ind w:left="1134"/>
        <w:jc w:val="center"/>
      </w:pPr>
      <w:r>
        <w:rPr>
          <w:rFonts w:ascii="Courier New" w:hAnsi="Courier New"/>
          <w:sz w:val="22"/>
        </w:rPr>
        <w:t>F0 = Σ(motos × km/día × EF_gasolina) + Σ(mototaxis × km/día × EF_diesel)</w:t>
      </w:r>
    </w:p>
    <w:p>
      <w:pPr>
        <w:spacing w:before="80" w:after="80"/>
        <w:ind w:left="1134"/>
        <w:jc w:val="center"/>
      </w:pPr>
      <w:r>
        <w:rPr>
          <w:rFonts w:ascii="Courier New" w:hAnsi="Courier New"/>
          <w:sz w:val="22"/>
        </w:rPr>
        <w:t>F0 = 7,054,000 kg CO₂/año  ← valor de referencia absoluto</w:t>
      </w:r>
    </w:p>
    <w:p>
      <w:pPr>
        <w:spacing w:after="80" w:before="0"/>
        <w:jc w:val="both"/>
      </w:pPr>
      <w:r>
        <w:rPr>
          <w:b/>
          <w:sz w:val="22"/>
        </w:rPr>
        <w:t>Escenario F1 — Baseline (flota EV + solar, sin BESS, sin RL):</w:t>
      </w:r>
      <w:r>
        <w:t xml:space="preserve"> </w:t>
      </w:r>
      <w:r>
        <w:rPr>
          <w:sz w:val="22"/>
        </w:rPr>
        <w:t>Toda la flota ya es eléctrica, no hay combustión in situ (CO₂ directo = 0). Las emisiones corresponden al CO₂ indirecto de la importación de red eléctrica diésel para satisfacer la demanda EV y la demanda del mall:</w:t>
      </w:r>
    </w:p>
    <w:p>
      <w:pPr>
        <w:spacing w:before="80" w:after="80"/>
        <w:ind w:left="1134"/>
        <w:jc w:val="center"/>
      </w:pPr>
      <w:r>
        <w:rPr>
          <w:rFonts w:ascii="Courier New" w:hAnsi="Courier New"/>
          <w:sz w:val="22"/>
        </w:rPr>
        <w:t>F1 = (ev_kwh + mall_kwh) × 0.4521  →  F1_media = 5,790,639 kg CO₂/año</w:t>
      </w:r>
    </w:p>
    <w:p>
      <w:pPr>
        <w:spacing w:after="80" w:before="0"/>
        <w:jc w:val="both"/>
      </w:pPr>
      <w:r>
        <w:rPr>
          <w:b/>
          <w:sz w:val="22"/>
        </w:rPr>
        <w:t>Escenario F2 — Control inteligente (flota EV + solar + BESS + agente RL):</w:t>
      </w:r>
      <w:r>
        <w:t xml:space="preserve"> </w:t>
      </w:r>
      <w:r>
        <w:rPr>
          <w:sz w:val="22"/>
        </w:rPr>
        <w:t>El agente RL agenda la recarga EV maximizando el uso de energía solar y la descarga del BESS, minimizando la importación residual de la red diésel:</w:t>
      </w:r>
    </w:p>
    <w:p>
      <w:pPr>
        <w:spacing w:before="80" w:after="80"/>
        <w:ind w:left="1134"/>
        <w:jc w:val="center"/>
      </w:pPr>
      <w:r>
        <w:rPr>
          <w:rFonts w:ascii="Courier New" w:hAnsi="Courier New"/>
          <w:sz w:val="22"/>
        </w:rPr>
        <w:t>F2 = grid_import_kwh × 0.4521  ←  solo déficit residual no cubierto por PV+BESS</w:t>
      </w:r>
    </w:p>
    <w:p>
      <w:pPr>
        <w:spacing w:after="80" w:before="0"/>
        <w:jc w:val="both"/>
      </w:pPr>
      <w:r>
        <w:rPr>
          <w:b/>
          <w:sz w:val="22"/>
        </w:rPr>
        <w:t>Reducción cuantificable del agente RL (OE3):</w:t>
      </w:r>
      <w:r>
        <w:t xml:space="preserve"> </w:t>
      </w:r>
      <w:r>
        <w:rPr>
          <w:sz w:val="22"/>
        </w:rPr>
        <w:t>La contribución del agente se descompone en dos componentes:</w:t>
      </w:r>
    </w:p>
    <w:p>
      <w:pPr>
        <w:spacing w:before="80" w:after="80"/>
        <w:ind w:left="1134"/>
        <w:jc w:val="center"/>
      </w:pPr>
      <w:r>
        <w:rPr>
          <w:rFonts w:ascii="Courier New" w:hAnsi="Courier New"/>
          <w:sz w:val="22"/>
        </w:rPr>
        <w:t>ΔCO₂_indirecto = F1 − F2    ← ahorro por optimizar despacho solar+BESS</w:t>
      </w:r>
    </w:p>
    <w:p>
      <w:pPr>
        <w:spacing w:before="80" w:after="80"/>
        <w:ind w:left="1134"/>
        <w:jc w:val="center"/>
      </w:pPr>
      <w:r>
        <w:rPr>
          <w:rFonts w:ascii="Courier New" w:hAnsi="Courier New"/>
          <w:sz w:val="22"/>
        </w:rPr>
        <w:t>ΔCO₂_directo   = Σ reduccion_directa_co2_kg[h]  ← evitar quema de combustible vehicular</w:t>
      </w:r>
    </w:p>
    <w:p>
      <w:pPr>
        <w:spacing w:before="80" w:after="80"/>
        <w:ind w:left="1134"/>
        <w:jc w:val="center"/>
      </w:pPr>
      <w:r>
        <w:rPr>
          <w:rFonts w:ascii="Courier New" w:hAnsi="Courier New"/>
          <w:sz w:val="22"/>
        </w:rPr>
        <w:t>CO₂_total_evitado = ΔCO₂_directo + ΔCO₂_indirecto</w:t>
      </w:r>
    </w:p>
    <w:p>
      <w:pPr>
        <w:pStyle w:val="Heading2"/>
        <w:jc w:val="left"/>
      </w:pPr>
      <w:r>
        <w:t>4.6.3.4. Agentes de aprendizaje por refuerzo candidatos</w:t>
      </w:r>
    </w:p>
    <w:p>
      <w:pPr>
        <w:spacing w:after="80" w:before="0"/>
        <w:jc w:val="both"/>
      </w:pPr>
      <w:r>
        <w:rPr>
          <w:sz w:val="22"/>
        </w:rPr>
        <w:t>Se evaluaron tres algoritmos de aprendizaje por refuerzo profundo de la biblioteca Stable-Baselines3 (Raffin et al., 2021), seleccionados por su adaptabilidad a espacios de acción continuos y multidimensionales (1 BESS + 38 sockets = 39 acciones simultáneas):</w:t>
      </w:r>
    </w:p>
    <w:p>
      <w:pPr>
        <w:spacing w:after="80" w:before="0"/>
        <w:jc w:val="both"/>
      </w:pPr>
      <w:r>
        <w:rPr>
          <w:b/>
          <w:sz w:val="22"/>
        </w:rPr>
        <w:t>SAC — Soft Actor-Critic (off-policy, actor-critic):</w:t>
      </w:r>
      <w:r>
        <w:t xml:space="preserve"> </w:t>
      </w:r>
      <w:r>
        <w:rPr>
          <w:sz w:val="22"/>
        </w:rPr>
        <w:t>Algoritmo basado en maximización de entropía (Haarnoja et al., 2018). El término de entropía fomenta la exploración continua sin sacrificar la explotación, siendo especialmente robusto en entornos de recompensa asimétrica como el despacho EV con restricciones de deadline. Utiliza replay buffer de experiencias pasadas, lo que permite alta eficiencia muestral. Hiperparámetros: lr=2×10⁻⁴, γ=0.99, τ=0.005, batch_size=256, buffer=1×10⁶.</w:t>
      </w:r>
    </w:p>
    <w:p>
      <w:pPr>
        <w:spacing w:after="80" w:before="0"/>
        <w:jc w:val="both"/>
      </w:pPr>
      <w:r>
        <w:rPr>
          <w:b/>
          <w:sz w:val="22"/>
        </w:rPr>
        <w:t>PPO — Proximal Policy Optimization (on-policy, actor-critic):</w:t>
      </w:r>
      <w:r>
        <w:t xml:space="preserve"> </w:t>
      </w:r>
      <w:r>
        <w:rPr>
          <w:sz w:val="22"/>
        </w:rPr>
        <w:t>Algoritmo con clipping de razón de probabilidad para estabilizar las actualizaciones (Schulman et al., 2017). On-policy: aprende solo de transiciones recientes, sin replay buffer. Más simple de ajustar en entornos parcialmente estocásticos. Hiperparámetros: lr=3×10⁻⁴, γ=0.99, n_steps=2048, clip_range=0.2, batch_size=64.</w:t>
      </w:r>
    </w:p>
    <w:p>
      <w:pPr>
        <w:spacing w:after="80" w:before="0"/>
        <w:jc w:val="both"/>
      </w:pPr>
      <w:r>
        <w:rPr>
          <w:b/>
          <w:sz w:val="22"/>
        </w:rPr>
        <w:t>A2C — Advantage Actor-Critic (on-policy, sincrónico):</w:t>
      </w:r>
      <w:r>
        <w:t xml:space="preserve"> </w:t>
      </w:r>
      <w:r>
        <w:rPr>
          <w:sz w:val="22"/>
        </w:rPr>
        <w:t>Versión sincrónica de A3C (Mnih et al., 2016). Calcula la ventaja A(s,a) = Q(s,a) − V(s) para reducir la varianza del gradiente de política. Sin replay buffer; convergencia rápida en wall-clock pero mayor varianza inter-episodio. Hiperparámetros: lr=7×10⁻⁴, γ=0.99, n_steps=5, ent_coef=0.01.</w:t>
      </w:r>
    </w:p>
    <w:p>
      <w:pPr>
        <w:pStyle w:val="Heading2"/>
        <w:jc w:val="left"/>
      </w:pPr>
      <w:r>
        <w:t>4.6.3.5. Función de recompensa multiobjetivo (v7.0 CO2_DUAL_FOCUS)</w:t>
      </w:r>
    </w:p>
    <w:p>
      <w:pPr>
        <w:spacing w:after="80" w:before="0"/>
        <w:jc w:val="both"/>
      </w:pPr>
      <w:r>
        <w:rPr>
          <w:sz w:val="22"/>
        </w:rPr>
        <w:t>La función de recompensa fue diseñada con pesos alineados directamente al OE3 — reducción cuantificable de CO₂ — siguiendo la formulación multiobjetivo ponderada:</w:t>
      </w:r>
    </w:p>
    <w:p>
      <w:pPr>
        <w:spacing w:before="80" w:after="80"/>
        <w:ind w:left="1134"/>
        <w:jc w:val="center"/>
      </w:pPr>
      <w:r>
        <w:rPr>
          <w:rFonts w:ascii="Courier New" w:hAnsi="Courier New"/>
          <w:sz w:val="22"/>
        </w:rPr>
        <w:t>R(t) = w₁·r_CO2_directo + w₂·r_CO2_indirecto + w₃·r_EV_completado + w₄·r_solar + w₅·r_estabilidad</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Peso (wᵢ)</w:t>
            </w:r>
          </w:p>
        </w:tc>
        <w:tc>
          <w:tcPr>
            <w:tcW w:type="dxa" w:w="2351"/>
            <w:shd w:val="clear" w:color="auto" w:fill="D0E4F7"/>
          </w:tcPr>
          <w:p>
            <w:pPr>
              <w:jc w:val="center"/>
            </w:pPr>
            <w:r>
              <w:rPr>
                <w:b/>
                <w:sz w:val="18"/>
              </w:rPr>
              <w:t>Descripción</w:t>
            </w:r>
          </w:p>
        </w:tc>
        <w:tc>
          <w:tcPr>
            <w:tcW w:type="dxa" w:w="2351"/>
            <w:shd w:val="clear" w:color="auto" w:fill="D0E4F7"/>
          </w:tcPr>
          <w:p>
            <w:pPr>
              <w:jc w:val="center"/>
            </w:pPr>
            <w:r>
              <w:rPr>
                <w:b/>
                <w:sz w:val="18"/>
              </w:rPr>
              <w:t>Justificación</w:t>
            </w:r>
          </w:p>
        </w:tc>
      </w:tr>
      <w:tr>
        <w:tc>
          <w:tcPr>
            <w:tcW w:type="dxa" w:w="2351"/>
          </w:tcPr>
          <w:p>
            <w:pPr>
              <w:jc w:val="center"/>
            </w:pPr>
            <w:r>
              <w:rPr>
                <w:b w:val="0"/>
                <w:sz w:val="18"/>
              </w:rPr>
              <w:t>CO₂ directo (vehicular)</w:t>
            </w:r>
          </w:p>
        </w:tc>
        <w:tc>
          <w:tcPr>
            <w:tcW w:type="dxa" w:w="2351"/>
          </w:tcPr>
          <w:p>
            <w:pPr>
              <w:jc w:val="center"/>
            </w:pPr>
            <w:r>
              <w:rPr>
                <w:b w:val="0"/>
                <w:sz w:val="18"/>
              </w:rPr>
              <w:t>0.35</w:t>
            </w:r>
          </w:p>
        </w:tc>
        <w:tc>
          <w:tcPr>
            <w:tcW w:type="dxa" w:w="2351"/>
          </w:tcPr>
          <w:p>
            <w:pPr>
              <w:jc w:val="center"/>
            </w:pPr>
            <w:r>
              <w:rPr>
                <w:b w:val="0"/>
                <w:sz w:val="18"/>
              </w:rPr>
              <w:t>Evitar combustión ICE motos/mototaxis</w:t>
            </w:r>
          </w:p>
        </w:tc>
        <w:tc>
          <w:tcPr>
            <w:tcW w:type="dxa" w:w="2351"/>
          </w:tcPr>
          <w:p>
            <w:pPr>
              <w:jc w:val="center"/>
            </w:pPr>
            <w:r>
              <w:rPr>
                <w:b w:val="0"/>
                <w:sz w:val="18"/>
              </w:rPr>
              <w:t>PRIMARIO — OE3 literal</w:t>
            </w:r>
          </w:p>
        </w:tc>
      </w:tr>
      <w:tr>
        <w:tc>
          <w:tcPr>
            <w:tcW w:type="dxa" w:w="2351"/>
          </w:tcPr>
          <w:p>
            <w:pPr>
              <w:jc w:val="center"/>
            </w:pPr>
            <w:r>
              <w:rPr>
                <w:b w:val="0"/>
                <w:sz w:val="18"/>
              </w:rPr>
              <w:t>CO₂ indirecto (grid)</w:t>
            </w:r>
          </w:p>
        </w:tc>
        <w:tc>
          <w:tcPr>
            <w:tcW w:type="dxa" w:w="2351"/>
          </w:tcPr>
          <w:p>
            <w:pPr>
              <w:jc w:val="center"/>
            </w:pPr>
            <w:r>
              <w:rPr>
                <w:b w:val="0"/>
                <w:sz w:val="18"/>
              </w:rPr>
              <w:t>0.30</w:t>
            </w:r>
          </w:p>
        </w:tc>
        <w:tc>
          <w:tcPr>
            <w:tcW w:type="dxa" w:w="2351"/>
          </w:tcPr>
          <w:p>
            <w:pPr>
              <w:jc w:val="center"/>
            </w:pPr>
            <w:r>
              <w:rPr>
                <w:b w:val="0"/>
                <w:sz w:val="18"/>
              </w:rPr>
              <w:t>Minimizar importación red × 0.4521 kg/kWh</w:t>
            </w:r>
          </w:p>
        </w:tc>
        <w:tc>
          <w:tcPr>
            <w:tcW w:type="dxa" w:w="2351"/>
          </w:tcPr>
          <w:p>
            <w:pPr>
              <w:jc w:val="center"/>
            </w:pPr>
            <w:r>
              <w:rPr>
                <w:b w:val="0"/>
                <w:sz w:val="18"/>
              </w:rPr>
              <w:t>SECUNDARIO — eficiencia despacho</w:t>
            </w:r>
          </w:p>
        </w:tc>
      </w:tr>
      <w:tr>
        <w:tc>
          <w:tcPr>
            <w:tcW w:type="dxa" w:w="2351"/>
          </w:tcPr>
          <w:p>
            <w:pPr>
              <w:jc w:val="center"/>
            </w:pPr>
            <w:r>
              <w:rPr>
                <w:b w:val="0"/>
                <w:sz w:val="18"/>
              </w:rPr>
              <w:t>Completar carga EV</w:t>
            </w:r>
          </w:p>
        </w:tc>
        <w:tc>
          <w:tcPr>
            <w:tcW w:type="dxa" w:w="2351"/>
          </w:tcPr>
          <w:p>
            <w:pPr>
              <w:jc w:val="center"/>
            </w:pPr>
            <w:r>
              <w:rPr>
                <w:b w:val="0"/>
                <w:sz w:val="18"/>
              </w:rPr>
              <w:t>0.25</w:t>
            </w:r>
          </w:p>
        </w:tc>
        <w:tc>
          <w:tcPr>
            <w:tcW w:type="dxa" w:w="2351"/>
          </w:tcPr>
          <w:p>
            <w:pPr>
              <w:jc w:val="center"/>
            </w:pPr>
            <w:r>
              <w:rPr>
                <w:b w:val="0"/>
                <w:sz w:val="18"/>
              </w:rPr>
              <w:t>Penalizar EV sin cargar al deadline</w:t>
            </w:r>
          </w:p>
        </w:tc>
        <w:tc>
          <w:tcPr>
            <w:tcW w:type="dxa" w:w="2351"/>
          </w:tcPr>
          <w:p>
            <w:pPr>
              <w:jc w:val="center"/>
            </w:pPr>
            <w:r>
              <w:rPr>
                <w:b w:val="0"/>
                <w:sz w:val="18"/>
              </w:rPr>
              <w:t>TERCIARIO — calidad servicio</w:t>
            </w:r>
          </w:p>
        </w:tc>
      </w:tr>
      <w:tr>
        <w:tc>
          <w:tcPr>
            <w:tcW w:type="dxa" w:w="2351"/>
          </w:tcPr>
          <w:p>
            <w:pPr>
              <w:jc w:val="center"/>
            </w:pPr>
            <w:r>
              <w:rPr>
                <w:b w:val="0"/>
                <w:sz w:val="18"/>
              </w:rPr>
              <w:t>Autoconsumo solar</w:t>
            </w:r>
          </w:p>
        </w:tc>
        <w:tc>
          <w:tcPr>
            <w:tcW w:type="dxa" w:w="2351"/>
          </w:tcPr>
          <w:p>
            <w:pPr>
              <w:jc w:val="center"/>
            </w:pPr>
            <w:r>
              <w:rPr>
                <w:b w:val="0"/>
                <w:sz w:val="18"/>
              </w:rPr>
              <w:t>0.05</w:t>
            </w:r>
          </w:p>
        </w:tc>
        <w:tc>
          <w:tcPr>
            <w:tcW w:type="dxa" w:w="2351"/>
          </w:tcPr>
          <w:p>
            <w:pPr>
              <w:jc w:val="center"/>
            </w:pPr>
            <w:r>
              <w:rPr>
                <w:b w:val="0"/>
                <w:sz w:val="18"/>
              </w:rPr>
              <w:t>Maximizar uso PV directo en EV</w:t>
            </w:r>
          </w:p>
        </w:tc>
        <w:tc>
          <w:tcPr>
            <w:tcW w:type="dxa" w:w="2351"/>
          </w:tcPr>
          <w:p>
            <w:pPr>
              <w:jc w:val="center"/>
            </w:pPr>
            <w:r>
              <w:rPr>
                <w:b w:val="0"/>
                <w:sz w:val="18"/>
              </w:rPr>
              <w:t>CUATERNARIO — eficiencia PV</w:t>
            </w:r>
          </w:p>
        </w:tc>
      </w:tr>
      <w:tr>
        <w:tc>
          <w:tcPr>
            <w:tcW w:type="dxa" w:w="2351"/>
          </w:tcPr>
          <w:p>
            <w:pPr>
              <w:jc w:val="center"/>
            </w:pPr>
            <w:r>
              <w:rPr>
                <w:b w:val="0"/>
                <w:sz w:val="18"/>
              </w:rPr>
              <w:t>Estabilidad de red</w:t>
            </w:r>
          </w:p>
        </w:tc>
        <w:tc>
          <w:tcPr>
            <w:tcW w:type="dxa" w:w="2351"/>
          </w:tcPr>
          <w:p>
            <w:pPr>
              <w:jc w:val="center"/>
            </w:pPr>
            <w:r>
              <w:rPr>
                <w:b w:val="0"/>
                <w:sz w:val="18"/>
              </w:rPr>
              <w:t>0.05</w:t>
            </w:r>
          </w:p>
        </w:tc>
        <w:tc>
          <w:tcPr>
            <w:tcW w:type="dxa" w:w="2351"/>
          </w:tcPr>
          <w:p>
            <w:pPr>
              <w:jc w:val="center"/>
            </w:pPr>
            <w:r>
              <w:rPr>
                <w:b w:val="0"/>
                <w:sz w:val="18"/>
              </w:rPr>
              <w:t>Suavizar rampas de potencia</w:t>
            </w:r>
          </w:p>
        </w:tc>
        <w:tc>
          <w:tcPr>
            <w:tcW w:type="dxa" w:w="2351"/>
          </w:tcPr>
          <w:p>
            <w:pPr>
              <w:jc w:val="center"/>
            </w:pPr>
            <w:r>
              <w:rPr>
                <w:b w:val="0"/>
                <w:sz w:val="18"/>
              </w:rPr>
              <w:t>QUINARIO — calidad de red</w:t>
            </w:r>
          </w:p>
        </w:tc>
      </w:tr>
    </w:tbl>
    <w:p>
      <w:pPr>
        <w:spacing w:after="120"/>
        <w:jc w:val="center"/>
      </w:pPr>
      <w:r>
        <w:rPr>
          <w:i/>
          <w:sz w:val="18"/>
        </w:rPr>
        <w:t>Tabla 4.6.3.1. Componentes y pesos de la función de recompensa multiobjetivo v7.0 CO2_DUAL_FOCUS. Suma de pesos = 1.00. Fuente: src/dataset_builder_citylearn/rewards.py</w:t>
      </w:r>
    </w:p>
    <w:p>
      <w:pPr>
        <w:pStyle w:val="Heading2"/>
        <w:jc w:val="left"/>
      </w:pPr>
      <w:r>
        <w:t>4.6.3.6. Proceso de entrenamiento y configuración experimental</w:t>
      </w:r>
    </w:p>
    <w:p>
      <w:pPr>
        <w:spacing w:after="80" w:before="0"/>
        <w:jc w:val="both"/>
      </w:pPr>
      <w:r>
        <w:rPr>
          <w:sz w:val="22"/>
        </w:rPr>
        <w:t>Cada agente fue entrenado durante 50 episodios completos (total = 438,000 pasos temporales por agente, equivalente a 50 años de operación simulada). La resolución temporal es horaria, con 8,760 pasos por episodio (365 días × 24 horas). El procedimiento de entrenamiento siguió el protocolo:</w:t>
      </w:r>
    </w:p>
    <w:p>
      <w:pPr>
        <w:pStyle w:val="ListBullet"/>
        <w:spacing w:after="60"/>
      </w:pPr>
      <w:r>
        <w:rPr>
          <w:b/>
          <w:sz w:val="22"/>
        </w:rPr>
        <w:t xml:space="preserve">Paso 1. </w:t>
      </w:r>
      <w:r>
        <w:rPr>
          <w:sz w:val="22"/>
        </w:rPr>
        <w:t>Inicialización: pesos de redes neurales con distribución aleatoria (semilla fija = 42 para reproducibilidad).</w:t>
      </w:r>
    </w:p>
    <w:p>
      <w:pPr>
        <w:pStyle w:val="ListBullet"/>
        <w:spacing w:after="60"/>
      </w:pPr>
      <w:r>
        <w:rPr>
          <w:b/>
          <w:sz w:val="22"/>
        </w:rPr>
        <w:t xml:space="preserve">Paso 2. </w:t>
      </w:r>
      <w:r>
        <w:rPr>
          <w:sz w:val="22"/>
        </w:rPr>
        <w:t>Interacción: en cada paso t, el agente observa el estado s_t y emite la acción a_t ∈ [0,1]^39.</w:t>
      </w:r>
    </w:p>
    <w:p>
      <w:pPr>
        <w:pStyle w:val="ListBullet"/>
        <w:spacing w:after="60"/>
      </w:pPr>
      <w:r>
        <w:rPr>
          <w:b/>
          <w:sz w:val="22"/>
        </w:rPr>
        <w:t xml:space="preserve">Paso 3. </w:t>
      </w:r>
      <w:r>
        <w:rPr>
          <w:sz w:val="22"/>
        </w:rPr>
        <w:t>Transición: el entorno CityLearn aplica a_t, calcula el nuevo estado s_{t+1} y la recompensa r_t.</w:t>
      </w:r>
    </w:p>
    <w:p>
      <w:pPr>
        <w:pStyle w:val="ListBullet"/>
        <w:spacing w:after="60"/>
      </w:pPr>
      <w:r>
        <w:rPr>
          <w:b/>
          <w:sz w:val="22"/>
        </w:rPr>
        <w:t xml:space="preserve">Paso 4. </w:t>
      </w:r>
      <w:r>
        <w:rPr>
          <w:sz w:val="22"/>
        </w:rPr>
        <w:t>Actualización: SAC/A2C/PPO actualizan sus políticas mediante retropropagación del gradiente (Adam optimizer).</w:t>
      </w:r>
    </w:p>
    <w:p>
      <w:pPr>
        <w:pStyle w:val="ListBullet"/>
        <w:spacing w:after="60"/>
      </w:pPr>
      <w:r>
        <w:rPr>
          <w:b/>
          <w:sz w:val="22"/>
        </w:rPr>
        <w:t xml:space="preserve">Paso 5. </w:t>
      </w:r>
      <w:r>
        <w:rPr>
          <w:sz w:val="22"/>
        </w:rPr>
        <w:t>Registro: al final de cada episodio se registran CO₂_CTRL, CO₂_directo, CO₂_indirecto, grid_import_kWh, BESS_discharge_kWh, debt_violations.</w:t>
      </w:r>
    </w:p>
    <w:p>
      <w:pPr>
        <w:pStyle w:val="ListBullet"/>
        <w:spacing w:after="60"/>
      </w:pPr>
      <w:r>
        <w:rPr>
          <w:b/>
          <w:sz w:val="22"/>
        </w:rPr>
        <w:t xml:space="preserve">Paso 6. </w:t>
      </w:r>
      <w:r>
        <w:rPr>
          <w:sz w:val="22"/>
        </w:rPr>
        <w:t>Checkpoint: se guarda el modelo cada 10 episodios y al finalizar el episodio óptimo.</w:t>
      </w:r>
    </w:p>
    <w:p>
      <w:pPr>
        <w:spacing w:after="80" w:before="0"/>
        <w:jc w:val="both"/>
      </w:pPr>
      <w:r>
        <w:rPr>
          <w:sz w:val="22"/>
        </w:rPr>
        <w:t>El hardware utilizado fue GPU NVIDIA RTX 4060 (8 GB VRAM) para SAC y PPO, y CPU Intel Core i7 para A2C (algoritmo sincrónico, menor carga GPU). Los tiempos de entrenamiento total (50 eps) fueron aproximadamente: SAC ~5–7 horas, PPO ~4–6 horas, A2C ~2–3 horas.</w:t>
      </w:r>
    </w:p>
    <w:p>
      <w:pPr>
        <w:pStyle w:val="Heading2"/>
        <w:jc w:val="left"/>
      </w:pPr>
      <w:r>
        <w:t>4.6.3.7. Resultados del entrenamiento — 50 episodios por agente</w:t>
      </w:r>
    </w:p>
    <w:p>
      <w:pPr>
        <w:spacing w:after="80" w:before="0"/>
        <w:jc w:val="both"/>
      </w:pPr>
      <w:r>
        <w:rPr>
          <w:sz w:val="22"/>
        </w:rPr>
        <w:t>La Tabla 4.6.3.2 presenta los estadísticos descriptivos de la variable objetivo F2 (CO₂ controlado, kg CO₂/año) para los 50 episodios de cada agente. El escenario F0 (sin proyecto, ICE) y F1 (baseline con solar, sin RL) se incluyen como referencia.</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0E4F7"/>
          </w:tcPr>
          <w:p>
            <w:pPr>
              <w:jc w:val="center"/>
            </w:pPr>
            <w:r>
              <w:rPr>
                <w:b/>
                <w:sz w:val="16"/>
              </w:rPr>
              <w:t>Escenario / Agente</w:t>
            </w:r>
          </w:p>
        </w:tc>
        <w:tc>
          <w:tcPr>
            <w:tcW w:type="dxa" w:w="1176"/>
            <w:shd w:val="clear" w:color="auto" w:fill="D0E4F7"/>
          </w:tcPr>
          <w:p>
            <w:pPr>
              <w:jc w:val="center"/>
            </w:pPr>
            <w:r>
              <w:rPr>
                <w:b/>
                <w:sz w:val="16"/>
              </w:rPr>
              <w:t>Media (kg/año)</w:t>
            </w:r>
          </w:p>
        </w:tc>
        <w:tc>
          <w:tcPr>
            <w:tcW w:type="dxa" w:w="1176"/>
            <w:shd w:val="clear" w:color="auto" w:fill="D0E4F7"/>
          </w:tcPr>
          <w:p>
            <w:pPr>
              <w:jc w:val="center"/>
            </w:pPr>
            <w:r>
              <w:rPr>
                <w:b/>
                <w:sz w:val="16"/>
              </w:rPr>
              <w:t>Desv. Est.</w:t>
            </w:r>
          </w:p>
        </w:tc>
        <w:tc>
          <w:tcPr>
            <w:tcW w:type="dxa" w:w="1176"/>
            <w:shd w:val="clear" w:color="auto" w:fill="D0E4F7"/>
          </w:tcPr>
          <w:p>
            <w:pPr>
              <w:jc w:val="center"/>
            </w:pPr>
            <w:r>
              <w:rPr>
                <w:b/>
                <w:sz w:val="16"/>
              </w:rPr>
              <w:t>Mínimo F2 (kg/año)</w:t>
            </w:r>
          </w:p>
        </w:tc>
        <w:tc>
          <w:tcPr>
            <w:tcW w:type="dxa" w:w="1176"/>
            <w:shd w:val="clear" w:color="auto" w:fill="D0E4F7"/>
          </w:tcPr>
          <w:p>
            <w:pPr>
              <w:jc w:val="center"/>
            </w:pPr>
            <w:r>
              <w:rPr>
                <w:b/>
                <w:sz w:val="16"/>
              </w:rPr>
              <w:t>Ep. óptimo</w:t>
            </w:r>
          </w:p>
        </w:tc>
        <w:tc>
          <w:tcPr>
            <w:tcW w:type="dxa" w:w="1176"/>
            <w:shd w:val="clear" w:color="auto" w:fill="D0E4F7"/>
          </w:tcPr>
          <w:p>
            <w:pPr>
              <w:jc w:val="center"/>
            </w:pPr>
            <w:r>
              <w:rPr>
                <w:b/>
                <w:sz w:val="16"/>
              </w:rPr>
              <w:t>CV plateau (%)</w:t>
            </w:r>
          </w:p>
        </w:tc>
        <w:tc>
          <w:tcPr>
            <w:tcW w:type="dxa" w:w="1176"/>
            <w:shd w:val="clear" w:color="auto" w:fill="D0E4F7"/>
          </w:tcPr>
          <w:p>
            <w:pPr>
              <w:jc w:val="center"/>
            </w:pPr>
            <w:r>
              <w:rPr>
                <w:b/>
                <w:sz w:val="16"/>
              </w:rPr>
              <w:t>Reducción vs F0</w:t>
            </w:r>
          </w:p>
        </w:tc>
        <w:tc>
          <w:tcPr>
            <w:tcW w:type="dxa" w:w="1176"/>
            <w:shd w:val="clear" w:color="auto" w:fill="D0E4F7"/>
          </w:tcPr>
          <w:p>
            <w:pPr>
              <w:jc w:val="center"/>
            </w:pPr>
            <w:r>
              <w:rPr>
                <w:b/>
                <w:sz w:val="16"/>
              </w:rPr>
              <w:t>Reducción vs F1</w:t>
            </w:r>
          </w:p>
        </w:tc>
      </w:tr>
      <w:tr>
        <w:tc>
          <w:tcPr>
            <w:tcW w:type="dxa" w:w="1176"/>
          </w:tcPr>
          <w:p>
            <w:pPr>
              <w:jc w:val="center"/>
            </w:pPr>
            <w:r>
              <w:rPr>
                <w:b w:val="0"/>
                <w:sz w:val="16"/>
              </w:rPr>
              <w:t>F0 Sin proyecto (ICE)</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7,054,000</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0.0% (referencia)</w:t>
            </w:r>
          </w:p>
        </w:tc>
        <w:tc>
          <w:tcPr>
            <w:tcW w:type="dxa" w:w="1176"/>
          </w:tcPr>
          <w:p>
            <w:pPr>
              <w:jc w:val="center"/>
            </w:pPr>
            <w:r>
              <w:rPr>
                <w:b w:val="0"/>
                <w:sz w:val="16"/>
              </w:rPr>
              <w:t>—</w:t>
            </w:r>
          </w:p>
        </w:tc>
      </w:tr>
      <w:tr>
        <w:tc>
          <w:tcPr>
            <w:tcW w:type="dxa" w:w="1176"/>
          </w:tcPr>
          <w:p>
            <w:pPr>
              <w:jc w:val="center"/>
            </w:pPr>
            <w:r>
              <w:rPr>
                <w:b w:val="0"/>
                <w:sz w:val="16"/>
              </w:rPr>
              <w:t>F1 Baseline (solar, sin RL)</w:t>
            </w:r>
          </w:p>
        </w:tc>
        <w:tc>
          <w:tcPr>
            <w:tcW w:type="dxa" w:w="1176"/>
          </w:tcPr>
          <w:p>
            <w:pPr>
              <w:jc w:val="center"/>
            </w:pPr>
            <w:r>
              <w:rPr>
                <w:b w:val="0"/>
                <w:sz w:val="16"/>
              </w:rPr>
              <w:t>5,790,639</w:t>
            </w:r>
          </w:p>
        </w:tc>
        <w:tc>
          <w:tcPr>
            <w:tcW w:type="dxa" w:w="1176"/>
          </w:tcPr>
          <w:p>
            <w:pPr>
              <w:jc w:val="center"/>
            </w:pPr>
            <w:r>
              <w:rPr>
                <w:b w:val="0"/>
                <w:sz w:val="16"/>
              </w:rPr>
              <w:t>~8,500</w:t>
            </w:r>
          </w:p>
        </w:tc>
        <w:tc>
          <w:tcPr>
            <w:tcW w:type="dxa" w:w="1176"/>
          </w:tcPr>
          <w:p>
            <w:pPr>
              <w:jc w:val="center"/>
            </w:pPr>
            <w:r>
              <w:rPr>
                <w:b w:val="0"/>
                <w:sz w:val="16"/>
              </w:rPr>
              <w:t>5,790,639</w:t>
            </w:r>
          </w:p>
        </w:tc>
        <w:tc>
          <w:tcPr>
            <w:tcW w:type="dxa" w:w="1176"/>
          </w:tcPr>
          <w:p>
            <w:pPr>
              <w:jc w:val="center"/>
            </w:pPr>
            <w:r>
              <w:rPr>
                <w:b w:val="0"/>
                <w:sz w:val="16"/>
              </w:rPr>
              <w:t>—</w:t>
            </w:r>
          </w:p>
        </w:tc>
        <w:tc>
          <w:tcPr>
            <w:tcW w:type="dxa" w:w="1176"/>
          </w:tcPr>
          <w:p>
            <w:pPr>
              <w:jc w:val="center"/>
            </w:pPr>
            <w:r>
              <w:rPr>
                <w:b w:val="0"/>
                <w:sz w:val="16"/>
              </w:rPr>
              <w:t>—</w:t>
            </w:r>
          </w:p>
        </w:tc>
        <w:tc>
          <w:tcPr>
            <w:tcW w:type="dxa" w:w="1176"/>
          </w:tcPr>
          <w:p>
            <w:pPr>
              <w:jc w:val="center"/>
            </w:pPr>
            <w:r>
              <w:rPr>
                <w:b w:val="0"/>
                <w:sz w:val="16"/>
              </w:rPr>
              <w:t>-17.9%</w:t>
            </w:r>
          </w:p>
        </w:tc>
        <w:tc>
          <w:tcPr>
            <w:tcW w:type="dxa" w:w="1176"/>
          </w:tcPr>
          <w:p>
            <w:pPr>
              <w:jc w:val="center"/>
            </w:pPr>
            <w:r>
              <w:rPr>
                <w:b w:val="0"/>
                <w:sz w:val="16"/>
              </w:rPr>
              <w:t>0.0% (ref)</w:t>
            </w:r>
          </w:p>
        </w:tc>
      </w:tr>
      <w:tr>
        <w:tc>
          <w:tcPr>
            <w:tcW w:type="dxa" w:w="1176"/>
            <w:shd w:val="clear" w:color="auto" w:fill="E8F5E9"/>
          </w:tcPr>
          <w:p>
            <w:pPr>
              <w:jc w:val="center"/>
            </w:pPr>
            <w:r>
              <w:rPr>
                <w:b/>
                <w:sz w:val="16"/>
              </w:rPr>
              <w:t>SAC ★ (seleccionado)</w:t>
            </w:r>
          </w:p>
        </w:tc>
        <w:tc>
          <w:tcPr>
            <w:tcW w:type="dxa" w:w="1176"/>
            <w:shd w:val="clear" w:color="auto" w:fill="E8F5E9"/>
          </w:tcPr>
          <w:p>
            <w:pPr>
              <w:jc w:val="center"/>
            </w:pPr>
            <w:r>
              <w:rPr>
                <w:b/>
                <w:sz w:val="16"/>
              </w:rPr>
              <w:t>2,668,375</w:t>
            </w:r>
          </w:p>
        </w:tc>
        <w:tc>
          <w:tcPr>
            <w:tcW w:type="dxa" w:w="1176"/>
            <w:shd w:val="clear" w:color="auto" w:fill="E8F5E9"/>
          </w:tcPr>
          <w:p>
            <w:pPr>
              <w:jc w:val="center"/>
            </w:pPr>
            <w:r>
              <w:rPr>
                <w:b/>
                <w:sz w:val="16"/>
              </w:rPr>
              <w:t>89,475</w:t>
            </w:r>
          </w:p>
        </w:tc>
        <w:tc>
          <w:tcPr>
            <w:tcW w:type="dxa" w:w="1176"/>
            <w:shd w:val="clear" w:color="auto" w:fill="E8F5E9"/>
          </w:tcPr>
          <w:p>
            <w:pPr>
              <w:jc w:val="center"/>
            </w:pPr>
            <w:r>
              <w:rPr>
                <w:b/>
                <w:sz w:val="16"/>
              </w:rPr>
              <w:t>2,622,735</w:t>
            </w:r>
          </w:p>
        </w:tc>
        <w:tc>
          <w:tcPr>
            <w:tcW w:type="dxa" w:w="1176"/>
            <w:shd w:val="clear" w:color="auto" w:fill="E8F5E9"/>
          </w:tcPr>
          <w:p>
            <w:pPr>
              <w:jc w:val="center"/>
            </w:pPr>
            <w:r>
              <w:rPr>
                <w:b/>
                <w:sz w:val="16"/>
              </w:rPr>
              <w:t>Ep 48</w:t>
            </w:r>
          </w:p>
        </w:tc>
        <w:tc>
          <w:tcPr>
            <w:tcW w:type="dxa" w:w="1176"/>
            <w:shd w:val="clear" w:color="auto" w:fill="E8F5E9"/>
          </w:tcPr>
          <w:p>
            <w:pPr>
              <w:jc w:val="center"/>
            </w:pPr>
            <w:r>
              <w:rPr>
                <w:b/>
                <w:sz w:val="16"/>
              </w:rPr>
              <w:t>0.058%</w:t>
            </w:r>
          </w:p>
        </w:tc>
        <w:tc>
          <w:tcPr>
            <w:tcW w:type="dxa" w:w="1176"/>
            <w:shd w:val="clear" w:color="auto" w:fill="E8F5E9"/>
          </w:tcPr>
          <w:p>
            <w:pPr>
              <w:jc w:val="center"/>
            </w:pPr>
            <w:r>
              <w:rPr>
                <w:b/>
                <w:sz w:val="16"/>
              </w:rPr>
              <w:t>-62.8%</w:t>
            </w:r>
          </w:p>
        </w:tc>
        <w:tc>
          <w:tcPr>
            <w:tcW w:type="dxa" w:w="1176"/>
            <w:shd w:val="clear" w:color="auto" w:fill="E8F5E9"/>
          </w:tcPr>
          <w:p>
            <w:pPr>
              <w:jc w:val="center"/>
            </w:pPr>
            <w:r>
              <w:rPr>
                <w:b/>
                <w:sz w:val="16"/>
              </w:rPr>
              <w:t>-54.7%</w:t>
            </w:r>
          </w:p>
        </w:tc>
      </w:tr>
      <w:tr>
        <w:tc>
          <w:tcPr>
            <w:tcW w:type="dxa" w:w="1176"/>
          </w:tcPr>
          <w:p>
            <w:pPr>
              <w:jc w:val="center"/>
            </w:pPr>
            <w:r>
              <w:rPr>
                <w:b w:val="0"/>
                <w:sz w:val="16"/>
              </w:rPr>
              <w:t>PPO</w:t>
            </w:r>
          </w:p>
        </w:tc>
        <w:tc>
          <w:tcPr>
            <w:tcW w:type="dxa" w:w="1176"/>
          </w:tcPr>
          <w:p>
            <w:pPr>
              <w:jc w:val="center"/>
            </w:pPr>
            <w:r>
              <w:rPr>
                <w:b w:val="0"/>
                <w:sz w:val="16"/>
              </w:rPr>
              <w:t>2,875,569</w:t>
            </w:r>
          </w:p>
        </w:tc>
        <w:tc>
          <w:tcPr>
            <w:tcW w:type="dxa" w:w="1176"/>
          </w:tcPr>
          <w:p>
            <w:pPr>
              <w:jc w:val="center"/>
            </w:pPr>
            <w:r>
              <w:rPr>
                <w:b w:val="0"/>
                <w:sz w:val="16"/>
              </w:rPr>
              <w:t>113,816</w:t>
            </w:r>
          </w:p>
        </w:tc>
        <w:tc>
          <w:tcPr>
            <w:tcW w:type="dxa" w:w="1176"/>
          </w:tcPr>
          <w:p>
            <w:pPr>
              <w:jc w:val="center"/>
            </w:pPr>
            <w:r>
              <w:rPr>
                <w:b w:val="0"/>
                <w:sz w:val="16"/>
              </w:rPr>
              <w:t>2,787,040</w:t>
            </w:r>
          </w:p>
        </w:tc>
        <w:tc>
          <w:tcPr>
            <w:tcW w:type="dxa" w:w="1176"/>
          </w:tcPr>
          <w:p>
            <w:pPr>
              <w:jc w:val="center"/>
            </w:pPr>
            <w:r>
              <w:rPr>
                <w:b w:val="0"/>
                <w:sz w:val="16"/>
              </w:rPr>
              <w:t>Ep 41</w:t>
            </w:r>
          </w:p>
        </w:tc>
        <w:tc>
          <w:tcPr>
            <w:tcW w:type="dxa" w:w="1176"/>
          </w:tcPr>
          <w:p>
            <w:pPr>
              <w:jc w:val="center"/>
            </w:pPr>
            <w:r>
              <w:rPr>
                <w:b w:val="0"/>
                <w:sz w:val="16"/>
              </w:rPr>
              <w:t>0.195%</w:t>
            </w:r>
          </w:p>
        </w:tc>
        <w:tc>
          <w:tcPr>
            <w:tcW w:type="dxa" w:w="1176"/>
          </w:tcPr>
          <w:p>
            <w:pPr>
              <w:jc w:val="center"/>
            </w:pPr>
            <w:r>
              <w:rPr>
                <w:b w:val="0"/>
                <w:sz w:val="16"/>
              </w:rPr>
              <w:t>-60.5%</w:t>
            </w:r>
          </w:p>
        </w:tc>
        <w:tc>
          <w:tcPr>
            <w:tcW w:type="dxa" w:w="1176"/>
          </w:tcPr>
          <w:p>
            <w:pPr>
              <w:jc w:val="center"/>
            </w:pPr>
            <w:r>
              <w:rPr>
                <w:b w:val="0"/>
                <w:sz w:val="16"/>
              </w:rPr>
              <w:t>-51.9%</w:t>
            </w:r>
          </w:p>
        </w:tc>
      </w:tr>
      <w:tr>
        <w:tc>
          <w:tcPr>
            <w:tcW w:type="dxa" w:w="1176"/>
          </w:tcPr>
          <w:p>
            <w:pPr>
              <w:jc w:val="center"/>
            </w:pPr>
            <w:r>
              <w:rPr>
                <w:b w:val="0"/>
                <w:sz w:val="16"/>
              </w:rPr>
              <w:t>A2C</w:t>
            </w:r>
          </w:p>
        </w:tc>
        <w:tc>
          <w:tcPr>
            <w:tcW w:type="dxa" w:w="1176"/>
          </w:tcPr>
          <w:p>
            <w:pPr>
              <w:jc w:val="center"/>
            </w:pPr>
            <w:r>
              <w:rPr>
                <w:b w:val="0"/>
                <w:sz w:val="16"/>
              </w:rPr>
              <w:t>2,845,012</w:t>
            </w:r>
          </w:p>
        </w:tc>
        <w:tc>
          <w:tcPr>
            <w:tcW w:type="dxa" w:w="1176"/>
          </w:tcPr>
          <w:p>
            <w:pPr>
              <w:jc w:val="center"/>
            </w:pPr>
            <w:r>
              <w:rPr>
                <w:b w:val="0"/>
                <w:sz w:val="16"/>
              </w:rPr>
              <w:t>12,011</w:t>
            </w:r>
          </w:p>
        </w:tc>
        <w:tc>
          <w:tcPr>
            <w:tcW w:type="dxa" w:w="1176"/>
          </w:tcPr>
          <w:p>
            <w:pPr>
              <w:jc w:val="center"/>
            </w:pPr>
            <w:r>
              <w:rPr>
                <w:b w:val="0"/>
                <w:sz w:val="16"/>
              </w:rPr>
              <w:t>2,834,857</w:t>
            </w:r>
          </w:p>
        </w:tc>
        <w:tc>
          <w:tcPr>
            <w:tcW w:type="dxa" w:w="1176"/>
          </w:tcPr>
          <w:p>
            <w:pPr>
              <w:jc w:val="center"/>
            </w:pPr>
            <w:r>
              <w:rPr>
                <w:b w:val="0"/>
                <w:sz w:val="16"/>
              </w:rPr>
              <w:t>Ep 4</w:t>
            </w:r>
          </w:p>
        </w:tc>
        <w:tc>
          <w:tcPr>
            <w:tcW w:type="dxa" w:w="1176"/>
          </w:tcPr>
          <w:p>
            <w:pPr>
              <w:jc w:val="center"/>
            </w:pPr>
            <w:r>
              <w:rPr>
                <w:b w:val="0"/>
                <w:sz w:val="16"/>
              </w:rPr>
              <w:t>0.056%</w:t>
            </w:r>
          </w:p>
        </w:tc>
        <w:tc>
          <w:tcPr>
            <w:tcW w:type="dxa" w:w="1176"/>
          </w:tcPr>
          <w:p>
            <w:pPr>
              <w:jc w:val="center"/>
            </w:pPr>
            <w:r>
              <w:rPr>
                <w:b w:val="0"/>
                <w:sz w:val="16"/>
              </w:rPr>
              <w:t>-59.8%</w:t>
            </w:r>
          </w:p>
        </w:tc>
        <w:tc>
          <w:tcPr>
            <w:tcW w:type="dxa" w:w="1176"/>
          </w:tcPr>
          <w:p>
            <w:pPr>
              <w:jc w:val="center"/>
            </w:pPr>
            <w:r>
              <w:rPr>
                <w:b w:val="0"/>
                <w:sz w:val="16"/>
              </w:rPr>
              <w:t>-51.1%</w:t>
            </w:r>
          </w:p>
        </w:tc>
      </w:tr>
    </w:tbl>
    <w:p>
      <w:pPr>
        <w:spacing w:after="120"/>
        <w:jc w:val="center"/>
      </w:pPr>
      <w:r>
        <w:rPr>
          <w:i/>
          <w:sz w:val="18"/>
        </w:rPr>
        <w:t>Tabla 4.6.3.2. Estadísticos descriptivos de F2 (CO₂ controlado) por agente RL — 50 episodios × 8,760 pasos/ep. CV plateau = coeficiente de variación últimos 15 episodios (robustez estocástica). Fuente: sac/ppo/a2c_episodios_history.csv. ★ = agente seleccionado OE3.</w:t>
      </w:r>
    </w:p>
    <w:p>
      <w:pPr>
        <w:spacing w:after="80" w:before="0"/>
        <w:jc w:val="both"/>
      </w:pPr>
      <w:r>
        <w:rPr>
          <w:sz w:val="22"/>
        </w:rPr>
        <w:t>El agente SAC logra el mínimo absoluto de F2 = 2,622,735 kg CO₂/año en el episodio 48, con un coeficiente de variación de plateau de 0.058% (los últimos 15 episodios fluctúan en un rango de ±1,550 kg, indicando convergencia estable). En contraste, PPO presenta el mayor CV de plateau (0.195%), reflejando una política aún en refinamiento al concluir los 50 episodios. A2C alcanza su mínimo en el episodio 4 con fuerte oscilación posterior (std = 12,011 kg entre episodios) y 217 violaciones de deuda energética en su mejor episodio.</w:t>
      </w:r>
    </w:p>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0E4F7"/>
          </w:tcPr>
          <w:p>
            <w:pPr>
              <w:jc w:val="center"/>
            </w:pPr>
            <w:r>
              <w:rPr>
                <w:b/>
                <w:sz w:val="16"/>
              </w:rPr>
              <w:t>Agente</w:t>
            </w:r>
          </w:p>
        </w:tc>
        <w:tc>
          <w:tcPr>
            <w:tcW w:type="dxa" w:w="1344"/>
            <w:shd w:val="clear" w:color="auto" w:fill="D0E4F7"/>
          </w:tcPr>
          <w:p>
            <w:pPr>
              <w:jc w:val="center"/>
            </w:pPr>
            <w:r>
              <w:rPr>
                <w:b/>
                <w:sz w:val="16"/>
              </w:rPr>
              <w:t>Grid import (kWh/año)</w:t>
            </w:r>
          </w:p>
        </w:tc>
        <w:tc>
          <w:tcPr>
            <w:tcW w:type="dxa" w:w="1344"/>
            <w:shd w:val="clear" w:color="auto" w:fill="D0E4F7"/>
          </w:tcPr>
          <w:p>
            <w:pPr>
              <w:jc w:val="center"/>
            </w:pPr>
            <w:r>
              <w:rPr>
                <w:b/>
                <w:sz w:val="16"/>
              </w:rPr>
              <w:t>BESS descarga (kWh/año)</w:t>
            </w:r>
          </w:p>
        </w:tc>
        <w:tc>
          <w:tcPr>
            <w:tcW w:type="dxa" w:w="1344"/>
            <w:shd w:val="clear" w:color="auto" w:fill="D0E4F7"/>
          </w:tcPr>
          <w:p>
            <w:pPr>
              <w:jc w:val="center"/>
            </w:pPr>
            <w:r>
              <w:rPr>
                <w:b/>
                <w:sz w:val="16"/>
              </w:rPr>
              <w:t>CO₂ directo (kg/año)</w:t>
            </w:r>
          </w:p>
        </w:tc>
        <w:tc>
          <w:tcPr>
            <w:tcW w:type="dxa" w:w="1344"/>
            <w:shd w:val="clear" w:color="auto" w:fill="D0E4F7"/>
          </w:tcPr>
          <w:p>
            <w:pPr>
              <w:jc w:val="center"/>
            </w:pPr>
            <w:r>
              <w:rPr>
                <w:b/>
                <w:sz w:val="16"/>
              </w:rPr>
              <w:t>CO₂ indirecto (kg/año)</w:t>
            </w:r>
          </w:p>
        </w:tc>
        <w:tc>
          <w:tcPr>
            <w:tcW w:type="dxa" w:w="1344"/>
            <w:shd w:val="clear" w:color="auto" w:fill="D0E4F7"/>
          </w:tcPr>
          <w:p>
            <w:pPr>
              <w:jc w:val="center"/>
            </w:pPr>
            <w:r>
              <w:rPr>
                <w:b/>
                <w:sz w:val="16"/>
              </w:rPr>
              <w:t>CO₂ total evitado (kg/año)</w:t>
            </w:r>
          </w:p>
        </w:tc>
        <w:tc>
          <w:tcPr>
            <w:tcW w:type="dxa" w:w="1344"/>
            <w:shd w:val="clear" w:color="auto" w:fill="D0E4F7"/>
          </w:tcPr>
          <w:p>
            <w:pPr>
              <w:jc w:val="center"/>
            </w:pPr>
            <w:r>
              <w:rPr>
                <w:b/>
                <w:sz w:val="16"/>
              </w:rPr>
              <w:t>Debt violations</w:t>
            </w:r>
          </w:p>
        </w:tc>
      </w:tr>
      <w:tr>
        <w:tc>
          <w:tcPr>
            <w:tcW w:type="dxa" w:w="1344"/>
            <w:shd w:val="clear" w:color="auto" w:fill="E8F5E9"/>
          </w:tcPr>
          <w:p>
            <w:pPr>
              <w:jc w:val="center"/>
            </w:pPr>
            <w:r>
              <w:rPr>
                <w:b/>
                <w:sz w:val="16"/>
              </w:rPr>
              <w:t>SAC ★</w:t>
            </w:r>
          </w:p>
        </w:tc>
        <w:tc>
          <w:tcPr>
            <w:tcW w:type="dxa" w:w="1344"/>
            <w:shd w:val="clear" w:color="auto" w:fill="E8F5E9"/>
          </w:tcPr>
          <w:p>
            <w:pPr>
              <w:jc w:val="center"/>
            </w:pPr>
            <w:r>
              <w:rPr>
                <w:b/>
                <w:sz w:val="16"/>
              </w:rPr>
              <w:t>5,801,227</w:t>
            </w:r>
          </w:p>
        </w:tc>
        <w:tc>
          <w:tcPr>
            <w:tcW w:type="dxa" w:w="1344"/>
            <w:shd w:val="clear" w:color="auto" w:fill="E8F5E9"/>
          </w:tcPr>
          <w:p>
            <w:pPr>
              <w:jc w:val="center"/>
            </w:pPr>
            <w:r>
              <w:rPr>
                <w:b/>
                <w:sz w:val="16"/>
              </w:rPr>
              <w:t>875,699</w:t>
            </w:r>
          </w:p>
        </w:tc>
        <w:tc>
          <w:tcPr>
            <w:tcW w:type="dxa" w:w="1344"/>
            <w:shd w:val="clear" w:color="auto" w:fill="E8F5E9"/>
          </w:tcPr>
          <w:p>
            <w:pPr>
              <w:jc w:val="center"/>
            </w:pPr>
            <w:r>
              <w:rPr>
                <w:b/>
                <w:sz w:val="16"/>
              </w:rPr>
              <w:t>328,736</w:t>
            </w:r>
          </w:p>
        </w:tc>
        <w:tc>
          <w:tcPr>
            <w:tcW w:type="dxa" w:w="1344"/>
            <w:shd w:val="clear" w:color="auto" w:fill="E8F5E9"/>
          </w:tcPr>
          <w:p>
            <w:pPr>
              <w:jc w:val="center"/>
            </w:pPr>
            <w:r>
              <w:rPr>
                <w:b/>
                <w:sz w:val="16"/>
              </w:rPr>
              <w:t>3,223,884</w:t>
            </w:r>
          </w:p>
        </w:tc>
        <w:tc>
          <w:tcPr>
            <w:tcW w:type="dxa" w:w="1344"/>
            <w:shd w:val="clear" w:color="auto" w:fill="E8F5E9"/>
          </w:tcPr>
          <w:p>
            <w:pPr>
              <w:jc w:val="center"/>
            </w:pPr>
            <w:r>
              <w:rPr>
                <w:b/>
                <w:sz w:val="16"/>
              </w:rPr>
              <w:t>3,552,620</w:t>
            </w:r>
          </w:p>
        </w:tc>
        <w:tc>
          <w:tcPr>
            <w:tcW w:type="dxa" w:w="1344"/>
            <w:shd w:val="clear" w:color="auto" w:fill="E8F5E9"/>
          </w:tcPr>
          <w:p>
            <w:pPr>
              <w:jc w:val="center"/>
            </w:pPr>
            <w:r>
              <w:rPr>
                <w:b/>
                <w:sz w:val="16"/>
              </w:rPr>
              <w:t>0</w:t>
            </w:r>
          </w:p>
        </w:tc>
      </w:tr>
      <w:tr>
        <w:tc>
          <w:tcPr>
            <w:tcW w:type="dxa" w:w="1344"/>
          </w:tcPr>
          <w:p>
            <w:pPr>
              <w:jc w:val="center"/>
            </w:pPr>
            <w:r>
              <w:rPr>
                <w:b w:val="0"/>
                <w:sz w:val="16"/>
              </w:rPr>
              <w:t>PPO</w:t>
            </w:r>
          </w:p>
        </w:tc>
        <w:tc>
          <w:tcPr>
            <w:tcW w:type="dxa" w:w="1344"/>
          </w:tcPr>
          <w:p>
            <w:pPr>
              <w:jc w:val="center"/>
            </w:pPr>
            <w:r>
              <w:rPr>
                <w:b w:val="0"/>
                <w:sz w:val="16"/>
              </w:rPr>
              <w:t>6,164,654</w:t>
            </w:r>
          </w:p>
        </w:tc>
        <w:tc>
          <w:tcPr>
            <w:tcW w:type="dxa" w:w="1344"/>
          </w:tcPr>
          <w:p>
            <w:pPr>
              <w:jc w:val="center"/>
            </w:pPr>
            <w:r>
              <w:rPr>
                <w:b w:val="0"/>
                <w:sz w:val="16"/>
              </w:rPr>
              <w:t>919,034</w:t>
            </w:r>
          </w:p>
        </w:tc>
        <w:tc>
          <w:tcPr>
            <w:tcW w:type="dxa" w:w="1344"/>
          </w:tcPr>
          <w:p>
            <w:pPr>
              <w:jc w:val="center"/>
            </w:pPr>
            <w:r>
              <w:rPr>
                <w:b w:val="0"/>
                <w:sz w:val="16"/>
              </w:rPr>
              <w:t>334,103</w:t>
            </w:r>
          </w:p>
        </w:tc>
        <w:tc>
          <w:tcPr>
            <w:tcW w:type="dxa" w:w="1344"/>
          </w:tcPr>
          <w:p>
            <w:pPr>
              <w:jc w:val="center"/>
            </w:pPr>
            <w:r>
              <w:rPr>
                <w:b w:val="0"/>
                <w:sz w:val="16"/>
              </w:rPr>
              <w:t>3,052,176</w:t>
            </w:r>
          </w:p>
        </w:tc>
        <w:tc>
          <w:tcPr>
            <w:tcW w:type="dxa" w:w="1344"/>
          </w:tcPr>
          <w:p>
            <w:pPr>
              <w:jc w:val="center"/>
            </w:pPr>
            <w:r>
              <w:rPr>
                <w:b w:val="0"/>
                <w:sz w:val="16"/>
              </w:rPr>
              <w:t>3,386,279</w:t>
            </w:r>
          </w:p>
        </w:tc>
        <w:tc>
          <w:tcPr>
            <w:tcW w:type="dxa" w:w="1344"/>
          </w:tcPr>
          <w:p>
            <w:pPr>
              <w:jc w:val="center"/>
            </w:pPr>
            <w:r>
              <w:rPr>
                <w:b w:val="0"/>
                <w:sz w:val="16"/>
              </w:rPr>
              <w:t>0</w:t>
            </w:r>
          </w:p>
        </w:tc>
      </w:tr>
      <w:tr>
        <w:tc>
          <w:tcPr>
            <w:tcW w:type="dxa" w:w="1344"/>
          </w:tcPr>
          <w:p>
            <w:pPr>
              <w:jc w:val="center"/>
            </w:pPr>
            <w:r>
              <w:rPr>
                <w:b w:val="0"/>
                <w:sz w:val="16"/>
              </w:rPr>
              <w:t>A2C</w:t>
            </w:r>
          </w:p>
        </w:tc>
        <w:tc>
          <w:tcPr>
            <w:tcW w:type="dxa" w:w="1344"/>
          </w:tcPr>
          <w:p>
            <w:pPr>
              <w:jc w:val="center"/>
            </w:pPr>
            <w:r>
              <w:rPr>
                <w:b w:val="0"/>
                <w:sz w:val="16"/>
              </w:rPr>
              <w:t>6,270,421</w:t>
            </w:r>
          </w:p>
        </w:tc>
        <w:tc>
          <w:tcPr>
            <w:tcW w:type="dxa" w:w="1344"/>
          </w:tcPr>
          <w:p>
            <w:pPr>
              <w:jc w:val="center"/>
            </w:pPr>
            <w:r>
              <w:rPr>
                <w:b w:val="0"/>
                <w:sz w:val="16"/>
              </w:rPr>
              <w:t>744,718</w:t>
            </w:r>
          </w:p>
        </w:tc>
        <w:tc>
          <w:tcPr>
            <w:tcW w:type="dxa" w:w="1344"/>
          </w:tcPr>
          <w:p>
            <w:pPr>
              <w:jc w:val="center"/>
            </w:pPr>
            <w:r>
              <w:rPr>
                <w:b w:val="0"/>
                <w:sz w:val="16"/>
              </w:rPr>
              <w:t>301,293</w:t>
            </w:r>
          </w:p>
        </w:tc>
        <w:tc>
          <w:tcPr>
            <w:tcW w:type="dxa" w:w="1344"/>
          </w:tcPr>
          <w:p>
            <w:pPr>
              <w:jc w:val="center"/>
            </w:pPr>
            <w:r>
              <w:rPr>
                <w:b w:val="0"/>
                <w:sz w:val="16"/>
              </w:rPr>
              <w:t>2,985,752</w:t>
            </w:r>
          </w:p>
        </w:tc>
        <w:tc>
          <w:tcPr>
            <w:tcW w:type="dxa" w:w="1344"/>
          </w:tcPr>
          <w:p>
            <w:pPr>
              <w:jc w:val="center"/>
            </w:pPr>
            <w:r>
              <w:rPr>
                <w:b w:val="0"/>
                <w:sz w:val="16"/>
              </w:rPr>
              <w:t>3,287,045</w:t>
            </w:r>
          </w:p>
        </w:tc>
        <w:tc>
          <w:tcPr>
            <w:tcW w:type="dxa" w:w="1344"/>
          </w:tcPr>
          <w:p>
            <w:pPr>
              <w:jc w:val="center"/>
            </w:pPr>
            <w:r>
              <w:rPr>
                <w:b w:val="0"/>
                <w:sz w:val="16"/>
              </w:rPr>
              <w:t>217</w:t>
            </w:r>
          </w:p>
        </w:tc>
      </w:tr>
    </w:tbl>
    <w:p>
      <w:pPr>
        <w:spacing w:after="120"/>
        <w:jc w:val="center"/>
      </w:pPr>
      <w:r>
        <w:rPr>
          <w:i/>
          <w:sz w:val="18"/>
        </w:rPr>
        <w:t>Tabla 4.6.3.3. Desglose de componentes energéticas y de CO₂ en el episodio óptimo de cada agente. CO₂ total evitado = CO₂ directo + CO₂ indirecto. Debt violations = número de timesteps en que un EV no completó su carga al deadline.</w:t>
      </w:r>
    </w:p>
    <w:p>
      <w:pPr>
        <w:pStyle w:val="Heading2"/>
        <w:jc w:val="left"/>
      </w:pPr>
      <w:r>
        <w:t>4.6.3.8. Validación estadística de la reducción de CO₂</w:t>
      </w:r>
    </w:p>
    <w:p>
      <w:pPr>
        <w:spacing w:after="80" w:before="0"/>
        <w:jc w:val="both"/>
      </w:pPr>
      <w:r>
        <w:rPr>
          <w:sz w:val="22"/>
        </w:rPr>
        <w:t>Para garantizar que la reducción de CO₂ observada no sea producto del azar del proceso de entrenamiento estocástico, se aplicó un protocolo estadístico no paramétrico. La Figura 4.6.3.1 ilustra las curvas de convergencia de los tres agentes durante 50 episodios.</w:t>
      </w:r>
    </w:p>
    <w:p>
      <w:pPr>
        <w:spacing w:after="80" w:before="0"/>
        <w:jc w:val="both"/>
      </w:pPr>
      <w:r>
        <w:rPr>
          <w:b/>
          <w:sz w:val="22"/>
        </w:rPr>
        <w:t>4.6.3.8.1. Prueba de normalidad — Shapiro-Wilk:</w:t>
      </w:r>
      <w:r>
        <w:t xml:space="preserve"> </w:t>
      </w:r>
      <w:r>
        <w:rPr>
          <w:sz w:val="22"/>
        </w:rPr>
        <w:t>Se aplicó la prueba Shapiro-Wilk (α = 0.05) a las distribuciones de F2 de los 50 episodios de cada agente. Los resultados rechazan la hipótesis de normalidad en los cuatro grupos (F1 baseline, SAC, PPO, A2C) con p &lt;&lt; 0.001. Consecuencia metodológica: se emplearon exclusivamente pruebas no paramétricas para la inferencia estadística.</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Grupo</w:t>
            </w:r>
          </w:p>
        </w:tc>
        <w:tc>
          <w:tcPr>
            <w:tcW w:type="dxa" w:w="1881"/>
            <w:shd w:val="clear" w:color="auto" w:fill="D0E4F7"/>
          </w:tcPr>
          <w:p>
            <w:pPr>
              <w:jc w:val="center"/>
            </w:pPr>
            <w:r>
              <w:rPr>
                <w:b/>
                <w:sz w:val="18"/>
              </w:rPr>
              <w:t>n</w:t>
            </w:r>
          </w:p>
        </w:tc>
        <w:tc>
          <w:tcPr>
            <w:tcW w:type="dxa" w:w="1881"/>
            <w:shd w:val="clear" w:color="auto" w:fill="D0E4F7"/>
          </w:tcPr>
          <w:p>
            <w:pPr>
              <w:jc w:val="center"/>
            </w:pPr>
            <w:r>
              <w:rPr>
                <w:b/>
                <w:sz w:val="18"/>
              </w:rPr>
              <w:t>Estadístico W</w:t>
            </w:r>
          </w:p>
        </w:tc>
        <w:tc>
          <w:tcPr>
            <w:tcW w:type="dxa" w:w="1881"/>
            <w:shd w:val="clear" w:color="auto" w:fill="D0E4F7"/>
          </w:tcPr>
          <w:p>
            <w:pPr>
              <w:jc w:val="center"/>
            </w:pPr>
            <w:r>
              <w:rPr>
                <w:b/>
                <w:sz w:val="18"/>
              </w:rPr>
              <w:t>p-value</w:t>
            </w:r>
          </w:p>
        </w:tc>
        <w:tc>
          <w:tcPr>
            <w:tcW w:type="dxa" w:w="1881"/>
            <w:shd w:val="clear" w:color="auto" w:fill="D0E4F7"/>
          </w:tcPr>
          <w:p>
            <w:pPr>
              <w:jc w:val="center"/>
            </w:pPr>
            <w:r>
              <w:rPr>
                <w:b/>
                <w:sz w:val="18"/>
              </w:rPr>
              <w:t>Distribución normal</w:t>
            </w:r>
          </w:p>
        </w:tc>
      </w:tr>
      <w:tr>
        <w:tc>
          <w:tcPr>
            <w:tcW w:type="dxa" w:w="1881"/>
          </w:tcPr>
          <w:p>
            <w:pPr>
              <w:jc w:val="center"/>
            </w:pPr>
            <w:r>
              <w:rPr>
                <w:sz w:val="18"/>
              </w:rPr>
              <w:t>F1 Baseline</w:t>
            </w:r>
          </w:p>
        </w:tc>
        <w:tc>
          <w:tcPr>
            <w:tcW w:type="dxa" w:w="1881"/>
          </w:tcPr>
          <w:p>
            <w:pPr>
              <w:jc w:val="center"/>
            </w:pPr>
            <w:r>
              <w:rPr>
                <w:sz w:val="18"/>
              </w:rPr>
              <w:t>50</w:t>
            </w:r>
          </w:p>
        </w:tc>
        <w:tc>
          <w:tcPr>
            <w:tcW w:type="dxa" w:w="1881"/>
          </w:tcPr>
          <w:p>
            <w:pPr>
              <w:jc w:val="center"/>
            </w:pPr>
            <w:r>
              <w:rPr>
                <w:sz w:val="18"/>
              </w:rPr>
              <w:t>0.847</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SAC</w:t>
            </w:r>
          </w:p>
        </w:tc>
        <w:tc>
          <w:tcPr>
            <w:tcW w:type="dxa" w:w="1881"/>
          </w:tcPr>
          <w:p>
            <w:pPr>
              <w:jc w:val="center"/>
            </w:pPr>
            <w:r>
              <w:rPr>
                <w:sz w:val="18"/>
              </w:rPr>
              <w:t>50</w:t>
            </w:r>
          </w:p>
        </w:tc>
        <w:tc>
          <w:tcPr>
            <w:tcW w:type="dxa" w:w="1881"/>
          </w:tcPr>
          <w:p>
            <w:pPr>
              <w:jc w:val="center"/>
            </w:pPr>
            <w:r>
              <w:rPr>
                <w:sz w:val="18"/>
              </w:rPr>
              <w:t>0.921</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PPO</w:t>
            </w:r>
          </w:p>
        </w:tc>
        <w:tc>
          <w:tcPr>
            <w:tcW w:type="dxa" w:w="1881"/>
          </w:tcPr>
          <w:p>
            <w:pPr>
              <w:jc w:val="center"/>
            </w:pPr>
            <w:r>
              <w:rPr>
                <w:sz w:val="18"/>
              </w:rPr>
              <w:t>50</w:t>
            </w:r>
          </w:p>
        </w:tc>
        <w:tc>
          <w:tcPr>
            <w:tcW w:type="dxa" w:w="1881"/>
          </w:tcPr>
          <w:p>
            <w:pPr>
              <w:jc w:val="center"/>
            </w:pPr>
            <w:r>
              <w:rPr>
                <w:sz w:val="18"/>
              </w:rPr>
              <w:t>0.934</w:t>
            </w:r>
          </w:p>
        </w:tc>
        <w:tc>
          <w:tcPr>
            <w:tcW w:type="dxa" w:w="1881"/>
          </w:tcPr>
          <w:p>
            <w:pPr>
              <w:jc w:val="center"/>
            </w:pPr>
            <w:r>
              <w:rPr>
                <w:sz w:val="18"/>
              </w:rPr>
              <w:t>p &lt; 0.001</w:t>
            </w:r>
          </w:p>
        </w:tc>
        <w:tc>
          <w:tcPr>
            <w:tcW w:type="dxa" w:w="1881"/>
          </w:tcPr>
          <w:p>
            <w:pPr>
              <w:jc w:val="center"/>
            </w:pPr>
            <w:r>
              <w:rPr>
                <w:sz w:val="18"/>
              </w:rPr>
              <w:t>No ✗</w:t>
            </w:r>
          </w:p>
        </w:tc>
      </w:tr>
      <w:tr>
        <w:tc>
          <w:tcPr>
            <w:tcW w:type="dxa" w:w="1881"/>
          </w:tcPr>
          <w:p>
            <w:pPr>
              <w:jc w:val="center"/>
            </w:pPr>
            <w:r>
              <w:rPr>
                <w:sz w:val="18"/>
              </w:rPr>
              <w:t>A2C</w:t>
            </w:r>
          </w:p>
        </w:tc>
        <w:tc>
          <w:tcPr>
            <w:tcW w:type="dxa" w:w="1881"/>
          </w:tcPr>
          <w:p>
            <w:pPr>
              <w:jc w:val="center"/>
            </w:pPr>
            <w:r>
              <w:rPr>
                <w:sz w:val="18"/>
              </w:rPr>
              <w:t>50</w:t>
            </w:r>
          </w:p>
        </w:tc>
        <w:tc>
          <w:tcPr>
            <w:tcW w:type="dxa" w:w="1881"/>
          </w:tcPr>
          <w:p>
            <w:pPr>
              <w:jc w:val="center"/>
            </w:pPr>
            <w:r>
              <w:rPr>
                <w:sz w:val="18"/>
              </w:rPr>
              <w:t>0.961</w:t>
            </w:r>
          </w:p>
        </w:tc>
        <w:tc>
          <w:tcPr>
            <w:tcW w:type="dxa" w:w="1881"/>
          </w:tcPr>
          <w:p>
            <w:pPr>
              <w:jc w:val="center"/>
            </w:pPr>
            <w:r>
              <w:rPr>
                <w:sz w:val="18"/>
              </w:rPr>
              <w:t>p &lt; 0.001</w:t>
            </w:r>
          </w:p>
        </w:tc>
        <w:tc>
          <w:tcPr>
            <w:tcW w:type="dxa" w:w="1881"/>
          </w:tcPr>
          <w:p>
            <w:pPr>
              <w:jc w:val="center"/>
            </w:pPr>
            <w:r>
              <w:rPr>
                <w:sz w:val="18"/>
              </w:rPr>
              <w:t>No ✗</w:t>
            </w:r>
          </w:p>
        </w:tc>
      </w:tr>
    </w:tbl>
    <w:p>
      <w:pPr>
        <w:spacing w:after="120"/>
        <w:jc w:val="center"/>
      </w:pPr>
      <w:r>
        <w:rPr>
          <w:i/>
          <w:sz w:val="18"/>
        </w:rPr>
        <w:t>Tabla 4.6.3.4. Prueba de normalidad Shapiro-Wilk (n=50 episodios por grupo). Ningún grupo sigue distribución normal → pruebas no paramétricas.</w:t>
      </w:r>
    </w:p>
    <w:p>
      <w:pPr>
        <w:spacing w:after="80" w:before="0"/>
        <w:jc w:val="both"/>
      </w:pPr>
      <w:r>
        <w:rPr>
          <w:b/>
          <w:sz w:val="22"/>
        </w:rPr>
        <w:t>4.6.3.8.2. Prueba de Wilcoxon de rangos con signo (F1 vs cada agente):</w:t>
      </w:r>
      <w:r>
        <w:t xml:space="preserve"> </w:t>
      </w:r>
      <w:r>
        <w:rPr>
          <w:sz w:val="22"/>
        </w:rPr>
        <w:t>La hipótesis nula H₀: la mediana de F2 del agente RL ≥ mediana de F1 (el agente RL no mejora el baseline). Se aplica la prueba de Wilcoxon signed-rank con alternativa 'greater' (F1 &gt; F2):</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0E4F7"/>
          </w:tcPr>
          <w:p>
            <w:pPr>
              <w:jc w:val="center"/>
            </w:pPr>
            <w:r>
              <w:rPr>
                <w:b/>
                <w:sz w:val="18"/>
              </w:rPr>
              <w:t>Comparación</w:t>
            </w:r>
          </w:p>
        </w:tc>
        <w:tc>
          <w:tcPr>
            <w:tcW w:type="dxa" w:w="1568"/>
            <w:shd w:val="clear" w:color="auto" w:fill="D0E4F7"/>
          </w:tcPr>
          <w:p>
            <w:pPr>
              <w:jc w:val="center"/>
            </w:pPr>
            <w:r>
              <w:rPr>
                <w:b/>
                <w:sz w:val="18"/>
              </w:rPr>
              <w:t>Prueba</w:t>
            </w:r>
          </w:p>
        </w:tc>
        <w:tc>
          <w:tcPr>
            <w:tcW w:type="dxa" w:w="1568"/>
            <w:shd w:val="clear" w:color="auto" w:fill="D0E4F7"/>
          </w:tcPr>
          <w:p>
            <w:pPr>
              <w:jc w:val="center"/>
            </w:pPr>
            <w:r>
              <w:rPr>
                <w:b/>
                <w:sz w:val="18"/>
              </w:rPr>
              <w:t>Estadístico</w:t>
            </w:r>
          </w:p>
        </w:tc>
        <w:tc>
          <w:tcPr>
            <w:tcW w:type="dxa" w:w="1568"/>
            <w:shd w:val="clear" w:color="auto" w:fill="D0E4F7"/>
          </w:tcPr>
          <w:p>
            <w:pPr>
              <w:jc w:val="center"/>
            </w:pPr>
            <w:r>
              <w:rPr>
                <w:b/>
                <w:sz w:val="18"/>
              </w:rPr>
              <w:t>p-value</w:t>
            </w:r>
          </w:p>
        </w:tc>
        <w:tc>
          <w:tcPr>
            <w:tcW w:type="dxa" w:w="1568"/>
            <w:shd w:val="clear" w:color="auto" w:fill="D0E4F7"/>
          </w:tcPr>
          <w:p>
            <w:pPr>
              <w:jc w:val="center"/>
            </w:pPr>
            <w:r>
              <w:rPr>
                <w:b/>
                <w:sz w:val="18"/>
              </w:rPr>
              <w:t>Rechaza H₀</w:t>
            </w:r>
          </w:p>
        </w:tc>
        <w:tc>
          <w:tcPr>
            <w:tcW w:type="dxa" w:w="1568"/>
            <w:shd w:val="clear" w:color="auto" w:fill="D0E4F7"/>
          </w:tcPr>
          <w:p>
            <w:pPr>
              <w:jc w:val="center"/>
            </w:pPr>
            <w:r>
              <w:rPr>
                <w:b/>
                <w:sz w:val="18"/>
              </w:rPr>
              <w:t>d de Cohen</w:t>
            </w:r>
          </w:p>
        </w:tc>
      </w:tr>
      <w:tr>
        <w:tc>
          <w:tcPr>
            <w:tcW w:type="dxa" w:w="1568"/>
            <w:shd w:val="clear" w:color="auto" w:fill="E8F5E9"/>
          </w:tcPr>
          <w:p>
            <w:pPr>
              <w:jc w:val="center"/>
            </w:pPr>
            <w:r>
              <w:rPr>
                <w:sz w:val="17"/>
              </w:rPr>
              <w:t>F1 vs SAC</w:t>
            </w:r>
          </w:p>
        </w:tc>
        <w:tc>
          <w:tcPr>
            <w:tcW w:type="dxa" w:w="1568"/>
            <w:shd w:val="clear" w:color="auto" w:fill="E8F5E9"/>
          </w:tcPr>
          <w:p>
            <w:pPr>
              <w:jc w:val="center"/>
            </w:pPr>
            <w:r>
              <w:rPr>
                <w:sz w:val="17"/>
              </w:rPr>
              <w:t>Wilcoxon signed-rank</w:t>
            </w:r>
          </w:p>
        </w:tc>
        <w:tc>
          <w:tcPr>
            <w:tcW w:type="dxa" w:w="1568"/>
            <w:shd w:val="clear" w:color="auto" w:fill="E8F5E9"/>
          </w:tcPr>
          <w:p>
            <w:pPr>
              <w:jc w:val="center"/>
            </w:pPr>
            <w:r>
              <w:rPr>
                <w:sz w:val="17"/>
              </w:rPr>
              <w:t>1,275.0</w:t>
            </w:r>
          </w:p>
        </w:tc>
        <w:tc>
          <w:tcPr>
            <w:tcW w:type="dxa" w:w="1568"/>
            <w:shd w:val="clear" w:color="auto" w:fill="E8F5E9"/>
          </w:tcPr>
          <w:p>
            <w:pPr>
              <w:jc w:val="center"/>
            </w:pPr>
            <w:r>
              <w:rPr>
                <w:sz w:val="17"/>
              </w:rPr>
              <w:t>8.882 × 10⁻¹⁶</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49.23 (GIGANTE)</w:t>
            </w:r>
          </w:p>
        </w:tc>
      </w:tr>
      <w:tr>
        <w:tc>
          <w:tcPr>
            <w:tcW w:type="dxa" w:w="1568"/>
          </w:tcPr>
          <w:p>
            <w:pPr>
              <w:jc w:val="center"/>
            </w:pPr>
            <w:r>
              <w:rPr>
                <w:sz w:val="17"/>
              </w:rPr>
              <w:t>F1 vs PPO</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27.61 (GIGANTE)</w:t>
            </w:r>
          </w:p>
        </w:tc>
      </w:tr>
      <w:tr>
        <w:tc>
          <w:tcPr>
            <w:tcW w:type="dxa" w:w="1568"/>
          </w:tcPr>
          <w:p>
            <w:pPr>
              <w:jc w:val="center"/>
            </w:pPr>
            <w:r>
              <w:rPr>
                <w:sz w:val="17"/>
              </w:rPr>
              <w:t>F1 vs A2C</w:t>
            </w:r>
          </w:p>
        </w:tc>
        <w:tc>
          <w:tcPr>
            <w:tcW w:type="dxa" w:w="1568"/>
          </w:tcPr>
          <w:p>
            <w:pPr>
              <w:jc w:val="center"/>
            </w:pPr>
            <w:r>
              <w:rPr>
                <w:sz w:val="17"/>
              </w:rPr>
              <w:t>Wilcoxon signed-rank</w:t>
            </w:r>
          </w:p>
        </w:tc>
        <w:tc>
          <w:tcPr>
            <w:tcW w:type="dxa" w:w="1568"/>
          </w:tcPr>
          <w:p>
            <w:pPr>
              <w:jc w:val="center"/>
            </w:pPr>
            <w:r>
              <w:rPr>
                <w:sz w:val="17"/>
              </w:rPr>
              <w:t>1,275.0</w:t>
            </w:r>
          </w:p>
        </w:tc>
        <w:tc>
          <w:tcPr>
            <w:tcW w:type="dxa" w:w="1568"/>
          </w:tcPr>
          <w:p>
            <w:pPr>
              <w:jc w:val="center"/>
            </w:pPr>
            <w:r>
              <w:rPr>
                <w:sz w:val="17"/>
              </w:rPr>
              <w:t>8.882 × 10⁻¹⁶</w:t>
            </w:r>
          </w:p>
        </w:tc>
        <w:tc>
          <w:tcPr>
            <w:tcW w:type="dxa" w:w="1568"/>
          </w:tcPr>
          <w:p>
            <w:pPr>
              <w:jc w:val="center"/>
            </w:pPr>
            <w:r>
              <w:rPr>
                <w:sz w:val="17"/>
              </w:rPr>
              <w:t>Sí (p ≪ 0.05)</w:t>
            </w:r>
          </w:p>
        </w:tc>
        <w:tc>
          <w:tcPr>
            <w:tcW w:type="dxa" w:w="1568"/>
          </w:tcPr>
          <w:p>
            <w:pPr>
              <w:jc w:val="center"/>
            </w:pPr>
            <w:r>
              <w:rPr>
                <w:sz w:val="17"/>
              </w:rPr>
              <w:t>138.32 (GIGANTE)</w:t>
            </w:r>
          </w:p>
        </w:tc>
      </w:tr>
      <w:tr>
        <w:tc>
          <w:tcPr>
            <w:tcW w:type="dxa" w:w="1568"/>
            <w:shd w:val="clear" w:color="auto" w:fill="FFF3CD"/>
          </w:tcPr>
          <w:p>
            <w:pPr>
              <w:jc w:val="center"/>
            </w:pPr>
            <w:r>
              <w:rPr>
                <w:sz w:val="17"/>
              </w:rPr>
              <w:t>SAC vs PPO vs A2C</w:t>
            </w:r>
          </w:p>
        </w:tc>
        <w:tc>
          <w:tcPr>
            <w:tcW w:type="dxa" w:w="1568"/>
            <w:shd w:val="clear" w:color="auto" w:fill="FFF3CD"/>
          </w:tcPr>
          <w:p>
            <w:pPr>
              <w:jc w:val="center"/>
            </w:pPr>
            <w:r>
              <w:rPr>
                <w:sz w:val="17"/>
              </w:rPr>
              <w:t>Kruskal-Wallis</w:t>
            </w:r>
          </w:p>
        </w:tc>
        <w:tc>
          <w:tcPr>
            <w:tcW w:type="dxa" w:w="1568"/>
            <w:shd w:val="clear" w:color="auto" w:fill="FFF3CD"/>
          </w:tcPr>
          <w:p>
            <w:pPr>
              <w:jc w:val="center"/>
            </w:pPr>
            <w:r>
              <w:rPr>
                <w:sz w:val="17"/>
              </w:rPr>
              <w:t>H = 81.65</w:t>
            </w:r>
          </w:p>
        </w:tc>
        <w:tc>
          <w:tcPr>
            <w:tcW w:type="dxa" w:w="1568"/>
            <w:shd w:val="clear" w:color="auto" w:fill="FFF3CD"/>
          </w:tcPr>
          <w:p>
            <w:pPr>
              <w:jc w:val="center"/>
            </w:pPr>
            <w:r>
              <w:rPr>
                <w:sz w:val="17"/>
              </w:rPr>
              <w:t>1.861 × 10⁻¹⁸</w:t>
            </w:r>
          </w:p>
        </w:tc>
        <w:tc>
          <w:tcPr>
            <w:tcW w:type="dxa" w:w="1568"/>
            <w:shd w:val="clear" w:color="auto" w:fill="FFF3CD"/>
          </w:tcPr>
          <w:p>
            <w:pPr>
              <w:jc w:val="center"/>
            </w:pPr>
            <w:r>
              <w:rPr>
                <w:sz w:val="17"/>
              </w:rPr>
              <w:t>Sí (p ≪ 0.05)</w:t>
            </w:r>
          </w:p>
        </w:tc>
        <w:tc>
          <w:tcPr>
            <w:tcW w:type="dxa" w:w="1568"/>
            <w:shd w:val="clear" w:color="auto" w:fill="FFF3CD"/>
          </w:tcPr>
          <w:p>
            <w:pPr>
              <w:jc w:val="center"/>
            </w:pPr>
            <w:r>
              <w:rPr>
                <w:sz w:val="17"/>
              </w:rPr>
              <w:t>—</w:t>
            </w:r>
          </w:p>
        </w:tc>
      </w:tr>
      <w:tr>
        <w:tc>
          <w:tcPr>
            <w:tcW w:type="dxa" w:w="1568"/>
            <w:shd w:val="clear" w:color="auto" w:fill="E8F5E9"/>
          </w:tcPr>
          <w:p>
            <w:pPr>
              <w:jc w:val="center"/>
            </w:pPr>
            <w:r>
              <w:rPr>
                <w:sz w:val="17"/>
              </w:rPr>
              <w:t>SAC vs PPO</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121.0</w:t>
            </w:r>
          </w:p>
        </w:tc>
        <w:tc>
          <w:tcPr>
            <w:tcW w:type="dxa" w:w="1568"/>
            <w:shd w:val="clear" w:color="auto" w:fill="E8F5E9"/>
          </w:tcPr>
          <w:p>
            <w:pPr>
              <w:jc w:val="center"/>
            </w:pPr>
            <w:r>
              <w:rPr>
                <w:sz w:val="17"/>
              </w:rPr>
              <w:t>3.636 × 10⁻¹⁵</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2.43 (GIGANTE)</w:t>
            </w:r>
          </w:p>
        </w:tc>
      </w:tr>
      <w:tr>
        <w:tc>
          <w:tcPr>
            <w:tcW w:type="dxa" w:w="1568"/>
            <w:shd w:val="clear" w:color="auto" w:fill="E8F5E9"/>
          </w:tcPr>
          <w:p>
            <w:pPr>
              <w:jc w:val="center"/>
            </w:pPr>
            <w:r>
              <w:rPr>
                <w:sz w:val="17"/>
              </w:rPr>
              <w:t>SAC vs A2C</w:t>
            </w:r>
          </w:p>
        </w:tc>
        <w:tc>
          <w:tcPr>
            <w:tcW w:type="dxa" w:w="1568"/>
            <w:shd w:val="clear" w:color="auto" w:fill="E8F5E9"/>
          </w:tcPr>
          <w:p>
            <w:pPr>
              <w:jc w:val="center"/>
            </w:pPr>
            <w:r>
              <w:rPr>
                <w:sz w:val="17"/>
              </w:rPr>
              <w:t>Mann-Whitney U</w:t>
            </w:r>
          </w:p>
        </w:tc>
        <w:tc>
          <w:tcPr>
            <w:tcW w:type="dxa" w:w="1568"/>
            <w:shd w:val="clear" w:color="auto" w:fill="E8F5E9"/>
          </w:tcPr>
          <w:p>
            <w:pPr>
              <w:jc w:val="center"/>
            </w:pPr>
            <w:r>
              <w:rPr>
                <w:sz w:val="17"/>
              </w:rPr>
              <w:t>149.0</w:t>
            </w:r>
          </w:p>
        </w:tc>
        <w:tc>
          <w:tcPr>
            <w:tcW w:type="dxa" w:w="1568"/>
            <w:shd w:val="clear" w:color="auto" w:fill="E8F5E9"/>
          </w:tcPr>
          <w:p>
            <w:pPr>
              <w:jc w:val="center"/>
            </w:pPr>
            <w:r>
              <w:rPr>
                <w:sz w:val="17"/>
              </w:rPr>
              <w:t>1.641 × 10⁻¹⁴</w:t>
            </w:r>
          </w:p>
        </w:tc>
        <w:tc>
          <w:tcPr>
            <w:tcW w:type="dxa" w:w="1568"/>
            <w:shd w:val="clear" w:color="auto" w:fill="E8F5E9"/>
          </w:tcPr>
          <w:p>
            <w:pPr>
              <w:jc w:val="center"/>
            </w:pPr>
            <w:r>
              <w:rPr>
                <w:sz w:val="17"/>
              </w:rPr>
              <w:t>Sí (p ≪ 0.05)</w:t>
            </w:r>
          </w:p>
        </w:tc>
        <w:tc>
          <w:tcPr>
            <w:tcW w:type="dxa" w:w="1568"/>
            <w:shd w:val="clear" w:color="auto" w:fill="E8F5E9"/>
          </w:tcPr>
          <w:p>
            <w:pPr>
              <w:jc w:val="center"/>
            </w:pPr>
            <w:r>
              <w:rPr>
                <w:sz w:val="17"/>
              </w:rPr>
              <w:t>2.16 (GIGANTE)</w:t>
            </w:r>
          </w:p>
        </w:tc>
      </w:tr>
      <w:tr>
        <w:tc>
          <w:tcPr>
            <w:tcW w:type="dxa" w:w="1568"/>
          </w:tcPr>
          <w:p>
            <w:pPr>
              <w:jc w:val="center"/>
            </w:pPr>
            <w:r>
              <w:rPr>
                <w:sz w:val="17"/>
              </w:rPr>
              <w:t>PPO vs A2C</w:t>
            </w:r>
          </w:p>
        </w:tc>
        <w:tc>
          <w:tcPr>
            <w:tcW w:type="dxa" w:w="1568"/>
          </w:tcPr>
          <w:p>
            <w:pPr>
              <w:jc w:val="center"/>
            </w:pPr>
            <w:r>
              <w:rPr>
                <w:sz w:val="17"/>
              </w:rPr>
              <w:t>Mann-Whitney U</w:t>
            </w:r>
          </w:p>
        </w:tc>
        <w:tc>
          <w:tcPr>
            <w:tcW w:type="dxa" w:w="1568"/>
          </w:tcPr>
          <w:p>
            <w:pPr>
              <w:jc w:val="center"/>
            </w:pPr>
            <w:r>
              <w:rPr>
                <w:sz w:val="17"/>
              </w:rPr>
              <w:t>885.0</w:t>
            </w:r>
          </w:p>
        </w:tc>
        <w:tc>
          <w:tcPr>
            <w:tcW w:type="dxa" w:w="1568"/>
          </w:tcPr>
          <w:p>
            <w:pPr>
              <w:jc w:val="center"/>
            </w:pPr>
            <w:r>
              <w:rPr>
                <w:sz w:val="17"/>
              </w:rPr>
              <w:t>5.989 × 10⁻³</w:t>
            </w:r>
          </w:p>
        </w:tc>
        <w:tc>
          <w:tcPr>
            <w:tcW w:type="dxa" w:w="1568"/>
          </w:tcPr>
          <w:p>
            <w:pPr>
              <w:jc w:val="center"/>
            </w:pPr>
            <w:r>
              <w:rPr>
                <w:sz w:val="17"/>
              </w:rPr>
              <w:t>Sí (p &lt; 0.05)</w:t>
            </w:r>
          </w:p>
        </w:tc>
        <w:tc>
          <w:tcPr>
            <w:tcW w:type="dxa" w:w="1568"/>
          </w:tcPr>
          <w:p>
            <w:pPr>
              <w:jc w:val="center"/>
            </w:pPr>
            <w:r>
              <w:rPr>
                <w:sz w:val="17"/>
              </w:rPr>
              <w:t>-0.28 (pequeño)</w:t>
            </w:r>
          </w:p>
        </w:tc>
      </w:tr>
    </w:tbl>
    <w:p>
      <w:pPr>
        <w:spacing w:after="120"/>
        <w:jc w:val="center"/>
      </w:pPr>
      <w:r>
        <w:rPr>
          <w:i/>
          <w:sz w:val="18"/>
        </w:rPr>
        <w:t>Tabla 4.6.3.5. Pruebas inferenciales no paramétricas. d de Cohen interpretado según Cohen (1988): pequeño |d|&lt;0.5, mediano |d|&lt;0.8, grande |d|&lt;1.2, gigante |d|≥2.0. Todas las comparaciones son estadísticamente significativas (p ≪ 0.05). Fuente: scripts/analysis/seccion52_estadistica.py</w:t>
      </w:r>
    </w:p>
    <w:p>
      <w:pPr>
        <w:spacing w:after="80" w:before="0"/>
        <w:jc w:val="both"/>
      </w:pPr>
      <w:r>
        <w:rPr>
          <w:sz w:val="22"/>
        </w:rPr>
        <w:t>Los resultados estadísticos permiten concluir con una probabilidad de error tipo I menor a 10⁻¹⁵ que los tres agentes RL reducen significativamente las emisiones CO₂ respecto al baseline (F1), y que SAC es estadísticamente superior a PPO (d = 2.43) y a A2C (d = 2.16), con efectos de magnitud GIGANTE según la clasificación de Cohen (1988). El test de Kruskal-Wallis (H = 81.65, p = 1.86 × 10⁻¹⁸) confirma que los tres agentes no son equivalentes entre sí.</w:t>
      </w:r>
    </w:p>
    <w:p>
      <w:pPr>
        <w:pStyle w:val="Heading2"/>
        <w:jc w:val="left"/>
      </w:pPr>
      <w:r>
        <w:t>4.6.3.9. Selección del agente óptimo — SAC</w:t>
      </w:r>
    </w:p>
    <w:p>
      <w:pPr>
        <w:spacing w:after="80" w:before="0"/>
        <w:jc w:val="both"/>
      </w:pPr>
      <w:r>
        <w:rPr>
          <w:sz w:val="22"/>
        </w:rPr>
        <w:t>Con base en el análisis cuantitativo y la validación estadística, se selecciona el agente SAC (Soft Actor-Critic) como el agente de inteligencia artificial óptimo para la infraestructura de carga inteligente de motos y mototaxis eléctricas en Iquitos. Los criterios de selección y su cumplimiento se detallan en la Tabla 4.6.3.6: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Criterio de selección OE3</w:t>
            </w:r>
          </w:p>
        </w:tc>
        <w:tc>
          <w:tcPr>
            <w:tcW w:type="dxa" w:w="2351"/>
            <w:shd w:val="clear" w:color="auto" w:fill="D0E4F7"/>
          </w:tcPr>
          <w:p>
            <w:pPr>
              <w:jc w:val="center"/>
            </w:pPr>
            <w:r>
              <w:rPr>
                <w:b/>
                <w:sz w:val="18"/>
              </w:rPr>
              <w:t>SAC ★</w:t>
            </w:r>
          </w:p>
        </w:tc>
        <w:tc>
          <w:tcPr>
            <w:tcW w:type="dxa" w:w="2351"/>
            <w:shd w:val="clear" w:color="auto" w:fill="D0E4F7"/>
          </w:tcPr>
          <w:p>
            <w:pPr>
              <w:jc w:val="center"/>
            </w:pPr>
            <w:r>
              <w:rPr>
                <w:b/>
                <w:sz w:val="18"/>
              </w:rPr>
              <w:t>PPO</w:t>
            </w:r>
          </w:p>
        </w:tc>
        <w:tc>
          <w:tcPr>
            <w:tcW w:type="dxa" w:w="2351"/>
            <w:shd w:val="clear" w:color="auto" w:fill="D0E4F7"/>
          </w:tcPr>
          <w:p>
            <w:pPr>
              <w:jc w:val="center"/>
            </w:pPr>
            <w:r>
              <w:rPr>
                <w:b/>
                <w:sz w:val="18"/>
              </w:rPr>
              <w:t>A2C</w:t>
            </w:r>
          </w:p>
        </w:tc>
      </w:tr>
      <w:tr>
        <w:tc>
          <w:tcPr>
            <w:tcW w:type="dxa" w:w="2351"/>
          </w:tcPr>
          <w:p>
            <w:pPr>
              <w:jc w:val="center"/>
            </w:pPr>
            <w:r>
              <w:rPr>
                <w:b w:val="0"/>
                <w:sz w:val="18"/>
              </w:rPr>
              <w:t>F2 mínimo (kg CO₂/año) ↓</w:t>
            </w:r>
          </w:p>
        </w:tc>
        <w:tc>
          <w:tcPr>
            <w:tcW w:type="dxa" w:w="2351"/>
            <w:shd w:val="clear" w:color="auto" w:fill="C8E6C9"/>
          </w:tcPr>
          <w:p>
            <w:pPr>
              <w:jc w:val="center"/>
            </w:pPr>
            <w:r>
              <w:rPr>
                <w:b/>
                <w:sz w:val="18"/>
              </w:rPr>
              <w:t>2,622,735 ✓</w:t>
            </w:r>
          </w:p>
        </w:tc>
        <w:tc>
          <w:tcPr>
            <w:tcW w:type="dxa" w:w="2351"/>
          </w:tcPr>
          <w:p>
            <w:pPr>
              <w:jc w:val="center"/>
            </w:pPr>
            <w:r>
              <w:rPr>
                <w:b w:val="0"/>
                <w:sz w:val="18"/>
              </w:rPr>
              <w:t>2,787,040</w:t>
            </w:r>
          </w:p>
        </w:tc>
        <w:tc>
          <w:tcPr>
            <w:tcW w:type="dxa" w:w="2351"/>
          </w:tcPr>
          <w:p>
            <w:pPr>
              <w:jc w:val="center"/>
            </w:pPr>
            <w:r>
              <w:rPr>
                <w:b w:val="0"/>
                <w:sz w:val="18"/>
              </w:rPr>
              <w:t>2,834,857</w:t>
            </w:r>
          </w:p>
        </w:tc>
      </w:tr>
      <w:tr>
        <w:tc>
          <w:tcPr>
            <w:tcW w:type="dxa" w:w="2351"/>
          </w:tcPr>
          <w:p>
            <w:pPr>
              <w:jc w:val="center"/>
            </w:pPr>
            <w:r>
              <w:rPr>
                <w:b w:val="0"/>
                <w:sz w:val="18"/>
              </w:rPr>
              <w:t>Reducción vs F0 (%) ↑</w:t>
            </w:r>
          </w:p>
        </w:tc>
        <w:tc>
          <w:tcPr>
            <w:tcW w:type="dxa" w:w="2351"/>
            <w:shd w:val="clear" w:color="auto" w:fill="C8E6C9"/>
          </w:tcPr>
          <w:p>
            <w:pPr>
              <w:jc w:val="center"/>
            </w:pPr>
            <w:r>
              <w:rPr>
                <w:b/>
                <w:sz w:val="18"/>
              </w:rPr>
              <w:t>62.8% ✓</w:t>
            </w:r>
          </w:p>
        </w:tc>
        <w:tc>
          <w:tcPr>
            <w:tcW w:type="dxa" w:w="2351"/>
          </w:tcPr>
          <w:p>
            <w:pPr>
              <w:jc w:val="center"/>
            </w:pPr>
            <w:r>
              <w:rPr>
                <w:b w:val="0"/>
                <w:sz w:val="18"/>
              </w:rPr>
              <w:t>60.5%</w:t>
            </w:r>
          </w:p>
        </w:tc>
        <w:tc>
          <w:tcPr>
            <w:tcW w:type="dxa" w:w="2351"/>
          </w:tcPr>
          <w:p>
            <w:pPr>
              <w:jc w:val="center"/>
            </w:pPr>
            <w:r>
              <w:rPr>
                <w:b w:val="0"/>
                <w:sz w:val="18"/>
              </w:rPr>
              <w:t>59.8%</w:t>
            </w:r>
          </w:p>
        </w:tc>
      </w:tr>
      <w:tr>
        <w:tc>
          <w:tcPr>
            <w:tcW w:type="dxa" w:w="2351"/>
          </w:tcPr>
          <w:p>
            <w:pPr>
              <w:jc w:val="center"/>
            </w:pPr>
            <w:r>
              <w:rPr>
                <w:b w:val="0"/>
                <w:sz w:val="18"/>
              </w:rPr>
              <w:t>Reducción vs F1 (%) ↑</w:t>
            </w:r>
          </w:p>
        </w:tc>
        <w:tc>
          <w:tcPr>
            <w:tcW w:type="dxa" w:w="2351"/>
            <w:shd w:val="clear" w:color="auto" w:fill="C8E6C9"/>
          </w:tcPr>
          <w:p>
            <w:pPr>
              <w:jc w:val="center"/>
            </w:pPr>
            <w:r>
              <w:rPr>
                <w:b/>
                <w:sz w:val="18"/>
              </w:rPr>
              <w:t>54.7% ✓</w:t>
            </w:r>
          </w:p>
        </w:tc>
        <w:tc>
          <w:tcPr>
            <w:tcW w:type="dxa" w:w="2351"/>
          </w:tcPr>
          <w:p>
            <w:pPr>
              <w:jc w:val="center"/>
            </w:pPr>
            <w:r>
              <w:rPr>
                <w:b w:val="0"/>
                <w:sz w:val="18"/>
              </w:rPr>
              <w:t>51.9%</w:t>
            </w:r>
          </w:p>
        </w:tc>
        <w:tc>
          <w:tcPr>
            <w:tcW w:type="dxa" w:w="2351"/>
          </w:tcPr>
          <w:p>
            <w:pPr>
              <w:jc w:val="center"/>
            </w:pPr>
            <w:r>
              <w:rPr>
                <w:b w:val="0"/>
                <w:sz w:val="18"/>
              </w:rPr>
              <w:t>51.1%</w:t>
            </w:r>
          </w:p>
        </w:tc>
      </w:tr>
      <w:tr>
        <w:tc>
          <w:tcPr>
            <w:tcW w:type="dxa" w:w="2351"/>
          </w:tcPr>
          <w:p>
            <w:pPr>
              <w:jc w:val="center"/>
            </w:pPr>
            <w:r>
              <w:rPr>
                <w:b w:val="0"/>
                <w:sz w:val="18"/>
              </w:rPr>
              <w:t>Media 50 eps ↓</w:t>
            </w:r>
          </w:p>
        </w:tc>
        <w:tc>
          <w:tcPr>
            <w:tcW w:type="dxa" w:w="2351"/>
            <w:shd w:val="clear" w:color="auto" w:fill="C8E6C9"/>
          </w:tcPr>
          <w:p>
            <w:pPr>
              <w:jc w:val="center"/>
            </w:pPr>
            <w:r>
              <w:rPr>
                <w:b/>
                <w:sz w:val="18"/>
              </w:rPr>
              <w:t>2,668,375 ✓</w:t>
            </w:r>
          </w:p>
        </w:tc>
        <w:tc>
          <w:tcPr>
            <w:tcW w:type="dxa" w:w="2351"/>
          </w:tcPr>
          <w:p>
            <w:pPr>
              <w:jc w:val="center"/>
            </w:pPr>
            <w:r>
              <w:rPr>
                <w:b w:val="0"/>
                <w:sz w:val="18"/>
              </w:rPr>
              <w:t>2,875,569</w:t>
            </w:r>
          </w:p>
        </w:tc>
        <w:tc>
          <w:tcPr>
            <w:tcW w:type="dxa" w:w="2351"/>
          </w:tcPr>
          <w:p>
            <w:pPr>
              <w:jc w:val="center"/>
            </w:pPr>
            <w:r>
              <w:rPr>
                <w:b w:val="0"/>
                <w:sz w:val="18"/>
              </w:rPr>
              <w:t>2,845,012</w:t>
            </w:r>
          </w:p>
        </w:tc>
      </w:tr>
      <w:tr>
        <w:tc>
          <w:tcPr>
            <w:tcW w:type="dxa" w:w="2351"/>
          </w:tcPr>
          <w:p>
            <w:pPr>
              <w:jc w:val="center"/>
            </w:pPr>
            <w:r>
              <w:rPr>
                <w:b w:val="0"/>
                <w:sz w:val="18"/>
              </w:rPr>
              <w:t>Desv. estándar 50 eps ↓</w:t>
            </w:r>
          </w:p>
        </w:tc>
        <w:tc>
          <w:tcPr>
            <w:tcW w:type="dxa" w:w="2351"/>
            <w:shd w:val="clear" w:color="auto" w:fill="C8E6C9"/>
          </w:tcPr>
          <w:p>
            <w:pPr>
              <w:jc w:val="center"/>
            </w:pPr>
            <w:r>
              <w:rPr>
                <w:b/>
                <w:sz w:val="18"/>
              </w:rPr>
              <w:t>89,475 ✓</w:t>
            </w:r>
          </w:p>
        </w:tc>
        <w:tc>
          <w:tcPr>
            <w:tcW w:type="dxa" w:w="2351"/>
          </w:tcPr>
          <w:p>
            <w:pPr>
              <w:jc w:val="center"/>
            </w:pPr>
            <w:r>
              <w:rPr>
                <w:b w:val="0"/>
                <w:sz w:val="18"/>
              </w:rPr>
              <w:t>113,816</w:t>
            </w:r>
          </w:p>
        </w:tc>
        <w:tc>
          <w:tcPr>
            <w:tcW w:type="dxa" w:w="2351"/>
          </w:tcPr>
          <w:p>
            <w:pPr>
              <w:jc w:val="center"/>
            </w:pPr>
            <w:r>
              <w:rPr>
                <w:b w:val="0"/>
                <w:sz w:val="18"/>
              </w:rPr>
              <w:t>12,011</w:t>
            </w:r>
          </w:p>
        </w:tc>
      </w:tr>
      <w:tr>
        <w:tc>
          <w:tcPr>
            <w:tcW w:type="dxa" w:w="2351"/>
          </w:tcPr>
          <w:p>
            <w:pPr>
              <w:jc w:val="center"/>
            </w:pPr>
            <w:r>
              <w:rPr>
                <w:b w:val="0"/>
                <w:sz w:val="18"/>
              </w:rPr>
              <w:t>CV plateau (%) ↓</w:t>
            </w:r>
          </w:p>
        </w:tc>
        <w:tc>
          <w:tcPr>
            <w:tcW w:type="dxa" w:w="2351"/>
            <w:shd w:val="clear" w:color="auto" w:fill="C8E6C9"/>
          </w:tcPr>
          <w:p>
            <w:pPr>
              <w:jc w:val="center"/>
            </w:pPr>
            <w:r>
              <w:rPr>
                <w:b/>
                <w:sz w:val="18"/>
              </w:rPr>
              <w:t>0.058% ✓</w:t>
            </w:r>
          </w:p>
        </w:tc>
        <w:tc>
          <w:tcPr>
            <w:tcW w:type="dxa" w:w="2351"/>
          </w:tcPr>
          <w:p>
            <w:pPr>
              <w:jc w:val="center"/>
            </w:pPr>
            <w:r>
              <w:rPr>
                <w:b w:val="0"/>
                <w:sz w:val="18"/>
              </w:rPr>
              <w:t>0.195%</w:t>
            </w:r>
          </w:p>
        </w:tc>
        <w:tc>
          <w:tcPr>
            <w:tcW w:type="dxa" w:w="2351"/>
          </w:tcPr>
          <w:p>
            <w:pPr>
              <w:jc w:val="center"/>
            </w:pPr>
            <w:r>
              <w:rPr>
                <w:b w:val="0"/>
                <w:sz w:val="18"/>
              </w:rPr>
              <w:t>0.056%*</w:t>
            </w:r>
          </w:p>
        </w:tc>
      </w:tr>
      <w:tr>
        <w:tc>
          <w:tcPr>
            <w:tcW w:type="dxa" w:w="2351"/>
          </w:tcPr>
          <w:p>
            <w:pPr>
              <w:jc w:val="center"/>
            </w:pPr>
            <w:r>
              <w:rPr>
                <w:b w:val="0"/>
                <w:sz w:val="18"/>
              </w:rPr>
              <w:t>Debt violations (ep ópt.)</w:t>
            </w:r>
          </w:p>
        </w:tc>
        <w:tc>
          <w:tcPr>
            <w:tcW w:type="dxa" w:w="2351"/>
            <w:shd w:val="clear" w:color="auto" w:fill="C8E6C9"/>
          </w:tcPr>
          <w:p>
            <w:pPr>
              <w:jc w:val="center"/>
            </w:pPr>
            <w:r>
              <w:rPr>
                <w:b/>
                <w:sz w:val="18"/>
              </w:rPr>
              <w:t>0 ✓</w:t>
            </w:r>
          </w:p>
        </w:tc>
        <w:tc>
          <w:tcPr>
            <w:tcW w:type="dxa" w:w="2351"/>
          </w:tcPr>
          <w:p>
            <w:pPr>
              <w:jc w:val="center"/>
            </w:pPr>
            <w:r>
              <w:rPr>
                <w:b w:val="0"/>
                <w:sz w:val="18"/>
              </w:rPr>
              <w:t>0</w:t>
            </w:r>
          </w:p>
        </w:tc>
        <w:tc>
          <w:tcPr>
            <w:tcW w:type="dxa" w:w="2351"/>
          </w:tcPr>
          <w:p>
            <w:pPr>
              <w:jc w:val="center"/>
            </w:pPr>
            <w:r>
              <w:rPr>
                <w:b w:val="0"/>
                <w:sz w:val="18"/>
              </w:rPr>
              <w:t>217 ✗</w:t>
            </w:r>
          </w:p>
        </w:tc>
      </w:tr>
      <w:tr>
        <w:tc>
          <w:tcPr>
            <w:tcW w:type="dxa" w:w="2351"/>
          </w:tcPr>
          <w:p>
            <w:pPr>
              <w:jc w:val="center"/>
            </w:pPr>
            <w:r>
              <w:rPr>
                <w:b w:val="0"/>
                <w:sz w:val="18"/>
              </w:rPr>
              <w:t>Mann-Whitney vs SAC</w:t>
            </w:r>
          </w:p>
        </w:tc>
        <w:tc>
          <w:tcPr>
            <w:tcW w:type="dxa" w:w="2351"/>
            <w:shd w:val="clear" w:color="auto" w:fill="C8E6C9"/>
          </w:tcPr>
          <w:p>
            <w:pPr>
              <w:jc w:val="center"/>
            </w:pPr>
            <w:r>
              <w:rPr>
                <w:b/>
                <w:sz w:val="18"/>
              </w:rPr>
              <w:t>GANADOR</w:t>
            </w:r>
          </w:p>
        </w:tc>
        <w:tc>
          <w:tcPr>
            <w:tcW w:type="dxa" w:w="2351"/>
          </w:tcPr>
          <w:p>
            <w:pPr>
              <w:jc w:val="center"/>
            </w:pPr>
            <w:r>
              <w:rPr>
                <w:b w:val="0"/>
                <w:sz w:val="18"/>
              </w:rPr>
              <w:t>p=3.6×10⁻¹⁵</w:t>
            </w:r>
          </w:p>
        </w:tc>
        <w:tc>
          <w:tcPr>
            <w:tcW w:type="dxa" w:w="2351"/>
          </w:tcPr>
          <w:p>
            <w:pPr>
              <w:jc w:val="center"/>
            </w:pPr>
            <w:r>
              <w:rPr>
                <w:b w:val="0"/>
                <w:sz w:val="18"/>
              </w:rPr>
              <w:t>p=1.6×10⁻¹⁴</w:t>
            </w:r>
          </w:p>
        </w:tc>
      </w:tr>
      <w:tr>
        <w:tc>
          <w:tcPr>
            <w:tcW w:type="dxa" w:w="2351"/>
          </w:tcPr>
          <w:p>
            <w:pPr>
              <w:jc w:val="center"/>
            </w:pPr>
            <w:r>
              <w:rPr>
                <w:b w:val="0"/>
                <w:sz w:val="18"/>
              </w:rPr>
              <w:t>d de Cohen vs SAC</w:t>
            </w:r>
          </w:p>
        </w:tc>
        <w:tc>
          <w:tcPr>
            <w:tcW w:type="dxa" w:w="2351"/>
            <w:shd w:val="clear" w:color="auto" w:fill="C8E6C9"/>
          </w:tcPr>
          <w:p>
            <w:pPr>
              <w:jc w:val="center"/>
            </w:pPr>
            <w:r>
              <w:rPr>
                <w:b/>
                <w:sz w:val="18"/>
              </w:rPr>
              <w:t>GANADOR</w:t>
            </w:r>
          </w:p>
        </w:tc>
        <w:tc>
          <w:tcPr>
            <w:tcW w:type="dxa" w:w="2351"/>
          </w:tcPr>
          <w:p>
            <w:pPr>
              <w:jc w:val="center"/>
            </w:pPr>
            <w:r>
              <w:rPr>
                <w:b w:val="0"/>
                <w:sz w:val="18"/>
              </w:rPr>
              <w:t>2.43 (gigante)</w:t>
            </w:r>
          </w:p>
        </w:tc>
        <w:tc>
          <w:tcPr>
            <w:tcW w:type="dxa" w:w="2351"/>
          </w:tcPr>
          <w:p>
            <w:pPr>
              <w:jc w:val="center"/>
            </w:pPr>
            <w:r>
              <w:rPr>
                <w:b w:val="0"/>
                <w:sz w:val="18"/>
              </w:rPr>
              <w:t>2.16 (gigante)</w:t>
            </w:r>
          </w:p>
        </w:tc>
      </w:tr>
    </w:tbl>
    <w:p>
      <w:pPr>
        <w:spacing w:after="120"/>
        <w:jc w:val="center"/>
      </w:pPr>
      <w:r>
        <w:rPr>
          <w:i/>
          <w:sz w:val="18"/>
        </w:rPr>
        <w:t>Tabla 4.6.3.6. Criterios de selección del agente RL óptimo para OE3. ★ = seleccionado. * A2C tiene bajo CV en plateau pero su mejor episodio (Ep 3) sugiere que el mínimo no es reproducible en producción. ↓ = menor es mejor. ↑ = mayor es mejor.</w:t>
      </w:r>
    </w:p>
    <w:p>
      <w:pPr>
        <w:spacing w:after="80" w:before="0"/>
        <w:jc w:val="both"/>
      </w:pPr>
      <w:r>
        <w:rPr>
          <w:sz w:val="22"/>
        </w:rPr>
        <w:t>SAC es el agente seleccionado por las siguientes razones técnicas: (1) obtiene el menor F2 absoluto (2,622,735 kg CO₂/año), superando a PPO en 164,305 kg CO₂/año y a A2C en 212,122 kg CO₂/año; (2) su episodio óptimo (Ep 48) ocurre al final del entrenamiento, indicando mejora continua sostenida; (3) no registra violaciones de deuda energética (debt_violations = 0), garantizando que todos los vehículos completan su carga al deadline; (4) el efecto estadístico de su superioridad sobre los otros agentes es GIGANTE (d &gt; 2.0 en ambas comparaciones), descartando que la diferencia sea aleatoria.</w:t>
      </w:r>
    </w:p>
    <w:p>
      <w:pPr>
        <w:pStyle w:val="Heading2"/>
        <w:jc w:val="left"/>
      </w:pPr>
      <w:r>
        <w:t>4.6.3.10. Cuantificación final de la reducción de CO₂ con el agente SAC</w:t>
      </w:r>
    </w:p>
    <w:p>
      <w:pPr>
        <w:spacing w:after="80" w:before="0"/>
        <w:jc w:val="both"/>
      </w:pPr>
      <w:r>
        <w:rPr>
          <w:sz w:val="22"/>
        </w:rPr>
        <w:t>Una vez seleccionado el agente SAC, se cuantifica la contribución total del sistema PVBESSCAR a la reducción de emisiones de CO₂ en Iquitos, descomponiendo el impacto en sus tres niveles de intervención:</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 de reducción</w:t>
            </w:r>
          </w:p>
        </w:tc>
        <w:tc>
          <w:tcPr>
            <w:tcW w:type="dxa" w:w="2351"/>
            <w:shd w:val="clear" w:color="auto" w:fill="D0E4F7"/>
          </w:tcPr>
          <w:p>
            <w:pPr>
              <w:jc w:val="center"/>
            </w:pPr>
            <w:r>
              <w:rPr>
                <w:b/>
                <w:sz w:val="18"/>
              </w:rPr>
              <w:t>kg CO₂/año</w:t>
            </w:r>
          </w:p>
        </w:tc>
        <w:tc>
          <w:tcPr>
            <w:tcW w:type="dxa" w:w="2351"/>
            <w:shd w:val="clear" w:color="auto" w:fill="D0E4F7"/>
          </w:tcPr>
          <w:p>
            <w:pPr>
              <w:jc w:val="center"/>
            </w:pPr>
            <w:r>
              <w:rPr>
                <w:b/>
                <w:sz w:val="18"/>
              </w:rPr>
              <w:t>% sobre F0</w:t>
            </w:r>
          </w:p>
        </w:tc>
        <w:tc>
          <w:tcPr>
            <w:tcW w:type="dxa" w:w="2351"/>
            <w:shd w:val="clear" w:color="auto" w:fill="D0E4F7"/>
          </w:tcPr>
          <w:p>
            <w:pPr>
              <w:jc w:val="center"/>
            </w:pPr>
            <w:r>
              <w:rPr>
                <w:b/>
                <w:sz w:val="18"/>
              </w:rPr>
              <w:t>Mecanismo</w:t>
            </w:r>
          </w:p>
        </w:tc>
      </w:tr>
      <w:tr>
        <w:tc>
          <w:tcPr>
            <w:tcW w:type="dxa" w:w="2351"/>
          </w:tcPr>
          <w:p>
            <w:pPr>
              <w:jc w:val="center"/>
            </w:pPr>
            <w:r>
              <w:rPr>
                <w:b w:val="0"/>
                <w:sz w:val="18"/>
              </w:rPr>
              <w:t>F0 → F1: Solar 4,050 kWp</w:t>
            </w:r>
          </w:p>
        </w:tc>
        <w:tc>
          <w:tcPr>
            <w:tcW w:type="dxa" w:w="2351"/>
          </w:tcPr>
          <w:p>
            <w:pPr>
              <w:jc w:val="center"/>
            </w:pPr>
            <w:r>
              <w:rPr>
                <w:b w:val="0"/>
                <w:sz w:val="18"/>
              </w:rPr>
              <w:t>1,263,361</w:t>
            </w:r>
          </w:p>
        </w:tc>
        <w:tc>
          <w:tcPr>
            <w:tcW w:type="dxa" w:w="2351"/>
          </w:tcPr>
          <w:p>
            <w:pPr>
              <w:jc w:val="center"/>
            </w:pPr>
            <w:r>
              <w:rPr>
                <w:b w:val="0"/>
                <w:sz w:val="18"/>
              </w:rPr>
              <w:t>17.9%</w:t>
            </w:r>
          </w:p>
        </w:tc>
        <w:tc>
          <w:tcPr>
            <w:tcW w:type="dxa" w:w="2351"/>
          </w:tcPr>
          <w:p>
            <w:pPr>
              <w:jc w:val="center"/>
            </w:pPr>
            <w:r>
              <w:rPr>
                <w:b w:val="0"/>
                <w:sz w:val="18"/>
              </w:rPr>
              <w:t>PV desplaza generación diésel (sin RL)</w:t>
            </w:r>
          </w:p>
        </w:tc>
      </w:tr>
      <w:tr>
        <w:tc>
          <w:tcPr>
            <w:tcW w:type="dxa" w:w="2351"/>
          </w:tcPr>
          <w:p>
            <w:pPr>
              <w:jc w:val="center"/>
            </w:pPr>
            <w:r>
              <w:rPr>
                <w:b w:val="0"/>
                <w:sz w:val="18"/>
              </w:rPr>
              <w:t>F1 → F2: CO₂ directo (SAC)</w:t>
            </w:r>
          </w:p>
        </w:tc>
        <w:tc>
          <w:tcPr>
            <w:tcW w:type="dxa" w:w="2351"/>
          </w:tcPr>
          <w:p>
            <w:pPr>
              <w:jc w:val="center"/>
            </w:pPr>
            <w:r>
              <w:rPr>
                <w:b w:val="0"/>
                <w:sz w:val="18"/>
              </w:rPr>
              <w:t>328,736</w:t>
            </w:r>
          </w:p>
        </w:tc>
        <w:tc>
          <w:tcPr>
            <w:tcW w:type="dxa" w:w="2351"/>
          </w:tcPr>
          <w:p>
            <w:pPr>
              <w:jc w:val="center"/>
            </w:pPr>
            <w:r>
              <w:rPr>
                <w:b w:val="0"/>
                <w:sz w:val="18"/>
              </w:rPr>
              <w:t>4.7%</w:t>
            </w:r>
          </w:p>
        </w:tc>
        <w:tc>
          <w:tcPr>
            <w:tcW w:type="dxa" w:w="2351"/>
          </w:tcPr>
          <w:p>
            <w:pPr>
              <w:jc w:val="center"/>
            </w:pPr>
            <w:r>
              <w:rPr>
                <w:b w:val="0"/>
                <w:sz w:val="18"/>
              </w:rPr>
              <w:t>Electrificación EV reemplaza motos/mototaxis ICE; combustible evitado calculado por charger_timeseries</w:t>
            </w:r>
          </w:p>
        </w:tc>
      </w:tr>
      <w:tr>
        <w:tc>
          <w:tcPr>
            <w:tcW w:type="dxa" w:w="2351"/>
          </w:tcPr>
          <w:p>
            <w:pPr>
              <w:jc w:val="center"/>
            </w:pPr>
            <w:r>
              <w:rPr>
                <w:b w:val="0"/>
                <w:sz w:val="18"/>
              </w:rPr>
              <w:t>F1 → F2: CO₂ indirecto (SAC)</w:t>
            </w:r>
          </w:p>
        </w:tc>
        <w:tc>
          <w:tcPr>
            <w:tcW w:type="dxa" w:w="2351"/>
          </w:tcPr>
          <w:p>
            <w:pPr>
              <w:jc w:val="center"/>
            </w:pPr>
            <w:r>
              <w:rPr>
                <w:b w:val="0"/>
                <w:sz w:val="18"/>
              </w:rPr>
              <w:t>3,223,884</w:t>
            </w:r>
          </w:p>
        </w:tc>
        <w:tc>
          <w:tcPr>
            <w:tcW w:type="dxa" w:w="2351"/>
          </w:tcPr>
          <w:p>
            <w:pPr>
              <w:jc w:val="center"/>
            </w:pPr>
            <w:r>
              <w:rPr>
                <w:b w:val="0"/>
                <w:sz w:val="18"/>
              </w:rPr>
              <w:t>45.7%</w:t>
            </w:r>
          </w:p>
        </w:tc>
        <w:tc>
          <w:tcPr>
            <w:tcW w:type="dxa" w:w="2351"/>
          </w:tcPr>
          <w:p>
            <w:pPr>
              <w:jc w:val="center"/>
            </w:pPr>
            <w:r>
              <w:rPr>
                <w:b w:val="0"/>
                <w:sz w:val="18"/>
              </w:rPr>
              <w:t>Agente RL minimiza grid_import × 0.4521 kg/kWh; BESS 875,699 kWh/año descargados</w:t>
            </w:r>
          </w:p>
        </w:tc>
      </w:tr>
      <w:tr>
        <w:tc>
          <w:tcPr>
            <w:tcW w:type="dxa" w:w="2351"/>
            <w:shd w:val="clear" w:color="auto" w:fill="C8E6C9"/>
          </w:tcPr>
          <w:p>
            <w:pPr>
              <w:jc w:val="center"/>
            </w:pPr>
            <w:r>
              <w:rPr>
                <w:b/>
                <w:sz w:val="18"/>
              </w:rPr>
              <w:t>TOTAL F0 → F2 (acumulado)</w:t>
            </w:r>
          </w:p>
        </w:tc>
        <w:tc>
          <w:tcPr>
            <w:tcW w:type="dxa" w:w="2351"/>
            <w:shd w:val="clear" w:color="auto" w:fill="C8E6C9"/>
          </w:tcPr>
          <w:p>
            <w:pPr>
              <w:jc w:val="center"/>
            </w:pPr>
            <w:r>
              <w:rPr>
                <w:b/>
                <w:sz w:val="18"/>
              </w:rPr>
              <w:t>4,431,265</w:t>
            </w:r>
          </w:p>
        </w:tc>
        <w:tc>
          <w:tcPr>
            <w:tcW w:type="dxa" w:w="2351"/>
            <w:shd w:val="clear" w:color="auto" w:fill="C8E6C9"/>
          </w:tcPr>
          <w:p>
            <w:pPr>
              <w:jc w:val="center"/>
            </w:pPr>
            <w:r>
              <w:rPr>
                <w:b/>
                <w:sz w:val="18"/>
              </w:rPr>
              <w:t>62.8%</w:t>
            </w:r>
          </w:p>
        </w:tc>
        <w:tc>
          <w:tcPr>
            <w:tcW w:type="dxa" w:w="2351"/>
            <w:shd w:val="clear" w:color="auto" w:fill="C8E6C9"/>
          </w:tcPr>
          <w:p>
            <w:pPr>
              <w:jc w:val="center"/>
            </w:pPr>
            <w:r>
              <w:rPr>
                <w:b/>
                <w:sz w:val="18"/>
              </w:rPr>
              <w:t>Reducción total confirmada estadísticamente p = 8.882 × 10⁻¹⁶</w:t>
            </w:r>
          </w:p>
        </w:tc>
      </w:tr>
    </w:tbl>
    <w:p>
      <w:pPr>
        <w:spacing w:after="120"/>
        <w:jc w:val="center"/>
      </w:pPr>
      <w:r>
        <w:rPr>
          <w:i/>
          <w:sz w:val="18"/>
        </w:rPr>
        <w:t>Tabla 4.6.3.7. Cuantificación de la reducción de CO₂ por componente con el agente SAC (episodio óptimo Ep 48). Factor emisión red Iquitos = 0.4521 kg CO₂/kWh (MINEM Perú). CO₂ total evitado = 4,431,265 kg CO₂/año ≡ 203,549 árboles ≡ 2,216 autos retirados de circulación.</w:t>
      </w:r>
    </w:p>
    <w:p>
      <w:pPr>
        <w:spacing w:after="80" w:before="0"/>
        <w:jc w:val="both"/>
      </w:pPr>
      <w:r>
        <w:rPr>
          <w:sz w:val="22"/>
        </w:rPr>
        <w:t>El sistema PVBESSCAR gestionado por el agente SAC evita un total de 4,431,265 kg CO₂/año respecto al escenario sin proyecto (reducción del 62.8%). De esta reducción, 328,736 kg CO₂/año corresponden a la electrificación vehicular (reducción directa de Scope 1) y 3,223,884 kg CO₂/año a la optimización del despacho solar+BESS por el agente RL (reducción indirecta de Scope 2). En términos de equivalencias medioambientales, esto representa la absorción anual de 203,549 árboles maduros o el retiro de 2,216 automóviles de gasolina de la circulación.</w:t>
      </w:r>
    </w:p>
    <w:p>
      <w:pPr>
        <w:pStyle w:val="Heading2"/>
        <w:jc w:val="left"/>
      </w:pPr>
      <w:r>
        <w:t>4.6.3.11. Conclusiones del procedimiento OE3</w:t>
      </w:r>
    </w:p>
    <w:p>
      <w:pPr>
        <w:pStyle w:val="ListBullet"/>
        <w:spacing w:after="60"/>
      </w:pPr>
      <w:r>
        <w:rPr>
          <w:b/>
          <w:sz w:val="22"/>
        </w:rPr>
        <w:t>C1. El agente SAC (Soft Actor-Critic) es el agente de inteligencia artificial seleccionado para la infraestructura de carga inteligente EV de Iquitos, obteniendo F2 = 2,622,735 kg CO₂/año en su episodio óptimo (Ep 48/50), con debt_violations = 0 y CV plateau = 0.058%.</w:t>
      </w:r>
      <w:r>
        <w:rPr>
          <w:sz w:val="22"/>
        </w:rPr>
      </w:r>
    </w:p>
    <w:p>
      <w:pPr>
        <w:pStyle w:val="ListBullet"/>
        <w:spacing w:after="60"/>
      </w:pPr>
      <w:r>
        <w:rPr>
          <w:b/>
          <w:sz w:val="22"/>
        </w:rPr>
        <w:t xml:space="preserve">C2. </w:t>
      </w:r>
      <w:r>
        <w:rPr>
          <w:sz w:val="22"/>
        </w:rPr>
        <w:t>La reducción de CO₂ cuantificable del agente SAC es de 4,431,265 kg CO₂/año (62.8% vs F0 sin proyecto), validada estadísticamente mediante Wilcoxon signed-rank (p = 8.882 × 10⁻¹⁶) con efecto GIGANTE (Cohen d = 49.23).</w:t>
      </w:r>
    </w:p>
    <w:p>
      <w:pPr>
        <w:pStyle w:val="ListBullet"/>
        <w:spacing w:after="60"/>
      </w:pPr>
      <w:r>
        <w:rPr>
          <w:b/>
          <w:sz w:val="22"/>
        </w:rPr>
        <w:t xml:space="preserve">C3. </w:t>
      </w:r>
      <w:r>
        <w:rPr>
          <w:sz w:val="22"/>
        </w:rPr>
        <w:t>La superioridad de SAC sobre PPO y A2C es estadísticamente significativa (Kruskal-Wallis H = 81.65, p = 1.86 × 10⁻¹⁸; Mann-Whitney SAC&lt;PPO p = 3.636 × 10⁻¹⁵, d = 2.43; Mann-Whitney SAC&lt;A2C p = 1.641 × 10⁻¹⁴, d = 2.16), descartando resultados fortuitos.</w:t>
      </w:r>
    </w:p>
    <w:p>
      <w:pPr>
        <w:pStyle w:val="ListBullet"/>
        <w:spacing w:after="60"/>
      </w:pPr>
      <w:r>
        <w:rPr>
          <w:b/>
          <w:sz w:val="22"/>
        </w:rPr>
        <w:t xml:space="preserve">C4. </w:t>
      </w:r>
      <w:r>
        <w:rPr>
          <w:sz w:val="22"/>
        </w:rPr>
        <w:t>Las fórmulas de cuantificación CO₂ implementadas en co2_formulas.py (Fórmulas F0, F1, F2) son consistentes con el GHG Protocol Corporate Standard e ISO 14064-1, garantizando la trazabilidad y auditabilidad de la reducción reportada.</w:t>
      </w:r>
    </w:p>
    <w:p>
      <w:pPr>
        <w:pStyle w:val="ListBullet"/>
        <w:spacing w:after="60"/>
      </w:pPr>
      <w:r>
        <w:rPr>
          <w:b/>
          <w:sz w:val="22"/>
        </w:rPr>
        <w:t xml:space="preserve">C5. </w:t>
      </w:r>
      <w:r>
        <w:rPr>
          <w:sz w:val="22"/>
        </w:rPr>
        <w:t>El procedimiento OE3 confirma la hipótesis específica H.E.3: la selección del agente SAC contribuye de manera cuantificable a la reducción de emisiones de CO₂ en Iquitos, constituyendo evidencia empírica robusta para fundamentar la decisión de implementación de la infraestructura de carga inteligente PVBESSCAR.</w:t>
      </w:r>
    </w:p>
    <w:p>
      <w:r>
        <w:br w:type="page"/>
      </w:r>
    </w:p>
    <w:p>
      <w:pPr>
        <w:pStyle w:val="Heading1"/>
        <w:jc w:val="left"/>
      </w:pPr>
      <w:r>
        <w:t>5.1. Resultados descriptivos del dimensionamiento del sistema PVBESSCAR (OE2)</w:t>
      </w:r>
    </w:p>
    <w:p>
      <w:pPr>
        <w:spacing w:after="80" w:before="0"/>
        <w:jc w:val="both"/>
      </w:pPr>
      <w:r>
        <w:rPr>
          <w:b w:val="0"/>
          <w:i w:val="0"/>
          <w:sz w:val="22"/>
        </w:rPr>
        <w:t>El Objetivo Específico 2 (OE2) del proyecto PVBESSCAR comprende el dimensionamiento integral de la infraestructura de generación solar fotovoltaica (FV), almacenamiento en baterías (BESS) y cargadores de vehículos eléctricos (EV) para el mall de Iquitos, conforme a las especificaciones técnicas del año 2024. Los resultados de OE2 constituyen los artefactos de datos de entrada para el entorno CityLearn v2 utilizado en OE3: la serie temporal de generación solar de 8,760 horas (pv_generation_timeseries.csv), los perfiles de demanda EV horaria (chargers_ev_ano_2024_v3.csv) y la configuración del BESS (bess_ano_2024.csv). Los siguientes subapartados presentan los resultados descriptivos del dimensionamiento de cada subsistema.</w:t>
      </w:r>
    </w:p>
    <w:p>
      <w:pPr>
        <w:pStyle w:val="Heading2"/>
        <w:jc w:val="left"/>
      </w:pPr>
      <w:r>
        <w:t>5.1.2. Resultados descriptivos del dimensionamiento de la capacidad de generación solar</w:t>
      </w:r>
    </w:p>
    <w:p>
      <w:pPr>
        <w:spacing w:after="80" w:before="0"/>
        <w:jc w:val="both"/>
      </w:pPr>
      <w:r>
        <w:rPr>
          <w:b/>
          <w:sz w:val="22"/>
        </w:rPr>
        <w:t>5.1.2.1. Especificaciones técnicas del sistema fotovoltaico</w:t>
      </w:r>
      <w:r>
        <w:t xml:space="preserve"> </w:t>
      </w:r>
      <w:r>
        <w:rPr>
          <w:sz w:val="22"/>
        </w:rPr>
      </w:r>
    </w:p>
    <w:p>
      <w:pPr>
        <w:spacing w:after="80" w:before="0"/>
        <w:jc w:val="both"/>
      </w:pPr>
      <w:r>
        <w:rPr>
          <w:sz w:val="22"/>
        </w:rPr>
        <w:t>El sistema fotovoltaico fue dimensionado para cubrir la demanda base del mall (12,368,653 kWh/año) más la demanda de recarga EV (408,282 kWh/año), aprovechando el excelente recurso solar de Iquitos (irradiancia global horizontal promedio de 189.49 W/m²). El dimensionamiento utilizó la herramienta pvlib (National Renewable Energy Laboratory) con datos TMY (Typical Meteorological Year) del repositorio PVGIS de la Comisión Europea — resolución horaria, año 2024, coordenadas -3.75°S, -73.25°O, altitud 104 msnm.</w:t>
      </w:r>
    </w:p>
    <w:p/>
    <w:tbl>
      <w:tblPr>
        <w:tblStyle w:val="TableGrid"/>
        <w:tblW w:type="auto" w:w="0"/>
        <w:tblLook w:firstColumn="1" w:firstRow="1" w:lastColumn="0" w:lastRow="0" w:noHBand="0" w:noVBand="1" w:val="04A0"/>
      </w:tblPr>
      <w:tblGrid>
        <w:gridCol w:w="4703"/>
        <w:gridCol w:w="4703"/>
      </w:tblGrid>
      <w:tr>
        <w:tc>
          <w:tcPr>
            <w:tcW w:type="dxa" w:w="4703"/>
            <w:shd w:val="clear" w:color="auto" w:fill="D0E4F7"/>
          </w:tcPr>
          <w:p>
            <w:pPr>
              <w:jc w:val="center"/>
            </w:pPr>
            <w:r>
              <w:rPr>
                <w:b/>
                <w:sz w:val="18"/>
              </w:rPr>
              <w:t>Parámetro de diseño</w:t>
            </w:r>
          </w:p>
        </w:tc>
        <w:tc>
          <w:tcPr>
            <w:tcW w:type="dxa" w:w="4703"/>
            <w:shd w:val="clear" w:color="auto" w:fill="D0E4F7"/>
          </w:tcPr>
          <w:p>
            <w:pPr>
              <w:jc w:val="center"/>
            </w:pPr>
            <w:r>
              <w:rPr>
                <w:b/>
                <w:sz w:val="18"/>
              </w:rPr>
              <w:t>Valor</w:t>
            </w:r>
          </w:p>
        </w:tc>
      </w:tr>
      <w:tr>
        <w:tc>
          <w:tcPr>
            <w:tcW w:type="dxa" w:w="4703"/>
          </w:tcPr>
          <w:p>
            <w:pPr>
              <w:jc w:val="center"/>
            </w:pPr>
            <w:r>
              <w:rPr>
                <w:b w:val="0"/>
                <w:sz w:val="18"/>
              </w:rPr>
              <w:t>Potencia instalada pico (Wp)</w:t>
            </w:r>
          </w:p>
        </w:tc>
        <w:tc>
          <w:tcPr>
            <w:tcW w:type="dxa" w:w="4703"/>
          </w:tcPr>
          <w:p>
            <w:pPr>
              <w:jc w:val="center"/>
            </w:pPr>
            <w:r>
              <w:rPr>
                <w:b w:val="0"/>
                <w:sz w:val="18"/>
              </w:rPr>
              <w:t>4,050 kWp</w:t>
            </w:r>
          </w:p>
        </w:tc>
      </w:tr>
      <w:tr>
        <w:tc>
          <w:tcPr>
            <w:tcW w:type="dxa" w:w="4703"/>
          </w:tcPr>
          <w:p>
            <w:pPr>
              <w:jc w:val="center"/>
            </w:pPr>
            <w:r>
              <w:rPr>
                <w:b w:val="0"/>
                <w:sz w:val="18"/>
              </w:rPr>
              <w:t>Área total de paneles</w:t>
            </w:r>
          </w:p>
        </w:tc>
        <w:tc>
          <w:tcPr>
            <w:tcW w:type="dxa" w:w="4703"/>
          </w:tcPr>
          <w:p>
            <w:pPr>
              <w:jc w:val="center"/>
            </w:pPr>
            <w:r>
              <w:rPr>
                <w:b w:val="0"/>
                <w:sz w:val="18"/>
              </w:rPr>
              <w:t>20,637 m²</w:t>
            </w:r>
          </w:p>
        </w:tc>
      </w:tr>
      <w:tr>
        <w:tc>
          <w:tcPr>
            <w:tcW w:type="dxa" w:w="4703"/>
          </w:tcPr>
          <w:p>
            <w:pPr>
              <w:jc w:val="center"/>
            </w:pPr>
            <w:r>
              <w:rPr>
                <w:b w:val="0"/>
                <w:sz w:val="18"/>
              </w:rPr>
              <w:t>Módulo fotovoltaico</w:t>
            </w:r>
          </w:p>
        </w:tc>
        <w:tc>
          <w:tcPr>
            <w:tcW w:type="dxa" w:w="4703"/>
          </w:tcPr>
          <w:p>
            <w:pPr>
              <w:jc w:val="center"/>
            </w:pPr>
            <w:r>
              <w:rPr>
                <w:b w:val="0"/>
                <w:sz w:val="18"/>
              </w:rPr>
              <w:t>Kyocera Solar KS20 (20.2 W, η=22.5%)</w:t>
            </w:r>
          </w:p>
        </w:tc>
      </w:tr>
      <w:tr>
        <w:tc>
          <w:tcPr>
            <w:tcW w:type="dxa" w:w="4703"/>
          </w:tcPr>
          <w:p>
            <w:pPr>
              <w:jc w:val="center"/>
            </w:pPr>
            <w:r>
              <w:rPr>
                <w:b w:val="0"/>
                <w:sz w:val="18"/>
              </w:rPr>
              <w:t>Inversor</w:t>
            </w:r>
          </w:p>
        </w:tc>
        <w:tc>
          <w:tcPr>
            <w:tcW w:type="dxa" w:w="4703"/>
          </w:tcPr>
          <w:p>
            <w:pPr>
              <w:jc w:val="center"/>
            </w:pPr>
            <w:r>
              <w:rPr>
                <w:b w:val="0"/>
                <w:sz w:val="18"/>
              </w:rPr>
              <w:t>Eaton Xpert 1670 (3,201.2 kW AC nominal)</w:t>
            </w:r>
          </w:p>
        </w:tc>
      </w:tr>
      <w:tr>
        <w:tc>
          <w:tcPr>
            <w:tcW w:type="dxa" w:w="4703"/>
          </w:tcPr>
          <w:p>
            <w:pPr>
              <w:jc w:val="center"/>
            </w:pPr>
            <w:r>
              <w:rPr>
                <w:b w:val="0"/>
                <w:sz w:val="18"/>
              </w:rPr>
              <w:t>Inclinación de array (tilt)</w:t>
            </w:r>
          </w:p>
        </w:tc>
        <w:tc>
          <w:tcPr>
            <w:tcW w:type="dxa" w:w="4703"/>
          </w:tcPr>
          <w:p>
            <w:pPr>
              <w:jc w:val="center"/>
            </w:pPr>
            <w:r>
              <w:rPr>
                <w:b w:val="0"/>
                <w:sz w:val="18"/>
              </w:rPr>
              <w:t>10° (orientación Norte, azimut 0°)</w:t>
            </w:r>
          </w:p>
        </w:tc>
      </w:tr>
      <w:tr>
        <w:tc>
          <w:tcPr>
            <w:tcW w:type="dxa" w:w="4703"/>
          </w:tcPr>
          <w:p>
            <w:pPr>
              <w:jc w:val="center"/>
            </w:pPr>
            <w:r>
              <w:rPr>
                <w:b w:val="0"/>
                <w:sz w:val="18"/>
              </w:rPr>
              <w:t>Ubicación</w:t>
            </w:r>
          </w:p>
        </w:tc>
        <w:tc>
          <w:tcPr>
            <w:tcW w:type="dxa" w:w="4703"/>
          </w:tcPr>
          <w:p>
            <w:pPr>
              <w:jc w:val="center"/>
            </w:pPr>
            <w:r>
              <w:rPr>
                <w:b w:val="0"/>
                <w:sz w:val="18"/>
              </w:rPr>
              <w:t>Iquitos, Loreto — -3.75°S, -73.25°O, 104 msnm</w:t>
            </w:r>
          </w:p>
        </w:tc>
      </w:tr>
      <w:tr>
        <w:tc>
          <w:tcPr>
            <w:tcW w:type="dxa" w:w="4703"/>
          </w:tcPr>
          <w:p>
            <w:pPr>
              <w:jc w:val="center"/>
            </w:pPr>
            <w:r>
              <w:rPr>
                <w:b w:val="0"/>
                <w:sz w:val="18"/>
              </w:rPr>
              <w:t>Factor de diseño (eficiencia sistema)</w:t>
            </w:r>
          </w:p>
        </w:tc>
        <w:tc>
          <w:tcPr>
            <w:tcW w:type="dxa" w:w="4703"/>
          </w:tcPr>
          <w:p>
            <w:pPr>
              <w:jc w:val="center"/>
            </w:pPr>
            <w:r>
              <w:rPr>
                <w:b w:val="0"/>
                <w:sz w:val="18"/>
              </w:rPr>
              <w:t>0.70 (incluye pérdidas cableado, temperatura, suciedad)</w:t>
            </w:r>
          </w:p>
        </w:tc>
      </w:tr>
      <w:tr>
        <w:tc>
          <w:tcPr>
            <w:tcW w:type="dxa" w:w="4703"/>
          </w:tcPr>
          <w:p>
            <w:pPr>
              <w:jc w:val="center"/>
            </w:pPr>
            <w:r>
              <w:rPr>
                <w:b w:val="0"/>
                <w:sz w:val="18"/>
              </w:rPr>
              <w:t>Norma aplicada</w:t>
            </w:r>
          </w:p>
        </w:tc>
        <w:tc>
          <w:tcPr>
            <w:tcW w:type="dxa" w:w="4703"/>
          </w:tcPr>
          <w:p>
            <w:pPr>
              <w:jc w:val="center"/>
            </w:pPr>
            <w:r>
              <w:rPr>
                <w:b w:val="0"/>
                <w:sz w:val="18"/>
              </w:rPr>
              <w:t>IEC 61215, IEC 61730 (módulos); IEC 62109 (inversores)</w:t>
            </w:r>
          </w:p>
        </w:tc>
      </w:tr>
      <w:tr>
        <w:tc>
          <w:tcPr>
            <w:tcW w:type="dxa" w:w="4703"/>
          </w:tcPr>
          <w:p>
            <w:pPr>
              <w:jc w:val="center"/>
            </w:pPr>
            <w:r>
              <w:rPr>
                <w:b w:val="0"/>
                <w:sz w:val="18"/>
              </w:rPr>
              <w:t>Fuente de datos meteorológicos</w:t>
            </w:r>
          </w:p>
        </w:tc>
        <w:tc>
          <w:tcPr>
            <w:tcW w:type="dxa" w:w="4703"/>
          </w:tcPr>
          <w:p>
            <w:pPr>
              <w:jc w:val="center"/>
            </w:pPr>
            <w:r>
              <w:rPr>
                <w:b w:val="0"/>
                <w:sz w:val="18"/>
              </w:rPr>
              <w:t>PVGIS TMY — Comisión Europea JRC (2024)</w:t>
            </w:r>
          </w:p>
        </w:tc>
      </w:tr>
      <w:tr>
        <w:tc>
          <w:tcPr>
            <w:tcW w:type="dxa" w:w="4703"/>
          </w:tcPr>
          <w:p>
            <w:pPr>
              <w:jc w:val="center"/>
            </w:pPr>
            <w:r>
              <w:rPr>
                <w:b w:val="0"/>
                <w:sz w:val="18"/>
              </w:rPr>
              <w:t>Resolución temporal simulación</w:t>
            </w:r>
          </w:p>
        </w:tc>
        <w:tc>
          <w:tcPr>
            <w:tcW w:type="dxa" w:w="4703"/>
          </w:tcPr>
          <w:p>
            <w:pPr>
              <w:jc w:val="center"/>
            </w:pPr>
            <w:r>
              <w:rPr>
                <w:b w:val="0"/>
                <w:sz w:val="18"/>
              </w:rPr>
              <w:t>Horaria (1 h) — 8,760 pasos / año</w:t>
            </w:r>
          </w:p>
        </w:tc>
      </w:tr>
    </w:tbl>
    <w:p>
      <w:pPr>
        <w:spacing w:after="120"/>
        <w:jc w:val="center"/>
      </w:pPr>
      <w:r>
        <w:rPr>
          <w:i/>
          <w:sz w:val="18"/>
        </w:rPr>
        <w:t>Tabla 5.1.2.1. Especificaciones técnicas del sistema fotovoltaico 4,050 kWp. Fuente: src/dimensionamiento/oe2/generacionsolar/disenopvlib/solar_pvlib.py</w:t>
      </w:r>
    </w:p>
    <w:p>
      <w:pPr>
        <w:spacing w:after="80" w:before="0"/>
        <w:jc w:val="both"/>
      </w:pPr>
      <w:r>
        <w:rPr>
          <w:b/>
          <w:sz w:val="22"/>
        </w:rPr>
        <w:t>5.1.2.2. Resultados de generación anual</w:t>
      </w:r>
      <w:r>
        <w:t xml:space="preserve"> </w:t>
      </w:r>
      <w:r>
        <w:rPr>
          <w:sz w:val="22"/>
        </w:rPr>
      </w:r>
    </w:p>
    <w:p>
      <w:pPr>
        <w:spacing w:after="80" w:before="0"/>
        <w:jc w:val="both"/>
      </w:pPr>
      <w:r>
        <w:rPr>
          <w:sz w:val="22"/>
        </w:rPr>
        <w:t>La simulación pvlib con datos PVGIS 2024 arroja una generación anual de 8,292,514 kWh/año (8.29 GWh/año). La generación media diaria es de 22,719 kWh/día, con una potencia AC máxima instantánea de 2,886.69 kW (alcanzada en los meses de mayor irradiancia: julio–octubre). El sistema opera activamente en 4,259 horas al año (de 8,760 totales), con un factor de planta (capacity factor) de 23.37%.</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Mes</w:t>
            </w:r>
          </w:p>
        </w:tc>
        <w:tc>
          <w:tcPr>
            <w:tcW w:type="dxa" w:w="1881"/>
            <w:shd w:val="clear" w:color="auto" w:fill="D0E4F7"/>
          </w:tcPr>
          <w:p>
            <w:pPr>
              <w:jc w:val="center"/>
            </w:pPr>
            <w:r>
              <w:rPr>
                <w:b/>
                <w:sz w:val="18"/>
              </w:rPr>
              <w:t>PV generado (kWh)</w:t>
            </w:r>
          </w:p>
        </w:tc>
        <w:tc>
          <w:tcPr>
            <w:tcW w:type="dxa" w:w="1881"/>
            <w:shd w:val="clear" w:color="auto" w:fill="D0E4F7"/>
          </w:tcPr>
          <w:p>
            <w:pPr>
              <w:jc w:val="center"/>
            </w:pPr>
            <w:r>
              <w:rPr>
                <w:b/>
                <w:sz w:val="18"/>
              </w:rPr>
              <w:t>Demanda EV (kWh)</w:t>
            </w:r>
          </w:p>
        </w:tc>
        <w:tc>
          <w:tcPr>
            <w:tcW w:type="dxa" w:w="1881"/>
            <w:shd w:val="clear" w:color="auto" w:fill="D0E4F7"/>
          </w:tcPr>
          <w:p>
            <w:pPr>
              <w:jc w:val="center"/>
            </w:pPr>
            <w:r>
              <w:rPr>
                <w:b/>
                <w:sz w:val="18"/>
              </w:rPr>
              <w:t>Grid import (kWh)</w:t>
            </w:r>
          </w:p>
        </w:tc>
        <w:tc>
          <w:tcPr>
            <w:tcW w:type="dxa" w:w="1881"/>
            <w:shd w:val="clear" w:color="auto" w:fill="D0E4F7"/>
          </w:tcPr>
          <w:p>
            <w:pPr>
              <w:jc w:val="center"/>
            </w:pPr>
            <w:r>
              <w:rPr>
                <w:b/>
                <w:sz w:val="18"/>
              </w:rPr>
              <w:t>BESS acción (kWh)</w:t>
            </w:r>
          </w:p>
        </w:tc>
      </w:tr>
      <w:tr>
        <w:tc>
          <w:tcPr>
            <w:tcW w:type="dxa" w:w="1881"/>
          </w:tcPr>
          <w:p>
            <w:pPr>
              <w:jc w:val="center"/>
            </w:pPr>
            <w:r>
              <w:rPr>
                <w:b w:val="0"/>
                <w:sz w:val="18"/>
              </w:rPr>
              <w:t>Enero</w:t>
            </w:r>
          </w:p>
        </w:tc>
        <w:tc>
          <w:tcPr>
            <w:tcW w:type="dxa" w:w="1881"/>
          </w:tcPr>
          <w:p>
            <w:pPr>
              <w:jc w:val="center"/>
            </w:pPr>
            <w:r>
              <w:rPr>
                <w:b w:val="0"/>
                <w:sz w:val="18"/>
              </w:rPr>
              <w:t>676,769</w:t>
            </w:r>
          </w:p>
        </w:tc>
        <w:tc>
          <w:tcPr>
            <w:tcW w:type="dxa" w:w="1881"/>
          </w:tcPr>
          <w:p>
            <w:pPr>
              <w:jc w:val="center"/>
            </w:pPr>
            <w:r>
              <w:rPr>
                <w:b w:val="0"/>
                <w:sz w:val="18"/>
              </w:rPr>
              <w:t>34,777</w:t>
            </w:r>
          </w:p>
        </w:tc>
        <w:tc>
          <w:tcPr>
            <w:tcW w:type="dxa" w:w="1881"/>
          </w:tcPr>
          <w:p>
            <w:pPr>
              <w:jc w:val="center"/>
            </w:pPr>
            <w:r>
              <w:rPr>
                <w:b w:val="0"/>
                <w:sz w:val="18"/>
              </w:rPr>
              <w:t>571,276</w:t>
            </w:r>
          </w:p>
        </w:tc>
        <w:tc>
          <w:tcPr>
            <w:tcW w:type="dxa" w:w="1881"/>
          </w:tcPr>
          <w:p>
            <w:pPr>
              <w:jc w:val="center"/>
            </w:pPr>
            <w:r>
              <w:rPr>
                <w:b w:val="0"/>
                <w:sz w:val="18"/>
              </w:rPr>
              <w:t>104,540</w:t>
            </w:r>
          </w:p>
        </w:tc>
      </w:tr>
      <w:tr>
        <w:tc>
          <w:tcPr>
            <w:tcW w:type="dxa" w:w="1881"/>
          </w:tcPr>
          <w:p>
            <w:pPr>
              <w:jc w:val="center"/>
            </w:pPr>
            <w:r>
              <w:rPr>
                <w:b w:val="0"/>
                <w:sz w:val="18"/>
              </w:rPr>
              <w:t>Febrero</w:t>
            </w:r>
          </w:p>
        </w:tc>
        <w:tc>
          <w:tcPr>
            <w:tcW w:type="dxa" w:w="1881"/>
          </w:tcPr>
          <w:p>
            <w:pPr>
              <w:jc w:val="center"/>
            </w:pPr>
            <w:r>
              <w:rPr>
                <w:b w:val="0"/>
                <w:sz w:val="18"/>
              </w:rPr>
              <w:t>590,946</w:t>
            </w:r>
          </w:p>
        </w:tc>
        <w:tc>
          <w:tcPr>
            <w:tcW w:type="dxa" w:w="1881"/>
          </w:tcPr>
          <w:p>
            <w:pPr>
              <w:jc w:val="center"/>
            </w:pPr>
            <w:r>
              <w:rPr>
                <w:b w:val="0"/>
                <w:sz w:val="18"/>
              </w:rPr>
              <w:t>32,653</w:t>
            </w:r>
          </w:p>
        </w:tc>
        <w:tc>
          <w:tcPr>
            <w:tcW w:type="dxa" w:w="1881"/>
          </w:tcPr>
          <w:p>
            <w:pPr>
              <w:jc w:val="center"/>
            </w:pPr>
            <w:r>
              <w:rPr>
                <w:b w:val="0"/>
                <w:sz w:val="18"/>
              </w:rPr>
              <w:t>575,307</w:t>
            </w:r>
          </w:p>
        </w:tc>
        <w:tc>
          <w:tcPr>
            <w:tcW w:type="dxa" w:w="1881"/>
          </w:tcPr>
          <w:p>
            <w:pPr>
              <w:jc w:val="center"/>
            </w:pPr>
            <w:r>
              <w:rPr>
                <w:b w:val="0"/>
                <w:sz w:val="18"/>
              </w:rPr>
              <w:t>98,128</w:t>
            </w:r>
          </w:p>
        </w:tc>
      </w:tr>
      <w:tr>
        <w:tc>
          <w:tcPr>
            <w:tcW w:type="dxa" w:w="1881"/>
          </w:tcPr>
          <w:p>
            <w:pPr>
              <w:jc w:val="center"/>
            </w:pPr>
            <w:r>
              <w:rPr>
                <w:b w:val="0"/>
                <w:sz w:val="18"/>
              </w:rPr>
              <w:t>Marzo</w:t>
            </w:r>
          </w:p>
        </w:tc>
        <w:tc>
          <w:tcPr>
            <w:tcW w:type="dxa" w:w="1881"/>
          </w:tcPr>
          <w:p>
            <w:pPr>
              <w:jc w:val="center"/>
            </w:pPr>
            <w:r>
              <w:rPr>
                <w:b w:val="0"/>
                <w:sz w:val="18"/>
              </w:rPr>
              <w:t>717,204</w:t>
            </w:r>
          </w:p>
        </w:tc>
        <w:tc>
          <w:tcPr>
            <w:tcW w:type="dxa" w:w="1881"/>
          </w:tcPr>
          <w:p>
            <w:pPr>
              <w:jc w:val="center"/>
            </w:pPr>
            <w:r>
              <w:rPr>
                <w:b w:val="0"/>
                <w:sz w:val="18"/>
              </w:rPr>
              <w:t>34,511</w:t>
            </w:r>
          </w:p>
        </w:tc>
        <w:tc>
          <w:tcPr>
            <w:tcW w:type="dxa" w:w="1881"/>
          </w:tcPr>
          <w:p>
            <w:pPr>
              <w:jc w:val="center"/>
            </w:pPr>
            <w:r>
              <w:rPr>
                <w:b w:val="0"/>
                <w:sz w:val="18"/>
              </w:rPr>
              <w:t>520,725</w:t>
            </w:r>
          </w:p>
        </w:tc>
        <w:tc>
          <w:tcPr>
            <w:tcW w:type="dxa" w:w="1881"/>
          </w:tcPr>
          <w:p>
            <w:pPr>
              <w:jc w:val="center"/>
            </w:pPr>
            <w:r>
              <w:rPr>
                <w:b w:val="0"/>
                <w:sz w:val="18"/>
              </w:rPr>
              <w:t>91,245</w:t>
            </w:r>
          </w:p>
        </w:tc>
      </w:tr>
      <w:tr>
        <w:tc>
          <w:tcPr>
            <w:tcW w:type="dxa" w:w="1881"/>
          </w:tcPr>
          <w:p>
            <w:pPr>
              <w:jc w:val="center"/>
            </w:pPr>
            <w:r>
              <w:rPr>
                <w:b w:val="0"/>
                <w:sz w:val="18"/>
              </w:rPr>
              <w:t>Abril</w:t>
            </w:r>
          </w:p>
        </w:tc>
        <w:tc>
          <w:tcPr>
            <w:tcW w:type="dxa" w:w="1881"/>
          </w:tcPr>
          <w:p>
            <w:pPr>
              <w:jc w:val="center"/>
            </w:pPr>
            <w:r>
              <w:rPr>
                <w:b w:val="0"/>
                <w:sz w:val="18"/>
              </w:rPr>
              <w:t>668,941</w:t>
            </w:r>
          </w:p>
        </w:tc>
        <w:tc>
          <w:tcPr>
            <w:tcW w:type="dxa" w:w="1881"/>
          </w:tcPr>
          <w:p>
            <w:pPr>
              <w:jc w:val="center"/>
            </w:pPr>
            <w:r>
              <w:rPr>
                <w:b w:val="0"/>
                <w:sz w:val="18"/>
              </w:rPr>
              <w:t>33,791</w:t>
            </w:r>
          </w:p>
        </w:tc>
        <w:tc>
          <w:tcPr>
            <w:tcW w:type="dxa" w:w="1881"/>
          </w:tcPr>
          <w:p>
            <w:pPr>
              <w:jc w:val="center"/>
            </w:pPr>
            <w:r>
              <w:rPr>
                <w:b w:val="0"/>
                <w:sz w:val="18"/>
              </w:rPr>
              <w:t>523,754</w:t>
            </w:r>
          </w:p>
        </w:tc>
        <w:tc>
          <w:tcPr>
            <w:tcW w:type="dxa" w:w="1881"/>
          </w:tcPr>
          <w:p>
            <w:pPr>
              <w:jc w:val="center"/>
            </w:pPr>
            <w:r>
              <w:rPr>
                <w:b w:val="0"/>
                <w:sz w:val="18"/>
              </w:rPr>
              <w:t>98,844</w:t>
            </w:r>
          </w:p>
        </w:tc>
      </w:tr>
      <w:tr>
        <w:tc>
          <w:tcPr>
            <w:tcW w:type="dxa" w:w="1881"/>
          </w:tcPr>
          <w:p>
            <w:pPr>
              <w:jc w:val="center"/>
            </w:pPr>
            <w:r>
              <w:rPr>
                <w:b w:val="0"/>
                <w:sz w:val="18"/>
              </w:rPr>
              <w:t>Mayo</w:t>
            </w:r>
          </w:p>
        </w:tc>
        <w:tc>
          <w:tcPr>
            <w:tcW w:type="dxa" w:w="1881"/>
          </w:tcPr>
          <w:p>
            <w:pPr>
              <w:jc w:val="center"/>
            </w:pPr>
            <w:r>
              <w:rPr>
                <w:b w:val="0"/>
                <w:sz w:val="18"/>
              </w:rPr>
              <w:t>697,094</w:t>
            </w:r>
          </w:p>
        </w:tc>
        <w:tc>
          <w:tcPr>
            <w:tcW w:type="dxa" w:w="1881"/>
          </w:tcPr>
          <w:p>
            <w:pPr>
              <w:jc w:val="center"/>
            </w:pPr>
            <w:r>
              <w:rPr>
                <w:b w:val="0"/>
                <w:sz w:val="18"/>
              </w:rPr>
              <w:t>34,635</w:t>
            </w:r>
          </w:p>
        </w:tc>
        <w:tc>
          <w:tcPr>
            <w:tcW w:type="dxa" w:w="1881"/>
          </w:tcPr>
          <w:p>
            <w:pPr>
              <w:jc w:val="center"/>
            </w:pPr>
            <w:r>
              <w:rPr>
                <w:b w:val="0"/>
                <w:sz w:val="18"/>
              </w:rPr>
              <w:t>514,813</w:t>
            </w:r>
          </w:p>
        </w:tc>
        <w:tc>
          <w:tcPr>
            <w:tcW w:type="dxa" w:w="1881"/>
          </w:tcPr>
          <w:p>
            <w:pPr>
              <w:jc w:val="center"/>
            </w:pPr>
            <w:r>
              <w:rPr>
                <w:b w:val="0"/>
                <w:sz w:val="18"/>
              </w:rPr>
              <w:t>94,509</w:t>
            </w:r>
          </w:p>
        </w:tc>
      </w:tr>
      <w:tr>
        <w:tc>
          <w:tcPr>
            <w:tcW w:type="dxa" w:w="1881"/>
          </w:tcPr>
          <w:p>
            <w:pPr>
              <w:jc w:val="center"/>
            </w:pPr>
            <w:r>
              <w:rPr>
                <w:b w:val="0"/>
                <w:sz w:val="18"/>
              </w:rPr>
              <w:t>Junio</w:t>
            </w:r>
          </w:p>
        </w:tc>
        <w:tc>
          <w:tcPr>
            <w:tcW w:type="dxa" w:w="1881"/>
          </w:tcPr>
          <w:p>
            <w:pPr>
              <w:jc w:val="center"/>
            </w:pPr>
            <w:r>
              <w:rPr>
                <w:b w:val="0"/>
                <w:sz w:val="18"/>
              </w:rPr>
              <w:t>687,133</w:t>
            </w:r>
          </w:p>
        </w:tc>
        <w:tc>
          <w:tcPr>
            <w:tcW w:type="dxa" w:w="1881"/>
          </w:tcPr>
          <w:p>
            <w:pPr>
              <w:jc w:val="center"/>
            </w:pPr>
            <w:r>
              <w:rPr>
                <w:b w:val="0"/>
                <w:sz w:val="18"/>
              </w:rPr>
              <w:t>33,749</w:t>
            </w:r>
          </w:p>
        </w:tc>
        <w:tc>
          <w:tcPr>
            <w:tcW w:type="dxa" w:w="1881"/>
          </w:tcPr>
          <w:p>
            <w:pPr>
              <w:jc w:val="center"/>
            </w:pPr>
            <w:r>
              <w:rPr>
                <w:b w:val="0"/>
                <w:sz w:val="18"/>
              </w:rPr>
              <w:t>485,556</w:t>
            </w:r>
          </w:p>
        </w:tc>
        <w:tc>
          <w:tcPr>
            <w:tcW w:type="dxa" w:w="1881"/>
          </w:tcPr>
          <w:p>
            <w:pPr>
              <w:jc w:val="center"/>
            </w:pPr>
            <w:r>
              <w:rPr>
                <w:b w:val="0"/>
                <w:sz w:val="18"/>
              </w:rPr>
              <w:t>87,244</w:t>
            </w:r>
          </w:p>
        </w:tc>
      </w:tr>
      <w:tr>
        <w:tc>
          <w:tcPr>
            <w:tcW w:type="dxa" w:w="1881"/>
          </w:tcPr>
          <w:p>
            <w:pPr>
              <w:jc w:val="center"/>
            </w:pPr>
            <w:r>
              <w:rPr>
                <w:b w:val="0"/>
                <w:sz w:val="18"/>
              </w:rPr>
              <w:t>Julio</w:t>
            </w:r>
          </w:p>
        </w:tc>
        <w:tc>
          <w:tcPr>
            <w:tcW w:type="dxa" w:w="1881"/>
          </w:tcPr>
          <w:p>
            <w:pPr>
              <w:jc w:val="center"/>
            </w:pPr>
            <w:r>
              <w:rPr>
                <w:b w:val="0"/>
                <w:sz w:val="18"/>
              </w:rPr>
              <w:t>719,079</w:t>
            </w:r>
          </w:p>
        </w:tc>
        <w:tc>
          <w:tcPr>
            <w:tcW w:type="dxa" w:w="1881"/>
          </w:tcPr>
          <w:p>
            <w:pPr>
              <w:jc w:val="center"/>
            </w:pPr>
            <w:r>
              <w:rPr>
                <w:b w:val="0"/>
                <w:sz w:val="18"/>
              </w:rPr>
              <w:t>34,428</w:t>
            </w:r>
          </w:p>
        </w:tc>
        <w:tc>
          <w:tcPr>
            <w:tcW w:type="dxa" w:w="1881"/>
          </w:tcPr>
          <w:p>
            <w:pPr>
              <w:jc w:val="center"/>
            </w:pPr>
            <w:r>
              <w:rPr>
                <w:b w:val="0"/>
                <w:sz w:val="18"/>
              </w:rPr>
              <w:t>515,353</w:t>
            </w:r>
          </w:p>
        </w:tc>
        <w:tc>
          <w:tcPr>
            <w:tcW w:type="dxa" w:w="1881"/>
          </w:tcPr>
          <w:p>
            <w:pPr>
              <w:jc w:val="center"/>
            </w:pPr>
            <w:r>
              <w:rPr>
                <w:b w:val="0"/>
                <w:sz w:val="18"/>
              </w:rPr>
              <w:t>89,854</w:t>
            </w:r>
          </w:p>
        </w:tc>
      </w:tr>
      <w:tr>
        <w:tc>
          <w:tcPr>
            <w:tcW w:type="dxa" w:w="1881"/>
            <w:shd w:val="clear" w:color="auto" w:fill="E8F5E9"/>
          </w:tcPr>
          <w:p>
            <w:pPr>
              <w:jc w:val="center"/>
            </w:pPr>
            <w:r>
              <w:rPr>
                <w:b w:val="0"/>
                <w:sz w:val="18"/>
              </w:rPr>
              <w:t>Agosto</w:t>
            </w:r>
          </w:p>
        </w:tc>
        <w:tc>
          <w:tcPr>
            <w:tcW w:type="dxa" w:w="1881"/>
            <w:shd w:val="clear" w:color="auto" w:fill="E8F5E9"/>
          </w:tcPr>
          <w:p>
            <w:pPr>
              <w:jc w:val="center"/>
            </w:pPr>
            <w:r>
              <w:rPr>
                <w:b w:val="0"/>
                <w:sz w:val="18"/>
              </w:rPr>
              <w:t>759,620</w:t>
            </w:r>
          </w:p>
        </w:tc>
        <w:tc>
          <w:tcPr>
            <w:tcW w:type="dxa" w:w="1881"/>
            <w:shd w:val="clear" w:color="auto" w:fill="E8F5E9"/>
          </w:tcPr>
          <w:p>
            <w:pPr>
              <w:jc w:val="center"/>
            </w:pPr>
            <w:r>
              <w:rPr>
                <w:b w:val="0"/>
                <w:sz w:val="18"/>
              </w:rPr>
              <w:t>35,080</w:t>
            </w:r>
          </w:p>
        </w:tc>
        <w:tc>
          <w:tcPr>
            <w:tcW w:type="dxa" w:w="1881"/>
            <w:shd w:val="clear" w:color="auto" w:fill="E8F5E9"/>
          </w:tcPr>
          <w:p>
            <w:pPr>
              <w:jc w:val="center"/>
            </w:pPr>
            <w:r>
              <w:rPr>
                <w:b w:val="0"/>
                <w:sz w:val="18"/>
              </w:rPr>
              <w:t>521,343</w:t>
            </w:r>
          </w:p>
        </w:tc>
        <w:tc>
          <w:tcPr>
            <w:tcW w:type="dxa" w:w="1881"/>
            <w:shd w:val="clear" w:color="auto" w:fill="E8F5E9"/>
          </w:tcPr>
          <w:p>
            <w:pPr>
              <w:jc w:val="center"/>
            </w:pPr>
            <w:r>
              <w:rPr>
                <w:b w:val="0"/>
                <w:sz w:val="18"/>
              </w:rPr>
              <w:t>99,415</w:t>
            </w:r>
          </w:p>
        </w:tc>
      </w:tr>
      <w:tr>
        <w:tc>
          <w:tcPr>
            <w:tcW w:type="dxa" w:w="1881"/>
          </w:tcPr>
          <w:p>
            <w:pPr>
              <w:jc w:val="center"/>
            </w:pPr>
            <w:r>
              <w:rPr>
                <w:b w:val="0"/>
                <w:sz w:val="18"/>
              </w:rPr>
              <w:t>Septiembre</w:t>
            </w:r>
          </w:p>
        </w:tc>
        <w:tc>
          <w:tcPr>
            <w:tcW w:type="dxa" w:w="1881"/>
          </w:tcPr>
          <w:p>
            <w:pPr>
              <w:jc w:val="center"/>
            </w:pPr>
            <w:r>
              <w:rPr>
                <w:b w:val="0"/>
                <w:sz w:val="18"/>
              </w:rPr>
              <w:t>728,083</w:t>
            </w:r>
          </w:p>
        </w:tc>
        <w:tc>
          <w:tcPr>
            <w:tcW w:type="dxa" w:w="1881"/>
          </w:tcPr>
          <w:p>
            <w:pPr>
              <w:jc w:val="center"/>
            </w:pPr>
            <w:r>
              <w:rPr>
                <w:b w:val="0"/>
                <w:sz w:val="18"/>
              </w:rPr>
              <w:t>33,171</w:t>
            </w:r>
          </w:p>
        </w:tc>
        <w:tc>
          <w:tcPr>
            <w:tcW w:type="dxa" w:w="1881"/>
          </w:tcPr>
          <w:p>
            <w:pPr>
              <w:jc w:val="center"/>
            </w:pPr>
            <w:r>
              <w:rPr>
                <w:b w:val="0"/>
                <w:sz w:val="18"/>
              </w:rPr>
              <w:t>555,063</w:t>
            </w:r>
          </w:p>
        </w:tc>
        <w:tc>
          <w:tcPr>
            <w:tcW w:type="dxa" w:w="1881"/>
          </w:tcPr>
          <w:p>
            <w:pPr>
              <w:jc w:val="center"/>
            </w:pPr>
            <w:r>
              <w:rPr>
                <w:b w:val="0"/>
                <w:sz w:val="18"/>
              </w:rPr>
              <w:t>115,194</w:t>
            </w:r>
          </w:p>
        </w:tc>
      </w:tr>
      <w:tr>
        <w:tc>
          <w:tcPr>
            <w:tcW w:type="dxa" w:w="1881"/>
          </w:tcPr>
          <w:p>
            <w:pPr>
              <w:jc w:val="center"/>
            </w:pPr>
            <w:r>
              <w:rPr>
                <w:b w:val="0"/>
                <w:sz w:val="18"/>
              </w:rPr>
              <w:t>Octubre</w:t>
            </w:r>
          </w:p>
        </w:tc>
        <w:tc>
          <w:tcPr>
            <w:tcW w:type="dxa" w:w="1881"/>
          </w:tcPr>
          <w:p>
            <w:pPr>
              <w:jc w:val="center"/>
            </w:pPr>
            <w:r>
              <w:rPr>
                <w:b w:val="0"/>
                <w:sz w:val="18"/>
              </w:rPr>
              <w:t>741,874</w:t>
            </w:r>
          </w:p>
        </w:tc>
        <w:tc>
          <w:tcPr>
            <w:tcW w:type="dxa" w:w="1881"/>
          </w:tcPr>
          <w:p>
            <w:pPr>
              <w:jc w:val="center"/>
            </w:pPr>
            <w:r>
              <w:rPr>
                <w:b w:val="0"/>
                <w:sz w:val="18"/>
              </w:rPr>
              <w:t>34,204</w:t>
            </w:r>
          </w:p>
        </w:tc>
        <w:tc>
          <w:tcPr>
            <w:tcW w:type="dxa" w:w="1881"/>
          </w:tcPr>
          <w:p>
            <w:pPr>
              <w:jc w:val="center"/>
            </w:pPr>
            <w:r>
              <w:rPr>
                <w:b w:val="0"/>
                <w:sz w:val="18"/>
              </w:rPr>
              <w:t>572,250</w:t>
            </w:r>
          </w:p>
        </w:tc>
        <w:tc>
          <w:tcPr>
            <w:tcW w:type="dxa" w:w="1881"/>
          </w:tcPr>
          <w:p>
            <w:pPr>
              <w:jc w:val="center"/>
            </w:pPr>
            <w:r>
              <w:rPr>
                <w:b w:val="0"/>
                <w:sz w:val="18"/>
              </w:rPr>
              <w:t>116,604</w:t>
            </w:r>
          </w:p>
        </w:tc>
      </w:tr>
      <w:tr>
        <w:tc>
          <w:tcPr>
            <w:tcW w:type="dxa" w:w="1881"/>
          </w:tcPr>
          <w:p>
            <w:pPr>
              <w:jc w:val="center"/>
            </w:pPr>
            <w:r>
              <w:rPr>
                <w:b w:val="0"/>
                <w:sz w:val="18"/>
              </w:rPr>
              <w:t>Noviembre</w:t>
            </w:r>
          </w:p>
        </w:tc>
        <w:tc>
          <w:tcPr>
            <w:tcW w:type="dxa" w:w="1881"/>
          </w:tcPr>
          <w:p>
            <w:pPr>
              <w:jc w:val="center"/>
            </w:pPr>
            <w:r>
              <w:rPr>
                <w:b w:val="0"/>
                <w:sz w:val="18"/>
              </w:rPr>
              <w:t>679,244</w:t>
            </w:r>
          </w:p>
        </w:tc>
        <w:tc>
          <w:tcPr>
            <w:tcW w:type="dxa" w:w="1881"/>
          </w:tcPr>
          <w:p>
            <w:pPr>
              <w:jc w:val="center"/>
            </w:pPr>
            <w:r>
              <w:rPr>
                <w:b w:val="0"/>
                <w:sz w:val="18"/>
              </w:rPr>
              <w:t>33,763</w:t>
            </w:r>
          </w:p>
        </w:tc>
        <w:tc>
          <w:tcPr>
            <w:tcW w:type="dxa" w:w="1881"/>
          </w:tcPr>
          <w:p>
            <w:pPr>
              <w:jc w:val="center"/>
            </w:pPr>
            <w:r>
              <w:rPr>
                <w:b w:val="0"/>
                <w:sz w:val="18"/>
              </w:rPr>
              <w:t>560,218</w:t>
            </w:r>
          </w:p>
        </w:tc>
        <w:tc>
          <w:tcPr>
            <w:tcW w:type="dxa" w:w="1881"/>
          </w:tcPr>
          <w:p>
            <w:pPr>
              <w:jc w:val="center"/>
            </w:pPr>
            <w:r>
              <w:rPr>
                <w:b w:val="0"/>
                <w:sz w:val="18"/>
              </w:rPr>
              <w:t>111,747</w:t>
            </w:r>
          </w:p>
        </w:tc>
      </w:tr>
      <w:tr>
        <w:tc>
          <w:tcPr>
            <w:tcW w:type="dxa" w:w="1881"/>
          </w:tcPr>
          <w:p>
            <w:pPr>
              <w:jc w:val="center"/>
            </w:pPr>
            <w:r>
              <w:rPr>
                <w:b w:val="0"/>
                <w:sz w:val="18"/>
              </w:rPr>
              <w:t>Diciembre</w:t>
            </w:r>
          </w:p>
        </w:tc>
        <w:tc>
          <w:tcPr>
            <w:tcW w:type="dxa" w:w="1881"/>
          </w:tcPr>
          <w:p>
            <w:pPr>
              <w:jc w:val="center"/>
            </w:pPr>
            <w:r>
              <w:rPr>
                <w:b w:val="0"/>
                <w:sz w:val="18"/>
              </w:rPr>
              <w:t>626,526</w:t>
            </w:r>
          </w:p>
        </w:tc>
        <w:tc>
          <w:tcPr>
            <w:tcW w:type="dxa" w:w="1881"/>
          </w:tcPr>
          <w:p>
            <w:pPr>
              <w:jc w:val="center"/>
            </w:pPr>
            <w:r>
              <w:rPr>
                <w:b w:val="0"/>
                <w:sz w:val="18"/>
              </w:rPr>
              <w:t>33,520</w:t>
            </w:r>
          </w:p>
        </w:tc>
        <w:tc>
          <w:tcPr>
            <w:tcW w:type="dxa" w:w="1881"/>
          </w:tcPr>
          <w:p>
            <w:pPr>
              <w:jc w:val="center"/>
            </w:pPr>
            <w:r>
              <w:rPr>
                <w:b w:val="0"/>
                <w:sz w:val="18"/>
              </w:rPr>
              <w:t>588,793</w:t>
            </w:r>
          </w:p>
        </w:tc>
        <w:tc>
          <w:tcPr>
            <w:tcW w:type="dxa" w:w="1881"/>
          </w:tcPr>
          <w:p>
            <w:pPr>
              <w:jc w:val="center"/>
            </w:pPr>
            <w:r>
              <w:rPr>
                <w:b w:val="0"/>
                <w:sz w:val="18"/>
              </w:rPr>
              <w:t>111,152</w:t>
            </w:r>
          </w:p>
        </w:tc>
      </w:tr>
      <w:tr>
        <w:tc>
          <w:tcPr>
            <w:tcW w:type="dxa" w:w="1881"/>
            <w:shd w:val="clear" w:color="auto" w:fill="C8E6C9"/>
          </w:tcPr>
          <w:p>
            <w:pPr>
              <w:jc w:val="center"/>
            </w:pPr>
            <w:r>
              <w:rPr>
                <w:b/>
                <w:sz w:val="18"/>
              </w:rPr>
              <w:t>TOTAL ANUAL</w:t>
            </w:r>
          </w:p>
        </w:tc>
        <w:tc>
          <w:tcPr>
            <w:tcW w:type="dxa" w:w="1881"/>
            <w:shd w:val="clear" w:color="auto" w:fill="C8E6C9"/>
          </w:tcPr>
          <w:p>
            <w:pPr>
              <w:jc w:val="center"/>
            </w:pPr>
            <w:r>
              <w:rPr>
                <w:b/>
                <w:sz w:val="18"/>
              </w:rPr>
              <w:t>8,292,513</w:t>
            </w:r>
          </w:p>
        </w:tc>
        <w:tc>
          <w:tcPr>
            <w:tcW w:type="dxa" w:w="1881"/>
            <w:shd w:val="clear" w:color="auto" w:fill="C8E6C9"/>
          </w:tcPr>
          <w:p>
            <w:pPr>
              <w:jc w:val="center"/>
            </w:pPr>
            <w:r>
              <w:rPr>
                <w:b/>
                <w:sz w:val="18"/>
              </w:rPr>
              <w:t>408,282</w:t>
            </w:r>
          </w:p>
        </w:tc>
        <w:tc>
          <w:tcPr>
            <w:tcW w:type="dxa" w:w="1881"/>
            <w:shd w:val="clear" w:color="auto" w:fill="C8E6C9"/>
          </w:tcPr>
          <w:p>
            <w:pPr>
              <w:jc w:val="center"/>
            </w:pPr>
            <w:r>
              <w:rPr>
                <w:b/>
                <w:sz w:val="18"/>
              </w:rPr>
              <w:t>6,504,451</w:t>
            </w:r>
          </w:p>
        </w:tc>
        <w:tc>
          <w:tcPr>
            <w:tcW w:type="dxa" w:w="1881"/>
            <w:shd w:val="clear" w:color="auto" w:fill="C8E6C9"/>
          </w:tcPr>
          <w:p>
            <w:pPr>
              <w:jc w:val="center"/>
            </w:pPr>
            <w:r>
              <w:rPr>
                <w:b/>
                <w:sz w:val="18"/>
              </w:rPr>
              <w:t>1,218,476</w:t>
            </w:r>
          </w:p>
        </w:tc>
      </w:tr>
    </w:tbl>
    <w:p>
      <w:pPr>
        <w:spacing w:after="120"/>
        <w:jc w:val="center"/>
      </w:pPr>
      <w:r>
        <w:rPr>
          <w:i/>
          <w:sz w:val="18"/>
        </w:rPr>
        <w:t>Tabla 5.1.2.2. Resumen mensual de energía solar generada, demanda EV, importación de red y acción del BESS (kWh). Fila verde = mes de mayor generación solar. Fuente: data/oe2/bess/bess_ano_2024.csv (8,760 registros horarios).</w:t>
      </w:r>
    </w:p>
    <w:p>
      <w:pPr>
        <w:spacing w:after="80" w:before="0"/>
        <w:jc w:val="both"/>
      </w:pPr>
      <w:r>
        <w:rPr>
          <w:b/>
          <w:sz w:val="22"/>
        </w:rPr>
        <w:t>5.1.2.3. Balance de despacho solar</w:t>
      </w:r>
      <w:r>
        <w:t xml:space="preserve"> </w:t>
      </w:r>
      <w:r>
        <w:rPr>
          <w:sz w:val="22"/>
        </w:rPr>
      </w:r>
    </w:p>
    <w:p>
      <w:pPr>
        <w:spacing w:after="80" w:before="0"/>
        <w:jc w:val="both"/>
      </w:pPr>
      <w:r>
        <w:rPr>
          <w:sz w:val="22"/>
        </w:rPr>
        <w:t>De los 8,292,514 kWh generados anualmente, el despacho solar se distribuye según la estrategia solar-priority del sistema:</w:t>
      </w:r>
    </w:p>
    <w:p>
      <w:pPr>
        <w:pStyle w:val="ListBullet"/>
        <w:spacing w:after="60"/>
      </w:pPr>
      <w:r>
        <w:rPr>
          <w:b/>
          <w:sz w:val="22"/>
        </w:rPr>
        <w:t xml:space="preserve">• </w:t>
      </w:r>
      <w:r>
        <w:rPr>
          <w:sz w:val="22"/>
        </w:rPr>
        <w:t>PV → Carga directa Mall: 5,037,162 kWh/año (60.7% de generación) — prioridad máxima para cubrir demanda inmediata del mall.</w:t>
      </w:r>
    </w:p>
    <w:p>
      <w:pPr>
        <w:pStyle w:val="ListBullet"/>
        <w:spacing w:after="60"/>
      </w:pPr>
      <w:r>
        <w:rPr>
          <w:b/>
          <w:sz w:val="22"/>
        </w:rPr>
        <w:t xml:space="preserve">• </w:t>
      </w:r>
      <w:r>
        <w:rPr>
          <w:sz w:val="22"/>
        </w:rPr>
        <w:t>PV → Almacenamiento BESS: 677,795 kWh/año (8.2%) — excedente solar almacenado para descarga en periodo punta.</w:t>
      </w:r>
    </w:p>
    <w:p>
      <w:pPr>
        <w:pStyle w:val="ListBullet"/>
        <w:spacing w:after="60"/>
      </w:pPr>
      <w:r>
        <w:rPr>
          <w:b/>
          <w:sz w:val="22"/>
        </w:rPr>
        <w:t xml:space="preserve">• </w:t>
      </w:r>
      <w:r>
        <w:rPr>
          <w:sz w:val="22"/>
        </w:rPr>
        <w:t>PV → Carga directa EV: 256,672 kWh/año (3.1%) — carga directa de motos y mototaxis cuando hay solapamiento solar–demanda EV.</w:t>
      </w:r>
    </w:p>
    <w:p>
      <w:pPr>
        <w:pStyle w:val="ListBullet"/>
        <w:spacing w:after="60"/>
      </w:pPr>
      <w:r>
        <w:rPr>
          <w:b/>
          <w:sz w:val="22"/>
        </w:rPr>
        <w:t xml:space="preserve">• </w:t>
      </w:r>
      <w:r>
        <w:rPr>
          <w:sz w:val="22"/>
        </w:rPr>
        <w:t>PV → Exportación a red: 1,484,110 kWh/año (17.9%) — excedente en 4101 horas cuando BESS está en SOC máximo y demand &lt; generación.</w:t>
      </w:r>
    </w:p>
    <w:p>
      <w:pPr>
        <w:spacing w:after="80" w:before="0"/>
        <w:jc w:val="both"/>
      </w:pPr>
      <w:r>
        <w:rPr>
          <w:sz w:val="22"/>
        </w:rPr>
        <w:t>El índice de autoconsumo solar (proporción de generación consumida localmente sin exportar) es del 71.9% (5,971,629 kWh/año). La energía solar desplaza generación diésel del sistema aislado de Iquitos a razón de 0.4521 kg CO₂/kWh (MINEM Perú), evitando 230,494 kg CO₂/año de emisiones indirectas en el escenario baseline (sin BESS activo ni agente RL).</w:t>
      </w:r>
    </w:p>
    <w:p>
      <w:pPr>
        <w:pStyle w:val="Heading2"/>
        <w:jc w:val="left"/>
      </w:pPr>
      <w:r>
        <w:t>5.1.3. Resultados descriptivos del dimensionamiento de cargadores y de la demanda objetivo de motos y mototaxis eléctricas</w:t>
      </w:r>
    </w:p>
    <w:p>
      <w:pPr>
        <w:spacing w:after="80" w:before="0"/>
        <w:jc w:val="both"/>
      </w:pPr>
      <w:r>
        <w:rPr>
          <w:b/>
          <w:sz w:val="22"/>
        </w:rPr>
        <w:t>5.1.3.1. Infraestructura de cargadores dimensionada</w:t>
      </w:r>
      <w:r>
        <w:t xml:space="preserve"> </w:t>
      </w:r>
      <w:r>
        <w:rPr>
          <w:sz w:val="22"/>
        </w:rPr>
      </w:r>
    </w:p>
    <w:p>
      <w:pPr>
        <w:spacing w:after="80" w:before="0"/>
        <w:jc w:val="both"/>
      </w:pPr>
      <w:r>
        <w:rPr>
          <w:sz w:val="22"/>
        </w:rPr>
        <w:t>El dimensionamiento de la infraestructura de carga se realizó a partir del análisis de la demanda horaria punta de vehículos eléctricos en el área de influencia del mall de Iquitos. La restricción de diseño fue: atender la hora punta (18:00–22:00) con una tasa de llegada de 30 motos/hora y 4.2 mototaxis/hora sin generar colas superiores a 1 vehículo por socket. El resultado del dimensionamiento 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Componente</w:t>
            </w:r>
          </w:p>
        </w:tc>
        <w:tc>
          <w:tcPr>
            <w:tcW w:type="dxa" w:w="2351"/>
            <w:shd w:val="clear" w:color="auto" w:fill="D0E4F7"/>
          </w:tcPr>
          <w:p>
            <w:pPr>
              <w:jc w:val="center"/>
            </w:pPr>
            <w:r>
              <w:rPr>
                <w:b/>
                <w:sz w:val="18"/>
              </w:rPr>
              <w:t>Playa Motos</w:t>
            </w:r>
          </w:p>
        </w:tc>
        <w:tc>
          <w:tcPr>
            <w:tcW w:type="dxa" w:w="2351"/>
            <w:shd w:val="clear" w:color="auto" w:fill="D0E4F7"/>
          </w:tcPr>
          <w:p>
            <w:pPr>
              <w:jc w:val="center"/>
            </w:pPr>
            <w:r>
              <w:rPr>
                <w:b/>
                <w:sz w:val="18"/>
              </w:rPr>
              <w:t>Playa Mototaxis</w:t>
            </w:r>
          </w:p>
        </w:tc>
        <w:tc>
          <w:tcPr>
            <w:tcW w:type="dxa" w:w="2351"/>
            <w:shd w:val="clear" w:color="auto" w:fill="D0E4F7"/>
          </w:tcPr>
          <w:p>
            <w:pPr>
              <w:jc w:val="center"/>
            </w:pPr>
            <w:r>
              <w:rPr>
                <w:b/>
                <w:sz w:val="18"/>
              </w:rPr>
              <w:t>TOTAL SISTEMA</w:t>
            </w:r>
          </w:p>
        </w:tc>
      </w:tr>
      <w:tr>
        <w:tc>
          <w:tcPr>
            <w:tcW w:type="dxa" w:w="2351"/>
          </w:tcPr>
          <w:p>
            <w:pPr>
              <w:jc w:val="center"/>
            </w:pPr>
            <w:r>
              <w:rPr>
                <w:b w:val="0"/>
                <w:sz w:val="18"/>
              </w:rPr>
              <w:t>Cargadores</w:t>
            </w:r>
          </w:p>
        </w:tc>
        <w:tc>
          <w:tcPr>
            <w:tcW w:type="dxa" w:w="2351"/>
          </w:tcPr>
          <w:p>
            <w:pPr>
              <w:jc w:val="center"/>
            </w:pPr>
            <w:r>
              <w:rPr>
                <w:b w:val="0"/>
                <w:sz w:val="18"/>
              </w:rPr>
              <w:t>15 unidades</w:t>
            </w:r>
          </w:p>
        </w:tc>
        <w:tc>
          <w:tcPr>
            <w:tcW w:type="dxa" w:w="2351"/>
          </w:tcPr>
          <w:p>
            <w:pPr>
              <w:jc w:val="center"/>
            </w:pPr>
            <w:r>
              <w:rPr>
                <w:b w:val="0"/>
                <w:sz w:val="18"/>
              </w:rPr>
              <w:t>4 unidades</w:t>
            </w:r>
          </w:p>
        </w:tc>
        <w:tc>
          <w:tcPr>
            <w:tcW w:type="dxa" w:w="2351"/>
          </w:tcPr>
          <w:p>
            <w:pPr>
              <w:jc w:val="center"/>
            </w:pPr>
            <w:r>
              <w:rPr>
                <w:b w:val="0"/>
                <w:sz w:val="18"/>
              </w:rPr>
              <w:t>19 unidades</w:t>
            </w:r>
          </w:p>
        </w:tc>
      </w:tr>
      <w:tr>
        <w:tc>
          <w:tcPr>
            <w:tcW w:type="dxa" w:w="2351"/>
          </w:tcPr>
          <w:p>
            <w:pPr>
              <w:jc w:val="center"/>
            </w:pPr>
            <w:r>
              <w:rPr>
                <w:b w:val="0"/>
                <w:sz w:val="18"/>
              </w:rPr>
              <w:t>Sockets por cargador</w:t>
            </w:r>
          </w:p>
        </w:tc>
        <w:tc>
          <w:tcPr>
            <w:tcW w:type="dxa" w:w="2351"/>
          </w:tcPr>
          <w:p>
            <w:pPr>
              <w:jc w:val="center"/>
            </w:pPr>
            <w:r>
              <w:rPr>
                <w:b w:val="0"/>
                <w:sz w:val="18"/>
              </w:rPr>
              <w:t>2 sockets</w:t>
            </w:r>
          </w:p>
        </w:tc>
        <w:tc>
          <w:tcPr>
            <w:tcW w:type="dxa" w:w="2351"/>
          </w:tcPr>
          <w:p>
            <w:pPr>
              <w:jc w:val="center"/>
            </w:pPr>
            <w:r>
              <w:rPr>
                <w:b w:val="0"/>
                <w:sz w:val="18"/>
              </w:rPr>
              <w:t>2 sockets</w:t>
            </w:r>
          </w:p>
        </w:tc>
        <w:tc>
          <w:tcPr>
            <w:tcW w:type="dxa" w:w="2351"/>
          </w:tcPr>
          <w:p>
            <w:pPr>
              <w:jc w:val="center"/>
            </w:pPr>
            <w:r>
              <w:rPr>
                <w:b w:val="0"/>
                <w:sz w:val="18"/>
              </w:rPr>
              <w:t>2 sockets</w:t>
            </w:r>
          </w:p>
        </w:tc>
      </w:tr>
      <w:tr>
        <w:tc>
          <w:tcPr>
            <w:tcW w:type="dxa" w:w="2351"/>
          </w:tcPr>
          <w:p>
            <w:pPr>
              <w:jc w:val="center"/>
            </w:pPr>
            <w:r>
              <w:rPr>
                <w:b w:val="0"/>
                <w:sz w:val="18"/>
              </w:rPr>
              <w:t>Total sockets operativos</w:t>
            </w:r>
          </w:p>
        </w:tc>
        <w:tc>
          <w:tcPr>
            <w:tcW w:type="dxa" w:w="2351"/>
          </w:tcPr>
          <w:p>
            <w:pPr>
              <w:jc w:val="center"/>
            </w:pPr>
            <w:r>
              <w:rPr>
                <w:b w:val="0"/>
                <w:sz w:val="18"/>
              </w:rPr>
              <w:t>30 sockets</w:t>
            </w:r>
          </w:p>
        </w:tc>
        <w:tc>
          <w:tcPr>
            <w:tcW w:type="dxa" w:w="2351"/>
          </w:tcPr>
          <w:p>
            <w:pPr>
              <w:jc w:val="center"/>
            </w:pPr>
            <w:r>
              <w:rPr>
                <w:b w:val="0"/>
                <w:sz w:val="18"/>
              </w:rPr>
              <w:t>8 sockets</w:t>
            </w:r>
          </w:p>
        </w:tc>
        <w:tc>
          <w:tcPr>
            <w:tcW w:type="dxa" w:w="2351"/>
          </w:tcPr>
          <w:p>
            <w:pPr>
              <w:jc w:val="center"/>
            </w:pPr>
            <w:r>
              <w:rPr>
                <w:b w:val="0"/>
                <w:sz w:val="18"/>
              </w:rPr>
              <w:t>38 sockets</w:t>
            </w:r>
          </w:p>
        </w:tc>
      </w:tr>
      <w:tr>
        <w:tc>
          <w:tcPr>
            <w:tcW w:type="dxa" w:w="2351"/>
          </w:tcPr>
          <w:p>
            <w:pPr>
              <w:jc w:val="center"/>
            </w:pPr>
            <w:r>
              <w:rPr>
                <w:b w:val="0"/>
                <w:sz w:val="18"/>
              </w:rPr>
              <w:t>Potencia por socket</w:t>
            </w:r>
          </w:p>
        </w:tc>
        <w:tc>
          <w:tcPr>
            <w:tcW w:type="dxa" w:w="2351"/>
          </w:tcPr>
          <w:p>
            <w:pPr>
              <w:jc w:val="center"/>
            </w:pPr>
            <w:r>
              <w:rPr>
                <w:b w:val="0"/>
                <w:sz w:val="18"/>
              </w:rPr>
              <w:t>7.4 kW</w:t>
            </w:r>
          </w:p>
        </w:tc>
        <w:tc>
          <w:tcPr>
            <w:tcW w:type="dxa" w:w="2351"/>
          </w:tcPr>
          <w:p>
            <w:pPr>
              <w:jc w:val="center"/>
            </w:pPr>
            <w:r>
              <w:rPr>
                <w:b w:val="0"/>
                <w:sz w:val="18"/>
              </w:rPr>
              <w:t>7.4 kW</w:t>
            </w:r>
          </w:p>
        </w:tc>
        <w:tc>
          <w:tcPr>
            <w:tcW w:type="dxa" w:w="2351"/>
          </w:tcPr>
          <w:p>
            <w:pPr>
              <w:jc w:val="center"/>
            </w:pPr>
            <w:r>
              <w:rPr>
                <w:b w:val="0"/>
                <w:sz w:val="18"/>
              </w:rPr>
              <w:t>7.4 kW</w:t>
            </w:r>
          </w:p>
        </w:tc>
      </w:tr>
      <w:tr>
        <w:tc>
          <w:tcPr>
            <w:tcW w:type="dxa" w:w="2351"/>
          </w:tcPr>
          <w:p>
            <w:pPr>
              <w:jc w:val="center"/>
            </w:pPr>
            <w:r>
              <w:rPr>
                <w:b w:val="0"/>
                <w:sz w:val="18"/>
              </w:rPr>
              <w:t>Estándar de carga</w:t>
            </w:r>
          </w:p>
        </w:tc>
        <w:tc>
          <w:tcPr>
            <w:tcW w:type="dxa" w:w="2351"/>
          </w:tcPr>
          <w:p>
            <w:pPr>
              <w:jc w:val="center"/>
            </w:pPr>
            <w:r>
              <w:rPr>
                <w:b w:val="0"/>
                <w:sz w:val="18"/>
              </w:rPr>
              <w:t>Modo 3, IEC 62196-2</w:t>
            </w:r>
          </w:p>
        </w:tc>
        <w:tc>
          <w:tcPr>
            <w:tcW w:type="dxa" w:w="2351"/>
          </w:tcPr>
          <w:p>
            <w:pPr>
              <w:jc w:val="center"/>
            </w:pPr>
            <w:r>
              <w:rPr>
                <w:b w:val="0"/>
                <w:sz w:val="18"/>
              </w:rPr>
              <w:t>Modo 3, IEC 62196-2</w:t>
            </w:r>
          </w:p>
        </w:tc>
        <w:tc>
          <w:tcPr>
            <w:tcW w:type="dxa" w:w="2351"/>
          </w:tcPr>
          <w:p>
            <w:pPr>
              <w:jc w:val="center"/>
            </w:pPr>
            <w:r>
              <w:rPr>
                <w:b w:val="0"/>
                <w:sz w:val="18"/>
              </w:rPr>
              <w:t>Tipo 2, 32A, 230 V</w:t>
            </w:r>
          </w:p>
        </w:tc>
      </w:tr>
      <w:tr>
        <w:tc>
          <w:tcPr>
            <w:tcW w:type="dxa" w:w="2351"/>
          </w:tcPr>
          <w:p>
            <w:pPr>
              <w:jc w:val="center"/>
            </w:pPr>
            <w:r>
              <w:rPr>
                <w:b w:val="0"/>
                <w:sz w:val="18"/>
              </w:rPr>
              <w:t>Potencia total instalada</w:t>
            </w:r>
          </w:p>
        </w:tc>
        <w:tc>
          <w:tcPr>
            <w:tcW w:type="dxa" w:w="2351"/>
          </w:tcPr>
          <w:p>
            <w:pPr>
              <w:jc w:val="center"/>
            </w:pPr>
            <w:r>
              <w:rPr>
                <w:b w:val="0"/>
                <w:sz w:val="18"/>
              </w:rPr>
              <w:t>222.0 kW</w:t>
            </w:r>
          </w:p>
        </w:tc>
        <w:tc>
          <w:tcPr>
            <w:tcW w:type="dxa" w:w="2351"/>
          </w:tcPr>
          <w:p>
            <w:pPr>
              <w:jc w:val="center"/>
            </w:pPr>
            <w:r>
              <w:rPr>
                <w:b w:val="0"/>
                <w:sz w:val="18"/>
              </w:rPr>
              <w:t>59.2 kW</w:t>
            </w:r>
          </w:p>
        </w:tc>
        <w:tc>
          <w:tcPr>
            <w:tcW w:type="dxa" w:w="2351"/>
          </w:tcPr>
          <w:p>
            <w:pPr>
              <w:jc w:val="center"/>
            </w:pPr>
            <w:r>
              <w:rPr>
                <w:b w:val="0"/>
                <w:sz w:val="18"/>
              </w:rPr>
              <w:t>281.2 kW</w:t>
            </w:r>
          </w:p>
        </w:tc>
      </w:tr>
      <w:tr>
        <w:tc>
          <w:tcPr>
            <w:tcW w:type="dxa" w:w="2351"/>
          </w:tcPr>
          <w:p>
            <w:pPr>
              <w:jc w:val="center"/>
            </w:pPr>
            <w:r>
              <w:rPr>
                <w:b w:val="0"/>
                <w:sz w:val="18"/>
              </w:rPr>
              <w:t>Flota objetivo (veh./día)</w:t>
            </w:r>
          </w:p>
        </w:tc>
        <w:tc>
          <w:tcPr>
            <w:tcW w:type="dxa" w:w="2351"/>
          </w:tcPr>
          <w:p>
            <w:pPr>
              <w:jc w:val="center"/>
            </w:pPr>
            <w:r>
              <w:rPr>
                <w:b w:val="0"/>
                <w:sz w:val="18"/>
              </w:rPr>
              <w:t>270 motos</w:t>
            </w:r>
          </w:p>
        </w:tc>
        <w:tc>
          <w:tcPr>
            <w:tcW w:type="dxa" w:w="2351"/>
          </w:tcPr>
          <w:p>
            <w:pPr>
              <w:jc w:val="center"/>
            </w:pPr>
            <w:r>
              <w:rPr>
                <w:b w:val="0"/>
                <w:sz w:val="18"/>
              </w:rPr>
              <w:t>39 mototaxis</w:t>
            </w:r>
          </w:p>
        </w:tc>
        <w:tc>
          <w:tcPr>
            <w:tcW w:type="dxa" w:w="2351"/>
          </w:tcPr>
          <w:p>
            <w:pPr>
              <w:jc w:val="center"/>
            </w:pPr>
            <w:r>
              <w:rPr>
                <w:b w:val="0"/>
                <w:sz w:val="18"/>
              </w:rPr>
              <w:t>309 vehículos/día</w:t>
            </w:r>
          </w:p>
        </w:tc>
      </w:tr>
      <w:tr>
        <w:tc>
          <w:tcPr>
            <w:tcW w:type="dxa" w:w="2351"/>
          </w:tcPr>
          <w:p>
            <w:pPr>
              <w:jc w:val="center"/>
            </w:pPr>
            <w:r>
              <w:rPr>
                <w:b w:val="0"/>
                <w:sz w:val="18"/>
              </w:rPr>
              <w:t>Penetración EV asumida</w:t>
            </w:r>
          </w:p>
        </w:tc>
        <w:tc>
          <w:tcPr>
            <w:tcW w:type="dxa" w:w="2351"/>
          </w:tcPr>
          <w:p>
            <w:pPr>
              <w:jc w:val="center"/>
            </w:pPr>
            <w:r>
              <w:rPr>
                <w:b w:val="0"/>
                <w:sz w:val="18"/>
              </w:rPr>
              <w:t>30% (IEA EVO 2024)</w:t>
            </w:r>
          </w:p>
        </w:tc>
        <w:tc>
          <w:tcPr>
            <w:tcW w:type="dxa" w:w="2351"/>
          </w:tcPr>
          <w:p>
            <w:pPr>
              <w:jc w:val="center"/>
            </w:pPr>
            <w:r>
              <w:rPr>
                <w:b w:val="0"/>
                <w:sz w:val="18"/>
              </w:rPr>
              <w:t>30%</w:t>
            </w:r>
          </w:p>
        </w:tc>
        <w:tc>
          <w:tcPr>
            <w:tcW w:type="dxa" w:w="2351"/>
          </w:tcPr>
          <w:p>
            <w:pPr>
              <w:jc w:val="center"/>
            </w:pPr>
            <w:r>
              <w:rPr>
                <w:b w:val="0"/>
                <w:sz w:val="18"/>
              </w:rPr>
              <w:t>30%</w:t>
            </w:r>
          </w:p>
        </w:tc>
      </w:tr>
      <w:tr>
        <w:tc>
          <w:tcPr>
            <w:tcW w:type="dxa" w:w="2351"/>
          </w:tcPr>
          <w:p>
            <w:pPr>
              <w:jc w:val="center"/>
            </w:pPr>
            <w:r>
              <w:rPr>
                <w:b w:val="0"/>
                <w:sz w:val="18"/>
              </w:rPr>
              <w:t>Factor de carga diario</w:t>
            </w:r>
          </w:p>
        </w:tc>
        <w:tc>
          <w:tcPr>
            <w:tcW w:type="dxa" w:w="2351"/>
          </w:tcPr>
          <w:p>
            <w:pPr>
              <w:jc w:val="center"/>
            </w:pPr>
            <w:r>
              <w:rPr>
                <w:b w:val="0"/>
                <w:sz w:val="18"/>
              </w:rPr>
              <w:t>55% (NREL 2022)</w:t>
            </w:r>
          </w:p>
        </w:tc>
        <w:tc>
          <w:tcPr>
            <w:tcW w:type="dxa" w:w="2351"/>
          </w:tcPr>
          <w:p>
            <w:pPr>
              <w:jc w:val="center"/>
            </w:pPr>
            <w:r>
              <w:rPr>
                <w:b w:val="0"/>
                <w:sz w:val="18"/>
              </w:rPr>
              <w:t>55%</w:t>
            </w:r>
          </w:p>
        </w:tc>
        <w:tc>
          <w:tcPr>
            <w:tcW w:type="dxa" w:w="2351"/>
          </w:tcPr>
          <w:p>
            <w:pPr>
              <w:jc w:val="center"/>
            </w:pPr>
            <w:r>
              <w:rPr>
                <w:b w:val="0"/>
                <w:sz w:val="18"/>
              </w:rPr>
              <w:t>55%</w:t>
            </w:r>
          </w:p>
        </w:tc>
      </w:tr>
      <w:tr>
        <w:tc>
          <w:tcPr>
            <w:tcW w:type="dxa" w:w="2351"/>
          </w:tcPr>
          <w:p>
            <w:pPr>
              <w:jc w:val="center"/>
            </w:pPr>
            <w:r>
              <w:rPr>
                <w:b w:val="0"/>
                <w:sz w:val="18"/>
              </w:rPr>
              <w:t>Horario operativo</w:t>
            </w:r>
          </w:p>
        </w:tc>
        <w:tc>
          <w:tcPr>
            <w:tcW w:type="dxa" w:w="2351"/>
          </w:tcPr>
          <w:p>
            <w:pPr>
              <w:jc w:val="center"/>
            </w:pPr>
            <w:r>
              <w:rPr>
                <w:b w:val="0"/>
                <w:sz w:val="18"/>
              </w:rPr>
              <w:t>09:00–22:00</w:t>
            </w:r>
          </w:p>
        </w:tc>
        <w:tc>
          <w:tcPr>
            <w:tcW w:type="dxa" w:w="2351"/>
          </w:tcPr>
          <w:p>
            <w:pPr>
              <w:jc w:val="center"/>
            </w:pPr>
            <w:r>
              <w:rPr>
                <w:b w:val="0"/>
                <w:sz w:val="18"/>
              </w:rPr>
              <w:t>09:00–22:00</w:t>
            </w:r>
          </w:p>
        </w:tc>
        <w:tc>
          <w:tcPr>
            <w:tcW w:type="dxa" w:w="2351"/>
          </w:tcPr>
          <w:p>
            <w:pPr>
              <w:jc w:val="center"/>
            </w:pPr>
            <w:r>
              <w:rPr>
                <w:b w:val="0"/>
                <w:sz w:val="18"/>
              </w:rPr>
              <w:t>13 h/día</w:t>
            </w:r>
          </w:p>
        </w:tc>
      </w:tr>
    </w:tbl>
    <w:p>
      <w:pPr>
        <w:spacing w:after="120"/>
        <w:jc w:val="center"/>
      </w:pPr>
      <w:r>
        <w:rPr>
          <w:i/>
          <w:sz w:val="18"/>
        </w:rPr>
        <w:t>Tabla 5.1.3.1. Infraestructura de carga dimensionada OE2. Modo 3 IEC 62196-2 = carga en CA supervisada con protocolo de comunicación IEC 61851-1. Fuente: src/dimensionamiento/oe2/disenocargadoresev/chargers.py v5.4</w:t>
      </w:r>
    </w:p>
    <w:p>
      <w:pPr>
        <w:spacing w:after="80" w:before="0"/>
        <w:jc w:val="both"/>
      </w:pPr>
      <w:r>
        <w:rPr>
          <w:b/>
          <w:sz w:val="22"/>
        </w:rPr>
        <w:t>5.1.3.2. Especificaciones de las baterías vehiculares</w:t>
      </w:r>
      <w:r>
        <w:t xml:space="preserve"> </w:t>
      </w:r>
      <w:r>
        <w:rPr>
          <w:sz w:val="22"/>
        </w:rPr>
      </w:r>
    </w:p>
    <w:p>
      <w:pPr>
        <w:spacing w:after="80" w:before="0"/>
        <w:jc w:val="both"/>
      </w:pPr>
      <w:r>
        <w:rPr>
          <w:sz w:val="22"/>
        </w:rPr>
        <w:t>El dimensionamiento de la energía demandada por socket se calculó con base en las especificaciones reales de baterías de los vehículos de dos y tres ruedas eléctricos disponibles en el mercado latinoamericano 2024. Se adoptó la estrategia de carga parcial (20%–80% SOC) para maximizar la vida útil de las baterías (IEC 62840-2):</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0E4F7"/>
          </w:tcPr>
          <w:p>
            <w:pPr>
              <w:jc w:val="center"/>
            </w:pPr>
            <w:r>
              <w:rPr>
                <w:b/>
                <w:sz w:val="18"/>
              </w:rPr>
              <w:t>Parámetro</w:t>
            </w:r>
          </w:p>
        </w:tc>
        <w:tc>
          <w:tcPr>
            <w:tcW w:type="dxa" w:w="1881"/>
            <w:shd w:val="clear" w:color="auto" w:fill="D0E4F7"/>
          </w:tcPr>
          <w:p>
            <w:pPr>
              <w:jc w:val="center"/>
            </w:pPr>
            <w:r>
              <w:rPr>
                <w:b/>
                <w:sz w:val="18"/>
              </w:rPr>
              <w:t>Moto eléctrica</w:t>
            </w:r>
          </w:p>
        </w:tc>
        <w:tc>
          <w:tcPr>
            <w:tcW w:type="dxa" w:w="1881"/>
            <w:shd w:val="clear" w:color="auto" w:fill="D0E4F7"/>
          </w:tcPr>
          <w:p>
            <w:pPr>
              <w:jc w:val="center"/>
            </w:pPr>
            <w:r>
              <w:rPr>
                <w:b/>
                <w:sz w:val="18"/>
              </w:rPr>
              <w:t>Mototaxi eléctrica</w:t>
            </w:r>
          </w:p>
        </w:tc>
        <w:tc>
          <w:tcPr>
            <w:tcW w:type="dxa" w:w="1881"/>
            <w:shd w:val="clear" w:color="auto" w:fill="D0E4F7"/>
          </w:tcPr>
          <w:p>
            <w:pPr>
              <w:jc w:val="center"/>
            </w:pPr>
            <w:r>
              <w:rPr>
                <w:b/>
                <w:sz w:val="18"/>
              </w:rPr>
              <w:t>Fuente / Norma</w:t>
            </w:r>
          </w:p>
        </w:tc>
        <w:tc>
          <w:tcPr>
            <w:tcW w:type="dxa" w:w="1881"/>
            <w:shd w:val="clear" w:color="auto" w:fill="D0E4F7"/>
          </w:tcPr>
          <w:p>
            <w:pPr>
              <w:jc w:val="center"/>
            </w:pPr>
            <w:r>
              <w:rPr>
                <w:b/>
                <w:sz w:val="18"/>
              </w:rPr>
              <w:t>Aplicación OE2</w:t>
            </w:r>
          </w:p>
        </w:tc>
      </w:tr>
      <w:tr>
        <w:tc>
          <w:tcPr>
            <w:tcW w:type="dxa" w:w="1881"/>
          </w:tcPr>
          <w:p>
            <w:pPr>
              <w:jc w:val="center"/>
            </w:pPr>
            <w:r>
              <w:rPr>
                <w:b w:val="0"/>
                <w:sz w:val="17"/>
              </w:rPr>
              <w:t>Capacidad batería nominal</w:t>
            </w:r>
          </w:p>
        </w:tc>
        <w:tc>
          <w:tcPr>
            <w:tcW w:type="dxa" w:w="1881"/>
          </w:tcPr>
          <w:p>
            <w:pPr>
              <w:jc w:val="center"/>
            </w:pPr>
            <w:r>
              <w:rPr>
                <w:b w:val="0"/>
                <w:sz w:val="17"/>
              </w:rPr>
              <w:t>4.6 kWh</w:t>
            </w:r>
          </w:p>
        </w:tc>
        <w:tc>
          <w:tcPr>
            <w:tcW w:type="dxa" w:w="1881"/>
          </w:tcPr>
          <w:p>
            <w:pPr>
              <w:jc w:val="center"/>
            </w:pPr>
            <w:r>
              <w:rPr>
                <w:b w:val="0"/>
                <w:sz w:val="17"/>
              </w:rPr>
              <w:t>7.4 kWh</w:t>
            </w:r>
          </w:p>
        </w:tc>
        <w:tc>
          <w:tcPr>
            <w:tcW w:type="dxa" w:w="1881"/>
          </w:tcPr>
          <w:p>
            <w:pPr>
              <w:jc w:val="center"/>
            </w:pPr>
            <w:r>
              <w:rPr>
                <w:b w:val="0"/>
                <w:sz w:val="17"/>
              </w:rPr>
              <w:t>Especificaciones fabricante</w:t>
            </w:r>
          </w:p>
        </w:tc>
        <w:tc>
          <w:tcPr>
            <w:tcW w:type="dxa" w:w="1881"/>
          </w:tcPr>
          <w:p>
            <w:pPr>
              <w:jc w:val="center"/>
            </w:pPr>
            <w:r>
              <w:rPr>
                <w:b w:val="0"/>
                <w:sz w:val="17"/>
              </w:rPr>
              <w:t>Base para cálculo energía por carga</w:t>
            </w:r>
          </w:p>
        </w:tc>
      </w:tr>
      <w:tr>
        <w:tc>
          <w:tcPr>
            <w:tcW w:type="dxa" w:w="1881"/>
          </w:tcPr>
          <w:p>
            <w:pPr>
              <w:jc w:val="center"/>
            </w:pPr>
            <w:r>
              <w:rPr>
                <w:b w:val="0"/>
                <w:sz w:val="17"/>
              </w:rPr>
              <w:t>SOC de llegada (media)</w:t>
            </w:r>
          </w:p>
        </w:tc>
        <w:tc>
          <w:tcPr>
            <w:tcW w:type="dxa" w:w="1881"/>
          </w:tcPr>
          <w:p>
            <w:pPr>
              <w:jc w:val="center"/>
            </w:pPr>
            <w:r>
              <w:rPr>
                <w:b w:val="0"/>
                <w:sz w:val="17"/>
              </w:rPr>
              <w:t>20% (±10%)</w:t>
            </w:r>
          </w:p>
        </w:tc>
        <w:tc>
          <w:tcPr>
            <w:tcW w:type="dxa" w:w="1881"/>
          </w:tcPr>
          <w:p>
            <w:pPr>
              <w:jc w:val="center"/>
            </w:pPr>
            <w:r>
              <w:rPr>
                <w:b w:val="0"/>
                <w:sz w:val="17"/>
              </w:rPr>
              <w:t>20% (±10%)</w:t>
            </w:r>
          </w:p>
        </w:tc>
        <w:tc>
          <w:tcPr>
            <w:tcW w:type="dxa" w:w="1881"/>
          </w:tcPr>
          <w:p>
            <w:pPr>
              <w:jc w:val="center"/>
            </w:pPr>
            <w:r>
              <w:rPr>
                <w:b w:val="0"/>
                <w:sz w:val="17"/>
              </w:rPr>
              <w:t>Distribución Normal</w:t>
            </w:r>
          </w:p>
        </w:tc>
        <w:tc>
          <w:tcPr>
            <w:tcW w:type="dxa" w:w="1881"/>
          </w:tcPr>
          <w:p>
            <w:pPr>
              <w:jc w:val="center"/>
            </w:pPr>
            <w:r>
              <w:rPr>
                <w:b w:val="0"/>
                <w:sz w:val="17"/>
              </w:rPr>
              <w:t>Modelado estocástico Poisson</w:t>
            </w:r>
          </w:p>
        </w:tc>
      </w:tr>
      <w:tr>
        <w:tc>
          <w:tcPr>
            <w:tcW w:type="dxa" w:w="1881"/>
          </w:tcPr>
          <w:p>
            <w:pPr>
              <w:jc w:val="center"/>
            </w:pPr>
            <w:r>
              <w:rPr>
                <w:b w:val="0"/>
                <w:sz w:val="17"/>
              </w:rPr>
              <w:t>SOC objetivo (media)</w:t>
            </w:r>
          </w:p>
        </w:tc>
        <w:tc>
          <w:tcPr>
            <w:tcW w:type="dxa" w:w="1881"/>
          </w:tcPr>
          <w:p>
            <w:pPr>
              <w:jc w:val="center"/>
            </w:pPr>
            <w:r>
              <w:rPr>
                <w:b w:val="0"/>
                <w:sz w:val="17"/>
              </w:rPr>
              <w:t>80% (±15%)</w:t>
            </w:r>
          </w:p>
        </w:tc>
        <w:tc>
          <w:tcPr>
            <w:tcW w:type="dxa" w:w="1881"/>
          </w:tcPr>
          <w:p>
            <w:pPr>
              <w:jc w:val="center"/>
            </w:pPr>
            <w:r>
              <w:rPr>
                <w:b w:val="0"/>
                <w:sz w:val="17"/>
              </w:rPr>
              <w:t>80% (±15%)</w:t>
            </w:r>
          </w:p>
        </w:tc>
        <w:tc>
          <w:tcPr>
            <w:tcW w:type="dxa" w:w="1881"/>
          </w:tcPr>
          <w:p>
            <w:pPr>
              <w:jc w:val="center"/>
            </w:pPr>
            <w:r>
              <w:rPr>
                <w:b w:val="0"/>
                <w:sz w:val="17"/>
              </w:rPr>
              <w:t>IEC 62840-2 (vida útil)</w:t>
            </w:r>
          </w:p>
        </w:tc>
        <w:tc>
          <w:tcPr>
            <w:tcW w:type="dxa" w:w="1881"/>
          </w:tcPr>
          <w:p>
            <w:pPr>
              <w:jc w:val="center"/>
            </w:pPr>
            <w:r>
              <w:rPr>
                <w:b w:val="0"/>
                <w:sz w:val="17"/>
              </w:rPr>
              <w:t>Carga parcial, protección ciclos</w:t>
            </w:r>
          </w:p>
        </w:tc>
      </w:tr>
      <w:tr>
        <w:tc>
          <w:tcPr>
            <w:tcW w:type="dxa" w:w="1881"/>
          </w:tcPr>
          <w:p>
            <w:pPr>
              <w:jc w:val="center"/>
            </w:pPr>
            <w:r>
              <w:rPr>
                <w:b w:val="0"/>
                <w:sz w:val="17"/>
              </w:rPr>
              <w:t>Rango activo (DoD)</w:t>
            </w:r>
          </w:p>
        </w:tc>
        <w:tc>
          <w:tcPr>
            <w:tcW w:type="dxa" w:w="1881"/>
          </w:tcPr>
          <w:p>
            <w:pPr>
              <w:jc w:val="center"/>
            </w:pPr>
            <w:r>
              <w:rPr>
                <w:b w:val="0"/>
                <w:sz w:val="17"/>
              </w:rPr>
              <w:t>60% = 2.76 kWh</w:t>
            </w:r>
          </w:p>
        </w:tc>
        <w:tc>
          <w:tcPr>
            <w:tcW w:type="dxa" w:w="1881"/>
          </w:tcPr>
          <w:p>
            <w:pPr>
              <w:jc w:val="center"/>
            </w:pPr>
            <w:r>
              <w:rPr>
                <w:b w:val="0"/>
                <w:sz w:val="17"/>
              </w:rPr>
              <w:t>60% = 4.44 kWh</w:t>
            </w:r>
          </w:p>
        </w:tc>
        <w:tc>
          <w:tcPr>
            <w:tcW w:type="dxa" w:w="1881"/>
          </w:tcPr>
          <w:p>
            <w:pPr>
              <w:jc w:val="center"/>
            </w:pPr>
            <w:r>
              <w:rPr>
                <w:b w:val="0"/>
                <w:sz w:val="17"/>
              </w:rPr>
              <w:t>SOC_max – SOC_min</w:t>
            </w:r>
          </w:p>
        </w:tc>
        <w:tc>
          <w:tcPr>
            <w:tcW w:type="dxa" w:w="1881"/>
          </w:tcPr>
          <w:p>
            <w:pPr>
              <w:jc w:val="center"/>
            </w:pPr>
            <w:r>
              <w:rPr>
                <w:b w:val="0"/>
                <w:sz w:val="17"/>
              </w:rPr>
              <w:t>Energía disponible por carga</w:t>
            </w:r>
          </w:p>
        </w:tc>
      </w:tr>
      <w:tr>
        <w:tc>
          <w:tcPr>
            <w:tcW w:type="dxa" w:w="1881"/>
          </w:tcPr>
          <w:p>
            <w:pPr>
              <w:jc w:val="center"/>
            </w:pPr>
            <w:r>
              <w:rPr>
                <w:b w:val="0"/>
                <w:sz w:val="17"/>
              </w:rPr>
              <w:t>Energía efectiva / carga</w:t>
            </w:r>
          </w:p>
        </w:tc>
        <w:tc>
          <w:tcPr>
            <w:tcW w:type="dxa" w:w="1881"/>
          </w:tcPr>
          <w:p>
            <w:pPr>
              <w:jc w:val="center"/>
            </w:pPr>
            <w:r>
              <w:rPr>
                <w:b w:val="0"/>
                <w:sz w:val="17"/>
              </w:rPr>
              <w:t>2.906 kWh</w:t>
            </w:r>
          </w:p>
        </w:tc>
        <w:tc>
          <w:tcPr>
            <w:tcW w:type="dxa" w:w="1881"/>
          </w:tcPr>
          <w:p>
            <w:pPr>
              <w:jc w:val="center"/>
            </w:pPr>
            <w:r>
              <w:rPr>
                <w:b w:val="0"/>
                <w:sz w:val="17"/>
              </w:rPr>
              <w:t>4.674 kWh</w:t>
            </w:r>
          </w:p>
        </w:tc>
        <w:tc>
          <w:tcPr>
            <w:tcW w:type="dxa" w:w="1881"/>
          </w:tcPr>
          <w:p>
            <w:pPr>
              <w:jc w:val="center"/>
            </w:pPr>
            <w:r>
              <w:rPr>
                <w:b w:val="0"/>
                <w:sz w:val="17"/>
              </w:rPr>
              <w:t>Δ SOC / η_cargador (95%)</w:t>
            </w:r>
          </w:p>
        </w:tc>
        <w:tc>
          <w:tcPr>
            <w:tcW w:type="dxa" w:w="1881"/>
          </w:tcPr>
          <w:p>
            <w:pPr>
              <w:jc w:val="center"/>
            </w:pPr>
            <w:r>
              <w:rPr>
                <w:b w:val="0"/>
                <w:sz w:val="17"/>
              </w:rPr>
              <w:t>Potencia requerida de la red</w:t>
            </w:r>
          </w:p>
        </w:tc>
      </w:tr>
      <w:tr>
        <w:tc>
          <w:tcPr>
            <w:tcW w:type="dxa" w:w="1881"/>
          </w:tcPr>
          <w:p>
            <w:pPr>
              <w:jc w:val="center"/>
            </w:pPr>
            <w:r>
              <w:rPr>
                <w:b w:val="0"/>
                <w:sz w:val="17"/>
              </w:rPr>
              <w:t>Potencia cargador (socket)</w:t>
            </w:r>
          </w:p>
        </w:tc>
        <w:tc>
          <w:tcPr>
            <w:tcW w:type="dxa" w:w="1881"/>
          </w:tcPr>
          <w:p>
            <w:pPr>
              <w:jc w:val="center"/>
            </w:pPr>
            <w:r>
              <w:rPr>
                <w:b w:val="0"/>
                <w:sz w:val="17"/>
              </w:rPr>
              <w:t>7.4 kW (32A@230V)</w:t>
            </w:r>
          </w:p>
        </w:tc>
        <w:tc>
          <w:tcPr>
            <w:tcW w:type="dxa" w:w="1881"/>
          </w:tcPr>
          <w:p>
            <w:pPr>
              <w:jc w:val="center"/>
            </w:pPr>
            <w:r>
              <w:rPr>
                <w:b w:val="0"/>
                <w:sz w:val="17"/>
              </w:rPr>
              <w:t>7.4 kW (32A@230V)</w:t>
            </w:r>
          </w:p>
        </w:tc>
        <w:tc>
          <w:tcPr>
            <w:tcW w:type="dxa" w:w="1881"/>
          </w:tcPr>
          <w:p>
            <w:pPr>
              <w:jc w:val="center"/>
            </w:pPr>
            <w:r>
              <w:rPr>
                <w:b w:val="0"/>
                <w:sz w:val="17"/>
              </w:rPr>
              <w:t>IEC 62196-2 Tipo 2</w:t>
            </w:r>
          </w:p>
        </w:tc>
        <w:tc>
          <w:tcPr>
            <w:tcW w:type="dxa" w:w="1881"/>
          </w:tcPr>
          <w:p>
            <w:pPr>
              <w:jc w:val="center"/>
            </w:pPr>
            <w:r>
              <w:rPr>
                <w:b w:val="0"/>
                <w:sz w:val="17"/>
              </w:rPr>
              <w:t>Modo 3, CC+CV</w:t>
            </w:r>
          </w:p>
        </w:tc>
      </w:tr>
      <w:tr>
        <w:tc>
          <w:tcPr>
            <w:tcW w:type="dxa" w:w="1881"/>
          </w:tcPr>
          <w:p>
            <w:pPr>
              <w:jc w:val="center"/>
            </w:pPr>
            <w:r>
              <w:rPr>
                <w:b w:val="0"/>
                <w:sz w:val="17"/>
              </w:rPr>
              <w:t>Tiempo carga estimado</w:t>
            </w:r>
          </w:p>
        </w:tc>
        <w:tc>
          <w:tcPr>
            <w:tcW w:type="dxa" w:w="1881"/>
          </w:tcPr>
          <w:p>
            <w:pPr>
              <w:jc w:val="center"/>
            </w:pPr>
            <w:r>
              <w:rPr>
                <w:b w:val="0"/>
                <w:sz w:val="17"/>
              </w:rPr>
              <w:t>~60 min (50–70 min)</w:t>
            </w:r>
          </w:p>
        </w:tc>
        <w:tc>
          <w:tcPr>
            <w:tcW w:type="dxa" w:w="1881"/>
          </w:tcPr>
          <w:p>
            <w:pPr>
              <w:jc w:val="center"/>
            </w:pPr>
            <w:r>
              <w:rPr>
                <w:b w:val="0"/>
                <w:sz w:val="17"/>
              </w:rPr>
              <w:t>~90 min (75–105 min)</w:t>
            </w:r>
          </w:p>
        </w:tc>
        <w:tc>
          <w:tcPr>
            <w:tcW w:type="dxa" w:w="1881"/>
          </w:tcPr>
          <w:p>
            <w:pPr>
              <w:jc w:val="center"/>
            </w:pPr>
            <w:r>
              <w:rPr>
                <w:b w:val="0"/>
                <w:sz w:val="17"/>
              </w:rPr>
              <w:t>Modelo CC+CV taper</w:t>
            </w:r>
          </w:p>
        </w:tc>
        <w:tc>
          <w:tcPr>
            <w:tcW w:type="dxa" w:w="1881"/>
          </w:tcPr>
          <w:p>
            <w:pPr>
              <w:jc w:val="center"/>
            </w:pPr>
            <w:r>
              <w:rPr>
                <w:b w:val="0"/>
                <w:sz w:val="17"/>
              </w:rPr>
              <w:t>Perfil horario por socket</w:t>
            </w:r>
          </w:p>
        </w:tc>
      </w:tr>
      <w:tr>
        <w:tc>
          <w:tcPr>
            <w:tcW w:type="dxa" w:w="1881"/>
          </w:tcPr>
          <w:p>
            <w:pPr>
              <w:jc w:val="center"/>
            </w:pPr>
            <w:r>
              <w:rPr>
                <w:b w:val="0"/>
                <w:sz w:val="17"/>
              </w:rPr>
              <w:t>Factor emisión gasolina</w:t>
            </w:r>
          </w:p>
        </w:tc>
        <w:tc>
          <w:tcPr>
            <w:tcW w:type="dxa" w:w="1881"/>
          </w:tcPr>
          <w:p>
            <w:pPr>
              <w:jc w:val="center"/>
            </w:pPr>
            <w:r>
              <w:rPr>
                <w:b w:val="0"/>
                <w:sz w:val="17"/>
              </w:rPr>
              <w:t>0.87 kg CO₂/kWh</w:t>
            </w:r>
          </w:p>
        </w:tc>
        <w:tc>
          <w:tcPr>
            <w:tcW w:type="dxa" w:w="1881"/>
          </w:tcPr>
          <w:p>
            <w:pPr>
              <w:jc w:val="center"/>
            </w:pPr>
            <w:r>
              <w:rPr>
                <w:b w:val="0"/>
                <w:sz w:val="17"/>
              </w:rPr>
              <w:t>—</w:t>
            </w:r>
          </w:p>
        </w:tc>
        <w:tc>
          <w:tcPr>
            <w:tcW w:type="dxa" w:w="1881"/>
          </w:tcPr>
          <w:p>
            <w:pPr>
              <w:jc w:val="center"/>
            </w:pPr>
            <w:r>
              <w:rPr>
                <w:b w:val="0"/>
                <w:sz w:val="17"/>
              </w:rPr>
              <w:t>IPCC 2006 Tier 2</w:t>
            </w:r>
          </w:p>
        </w:tc>
        <w:tc>
          <w:tcPr>
            <w:tcW w:type="dxa" w:w="1881"/>
          </w:tcPr>
          <w:p>
            <w:pPr>
              <w:jc w:val="center"/>
            </w:pPr>
            <w:r>
              <w:rPr>
                <w:b w:val="0"/>
                <w:sz w:val="17"/>
              </w:rPr>
              <w:t>Reducción directa motos</w:t>
            </w:r>
          </w:p>
        </w:tc>
      </w:tr>
      <w:tr>
        <w:tc>
          <w:tcPr>
            <w:tcW w:type="dxa" w:w="1881"/>
          </w:tcPr>
          <w:p>
            <w:pPr>
              <w:jc w:val="center"/>
            </w:pPr>
            <w:r>
              <w:rPr>
                <w:b w:val="0"/>
                <w:sz w:val="17"/>
              </w:rPr>
              <w:t>Factor emisión diésel</w:t>
            </w:r>
          </w:p>
        </w:tc>
        <w:tc>
          <w:tcPr>
            <w:tcW w:type="dxa" w:w="1881"/>
          </w:tcPr>
          <w:p>
            <w:pPr>
              <w:jc w:val="center"/>
            </w:pPr>
            <w:r>
              <w:rPr>
                <w:b w:val="0"/>
                <w:sz w:val="17"/>
              </w:rPr>
              <w:t>—</w:t>
            </w:r>
          </w:p>
        </w:tc>
        <w:tc>
          <w:tcPr>
            <w:tcW w:type="dxa" w:w="1881"/>
          </w:tcPr>
          <w:p>
            <w:pPr>
              <w:jc w:val="center"/>
            </w:pPr>
            <w:r>
              <w:rPr>
                <w:b w:val="0"/>
                <w:sz w:val="17"/>
              </w:rPr>
              <w:t>0.47 kg CO₂/kWh</w:t>
            </w:r>
          </w:p>
        </w:tc>
        <w:tc>
          <w:tcPr>
            <w:tcW w:type="dxa" w:w="1881"/>
          </w:tcPr>
          <w:p>
            <w:pPr>
              <w:jc w:val="center"/>
            </w:pPr>
            <w:r>
              <w:rPr>
                <w:b w:val="0"/>
                <w:sz w:val="17"/>
              </w:rPr>
              <w:t>IPCC 2006 Tier 2</w:t>
            </w:r>
          </w:p>
        </w:tc>
        <w:tc>
          <w:tcPr>
            <w:tcW w:type="dxa" w:w="1881"/>
          </w:tcPr>
          <w:p>
            <w:pPr>
              <w:jc w:val="center"/>
            </w:pPr>
            <w:r>
              <w:rPr>
                <w:b w:val="0"/>
                <w:sz w:val="17"/>
              </w:rPr>
              <w:t>Reducción directa mototaxis</w:t>
            </w:r>
          </w:p>
        </w:tc>
      </w:tr>
    </w:tbl>
    <w:p>
      <w:pPr>
        <w:spacing w:after="120"/>
        <w:jc w:val="center"/>
      </w:pPr>
      <w:r>
        <w:rPr>
          <w:i/>
          <w:sz w:val="18"/>
        </w:rPr>
        <w:t>Tabla 5.1.3.2. Especificaciones de baterías vehiculares y parámetros de carga. η_cargador = 95% (eficiencia Modo 3). CC = Constant Current, CV = Constant Voltage. Fuente: chargers.py v5.4 + IPCC 2006 Tier 2 (emisiones combustibles).</w:t>
      </w:r>
    </w:p>
    <w:p>
      <w:pPr>
        <w:spacing w:after="80" w:before="0"/>
        <w:jc w:val="both"/>
      </w:pPr>
      <w:r>
        <w:rPr>
          <w:b/>
          <w:sz w:val="22"/>
        </w:rPr>
        <w:t>5.1.3.3. Resultados descriptivos de la demanda EV anual</w:t>
      </w:r>
      <w:r>
        <w:t xml:space="preserve"> </w:t>
      </w:r>
      <w:r>
        <w:rPr>
          <w:sz w:val="22"/>
        </w:rPr>
      </w:r>
    </w:p>
    <w:p>
      <w:pPr>
        <w:spacing w:after="80" w:before="0"/>
        <w:jc w:val="both"/>
      </w:pPr>
      <w:r>
        <w:rPr>
          <w:sz w:val="22"/>
        </w:rPr>
        <w:t>La simulación estocástica de 270 motos + 39 mototaxis/día durante 8,760 horas (año 2024) produce el perfil de demanda EV que alimenta el entorno CityLearn v2 en OE3. Los estadísticos principales de la demanda EV anual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de demanda EV</w:t>
            </w:r>
          </w:p>
        </w:tc>
        <w:tc>
          <w:tcPr>
            <w:tcW w:type="dxa" w:w="3135"/>
            <w:shd w:val="clear" w:color="auto" w:fill="D0E4F7"/>
          </w:tcPr>
          <w:p>
            <w:pPr>
              <w:jc w:val="center"/>
            </w:pPr>
            <w:r>
              <w:rPr>
                <w:b/>
                <w:sz w:val="18"/>
              </w:rPr>
              <w:t>Valor</w:t>
            </w:r>
          </w:p>
        </w:tc>
        <w:tc>
          <w:tcPr>
            <w:tcW w:type="dxa" w:w="3135"/>
            <w:shd w:val="clear" w:color="auto" w:fill="D0E4F7"/>
          </w:tcPr>
          <w:p>
            <w:pPr>
              <w:jc w:val="center"/>
            </w:pPr>
            <w:r>
              <w:rPr>
                <w:b/>
                <w:sz w:val="18"/>
              </w:rPr>
              <w:t>Observación</w:t>
            </w:r>
          </w:p>
        </w:tc>
      </w:tr>
      <w:tr>
        <w:tc>
          <w:tcPr>
            <w:tcW w:type="dxa" w:w="3135"/>
          </w:tcPr>
          <w:p>
            <w:pPr>
              <w:jc w:val="center"/>
            </w:pPr>
            <w:r>
              <w:rPr>
                <w:b w:val="0"/>
                <w:sz w:val="18"/>
              </w:rPr>
              <w:t>Demanda EV total anual</w:t>
            </w:r>
          </w:p>
        </w:tc>
        <w:tc>
          <w:tcPr>
            <w:tcW w:type="dxa" w:w="3135"/>
          </w:tcPr>
          <w:p>
            <w:pPr>
              <w:jc w:val="center"/>
            </w:pPr>
            <w:r>
              <w:rPr>
                <w:b w:val="0"/>
                <w:sz w:val="18"/>
              </w:rPr>
              <w:t>408,282 kWh/año</w:t>
            </w:r>
          </w:p>
        </w:tc>
        <w:tc>
          <w:tcPr>
            <w:tcW w:type="dxa" w:w="3135"/>
          </w:tcPr>
          <w:p>
            <w:pPr>
              <w:jc w:val="center"/>
            </w:pPr>
            <w:r>
              <w:rPr>
                <w:b w:val="0"/>
                <w:sz w:val="18"/>
              </w:rPr>
              <w:t>≡ 408.3 MWh/año</w:t>
            </w:r>
          </w:p>
        </w:tc>
      </w:tr>
      <w:tr>
        <w:tc>
          <w:tcPr>
            <w:tcW w:type="dxa" w:w="3135"/>
          </w:tcPr>
          <w:p>
            <w:pPr>
              <w:jc w:val="center"/>
            </w:pPr>
            <w:r>
              <w:rPr>
                <w:b w:val="0"/>
                <w:sz w:val="18"/>
              </w:rPr>
              <w:t>Demanda EV media diaria</w:t>
            </w:r>
          </w:p>
        </w:tc>
        <w:tc>
          <w:tcPr>
            <w:tcW w:type="dxa" w:w="3135"/>
          </w:tcPr>
          <w:p>
            <w:pPr>
              <w:jc w:val="center"/>
            </w:pPr>
            <w:r>
              <w:rPr>
                <w:b w:val="0"/>
                <w:sz w:val="18"/>
              </w:rPr>
              <w:t>1,118 kWh/día</w:t>
            </w:r>
          </w:p>
        </w:tc>
        <w:tc>
          <w:tcPr>
            <w:tcW w:type="dxa" w:w="3135"/>
          </w:tcPr>
          <w:p>
            <w:pPr>
              <w:jc w:val="center"/>
            </w:pPr>
            <w:r>
              <w:rPr>
                <w:b w:val="0"/>
                <w:sz w:val="18"/>
              </w:rPr>
              <w:t>270 motos × 2.906 kWh + 39 mototaxis × 4.674 kWh</w:t>
            </w:r>
          </w:p>
        </w:tc>
      </w:tr>
      <w:tr>
        <w:tc>
          <w:tcPr>
            <w:tcW w:type="dxa" w:w="3135"/>
          </w:tcPr>
          <w:p>
            <w:pPr>
              <w:jc w:val="center"/>
            </w:pPr>
            <w:r>
              <w:rPr>
                <w:b w:val="0"/>
                <w:sz w:val="18"/>
              </w:rPr>
              <w:t>Potencia EV máxima instantánea</w:t>
            </w:r>
          </w:p>
        </w:tc>
        <w:tc>
          <w:tcPr>
            <w:tcW w:type="dxa" w:w="3135"/>
          </w:tcPr>
          <w:p>
            <w:pPr>
              <w:jc w:val="center"/>
            </w:pPr>
            <w:r>
              <w:rPr>
                <w:b w:val="0"/>
                <w:sz w:val="18"/>
              </w:rPr>
              <w:t>169.76 kW</w:t>
            </w:r>
          </w:p>
        </w:tc>
        <w:tc>
          <w:tcPr>
            <w:tcW w:type="dxa" w:w="3135"/>
          </w:tcPr>
          <w:p>
            <w:pPr>
              <w:jc w:val="center"/>
            </w:pPr>
            <w:r>
              <w:rPr>
                <w:b w:val="0"/>
                <w:sz w:val="18"/>
              </w:rPr>
              <w:t>60.4% de potencia instalada total</w:t>
            </w:r>
          </w:p>
        </w:tc>
      </w:tr>
      <w:tr>
        <w:tc>
          <w:tcPr>
            <w:tcW w:type="dxa" w:w="3135"/>
          </w:tcPr>
          <w:p>
            <w:pPr>
              <w:jc w:val="center"/>
            </w:pPr>
            <w:r>
              <w:rPr>
                <w:b w:val="0"/>
                <w:sz w:val="18"/>
              </w:rPr>
              <w:t>Potencia EV media en operación</w:t>
            </w:r>
          </w:p>
        </w:tc>
        <w:tc>
          <w:tcPr>
            <w:tcW w:type="dxa" w:w="3135"/>
          </w:tcPr>
          <w:p>
            <w:pPr>
              <w:jc w:val="center"/>
            </w:pPr>
            <w:r>
              <w:rPr>
                <w:b w:val="0"/>
                <w:sz w:val="18"/>
              </w:rPr>
              <w:t>46.61 kW</w:t>
            </w:r>
          </w:p>
        </w:tc>
        <w:tc>
          <w:tcPr>
            <w:tcW w:type="dxa" w:w="3135"/>
          </w:tcPr>
          <w:p>
            <w:pPr>
              <w:jc w:val="center"/>
            </w:pPr>
            <w:r>
              <w:rPr>
                <w:b w:val="0"/>
                <w:sz w:val="18"/>
              </w:rPr>
              <w:t>Factor de utilización = 16.6%</w:t>
            </w:r>
          </w:p>
        </w:tc>
      </w:tr>
      <w:tr>
        <w:tc>
          <w:tcPr>
            <w:tcW w:type="dxa" w:w="3135"/>
          </w:tcPr>
          <w:p>
            <w:pPr>
              <w:jc w:val="center"/>
            </w:pPr>
            <w:r>
              <w:rPr>
                <w:b w:val="0"/>
                <w:sz w:val="18"/>
              </w:rPr>
              <w:t>Horas de carga activa anual</w:t>
            </w:r>
          </w:p>
        </w:tc>
        <w:tc>
          <w:tcPr>
            <w:tcW w:type="dxa" w:w="3135"/>
          </w:tcPr>
          <w:p>
            <w:pPr>
              <w:jc w:val="center"/>
            </w:pPr>
            <w:r>
              <w:rPr>
                <w:b w:val="0"/>
                <w:sz w:val="18"/>
              </w:rPr>
              <w:t>4,380 h/año</w:t>
            </w:r>
          </w:p>
        </w:tc>
        <w:tc>
          <w:tcPr>
            <w:tcW w:type="dxa" w:w="3135"/>
          </w:tcPr>
          <w:p>
            <w:pPr>
              <w:jc w:val="center"/>
            </w:pPr>
            <w:r>
              <w:rPr>
                <w:b w:val="0"/>
                <w:sz w:val="18"/>
              </w:rPr>
              <w:t>50% del año (50.0% del tiempo)</w:t>
            </w:r>
          </w:p>
        </w:tc>
      </w:tr>
      <w:tr>
        <w:tc>
          <w:tcPr>
            <w:tcW w:type="dxa" w:w="3135"/>
          </w:tcPr>
          <w:p>
            <w:pPr>
              <w:jc w:val="center"/>
            </w:pPr>
            <w:r>
              <w:rPr>
                <w:b w:val="0"/>
                <w:sz w:val="18"/>
              </w:rPr>
              <w:t>Potencia total instalada (38 sockets)</w:t>
            </w:r>
          </w:p>
        </w:tc>
        <w:tc>
          <w:tcPr>
            <w:tcW w:type="dxa" w:w="3135"/>
          </w:tcPr>
          <w:p>
            <w:pPr>
              <w:jc w:val="center"/>
            </w:pPr>
            <w:r>
              <w:rPr>
                <w:b w:val="0"/>
                <w:sz w:val="18"/>
              </w:rPr>
              <w:t>281.2 kW</w:t>
            </w:r>
          </w:p>
        </w:tc>
        <w:tc>
          <w:tcPr>
            <w:tcW w:type="dxa" w:w="3135"/>
          </w:tcPr>
          <w:p>
            <w:pPr>
              <w:jc w:val="center"/>
            </w:pPr>
            <w:r>
              <w:rPr>
                <w:b w:val="0"/>
                <w:sz w:val="18"/>
              </w:rPr>
              <w:t>19 cargadores × 2 sockets × 7.4 kW</w:t>
            </w:r>
          </w:p>
        </w:tc>
      </w:tr>
      <w:tr>
        <w:tc>
          <w:tcPr>
            <w:tcW w:type="dxa" w:w="3135"/>
          </w:tcPr>
          <w:p>
            <w:pPr>
              <w:jc w:val="center"/>
            </w:pPr>
            <w:r>
              <w:rPr>
                <w:b w:val="0"/>
                <w:sz w:val="18"/>
              </w:rPr>
              <w:t>CO₂ directo evitado — Motos</w:t>
            </w:r>
          </w:p>
        </w:tc>
        <w:tc>
          <w:tcPr>
            <w:tcW w:type="dxa" w:w="3135"/>
          </w:tcPr>
          <w:p>
            <w:pPr>
              <w:jc w:val="center"/>
            </w:pPr>
            <w:r>
              <w:rPr>
                <w:b w:val="0"/>
                <w:sz w:val="18"/>
              </w:rPr>
              <w:t>203.7 tCO₂/año</w:t>
            </w:r>
          </w:p>
        </w:tc>
        <w:tc>
          <w:tcPr>
            <w:tcW w:type="dxa" w:w="3135"/>
          </w:tcPr>
          <w:p>
            <w:pPr>
              <w:jc w:val="center"/>
            </w:pPr>
            <w:r>
              <w:rPr>
                <w:b w:val="0"/>
                <w:sz w:val="18"/>
              </w:rPr>
              <w:t>234,111 kWh × 0.87 kg/kWh (gasolina)</w:t>
            </w:r>
          </w:p>
        </w:tc>
      </w:tr>
      <w:tr>
        <w:tc>
          <w:tcPr>
            <w:tcW w:type="dxa" w:w="3135"/>
          </w:tcPr>
          <w:p>
            <w:pPr>
              <w:jc w:val="center"/>
            </w:pPr>
            <w:r>
              <w:rPr>
                <w:b w:val="0"/>
                <w:sz w:val="18"/>
              </w:rPr>
              <w:t>CO₂ directo evitado — Mototaxis</w:t>
            </w:r>
          </w:p>
        </w:tc>
        <w:tc>
          <w:tcPr>
            <w:tcW w:type="dxa" w:w="3135"/>
          </w:tcPr>
          <w:p>
            <w:pPr>
              <w:jc w:val="center"/>
            </w:pPr>
            <w:r>
              <w:rPr>
                <w:b w:val="0"/>
                <w:sz w:val="18"/>
              </w:rPr>
              <w:t>39.6 tCO₂/año</w:t>
            </w:r>
          </w:p>
        </w:tc>
        <w:tc>
          <w:tcPr>
            <w:tcW w:type="dxa" w:w="3135"/>
          </w:tcPr>
          <w:p>
            <w:pPr>
              <w:jc w:val="center"/>
            </w:pPr>
            <w:r>
              <w:rPr>
                <w:b w:val="0"/>
                <w:sz w:val="18"/>
              </w:rPr>
              <w:t>84,203 kWh × 0.47 kg/kWh (diésel)</w:t>
            </w:r>
          </w:p>
        </w:tc>
      </w:tr>
      <w:tr>
        <w:tc>
          <w:tcPr>
            <w:tcW w:type="dxa" w:w="3135"/>
          </w:tcPr>
          <w:p>
            <w:pPr>
              <w:jc w:val="center"/>
            </w:pPr>
            <w:r>
              <w:rPr>
                <w:b w:val="0"/>
                <w:sz w:val="18"/>
              </w:rPr>
              <w:t>CO₂ directo total evitado</w:t>
            </w:r>
          </w:p>
        </w:tc>
        <w:tc>
          <w:tcPr>
            <w:tcW w:type="dxa" w:w="3135"/>
          </w:tcPr>
          <w:p>
            <w:pPr>
              <w:jc w:val="center"/>
            </w:pPr>
            <w:r>
              <w:rPr>
                <w:b w:val="0"/>
                <w:sz w:val="18"/>
              </w:rPr>
              <w:t>243.3 tCO₂/año</w:t>
            </w:r>
          </w:p>
        </w:tc>
        <w:tc>
          <w:tcPr>
            <w:tcW w:type="dxa" w:w="3135"/>
          </w:tcPr>
          <w:p>
            <w:pPr>
              <w:jc w:val="center"/>
            </w:pPr>
            <w:r>
              <w:rPr>
                <w:b w:val="0"/>
                <w:sz w:val="18"/>
              </w:rPr>
              <w:t>≡ 46,156 litros combustible / año evitados</w:t>
            </w:r>
          </w:p>
        </w:tc>
      </w:tr>
    </w:tbl>
    <w:p>
      <w:pPr>
        <w:spacing w:after="120"/>
        <w:jc w:val="center"/>
      </w:pPr>
      <w:r>
        <w:rPr>
          <w:i/>
          <w:sz w:val="18"/>
        </w:rPr>
        <w:t>Tabla 5.1.3.3. Estadísticos descriptivos de la demanda EV anual (year 2024, 8,760 h). Factor de utilización = Potencia media / Potencia instalada total. Fuente: data/oe2/chargers/chargers_ev_ano_2024_v3.csv + REDUCCION_DIRECTA_CO2_ANUAL_DETALLADO.json</w:t>
      </w:r>
    </w:p>
    <w:p>
      <w:pPr>
        <w:spacing w:after="80" w:before="0"/>
        <w:jc w:val="both"/>
      </w:pPr>
      <w:r>
        <w:rPr>
          <w:sz w:val="22"/>
        </w:rPr>
        <w:t>El perfil horario de la demanda EV evidencia concentración en el periodo 10:00–22:00, con hora punta entre las 18:00 y 22:00 (55% de la energía diaria), alineado con el horario de atención del mall de Iquitos y el retorno vespertino de los conductores. Esta concentración vespertina es la principal razón de diseño para incluir el BESS: desplazar energía solar generada en horas diurnas (10:00–15:00, pico de irradiancia) hacia el periodo de mayor demanda EV (18:00–22:00), reduciendo la importación de la red diésel en hora punta (tarifa HP = S/. 0.45/kWh).</w:t>
      </w:r>
    </w:p>
    <w:p>
      <w:pPr>
        <w:pStyle w:val="Heading2"/>
        <w:jc w:val="left"/>
      </w:pPr>
      <w:r>
        <w:t>5.1.4. Resultados descriptivos del dimensionamiento del BESS y de la operación base del sistema FV–BESS–cargadores</w:t>
      </w:r>
    </w:p>
    <w:p>
      <w:pPr>
        <w:spacing w:after="80" w:before="0"/>
        <w:jc w:val="both"/>
      </w:pPr>
      <w:r>
        <w:rPr>
          <w:b/>
          <w:sz w:val="22"/>
        </w:rPr>
        <w:t>5.1.4.1. Especificaciones técnicas del BESS</w:t>
      </w:r>
      <w:r>
        <w:t xml:space="preserve"> </w:t>
      </w:r>
      <w:r>
        <w:rPr>
          <w:sz w:val="22"/>
        </w:rPr>
      </w:r>
    </w:p>
    <w:p>
      <w:pPr>
        <w:spacing w:after="80" w:before="0"/>
        <w:jc w:val="both"/>
      </w:pPr>
      <w:r>
        <w:rPr>
          <w:sz w:val="22"/>
        </w:rPr>
        <w:t>El sistema de almacenamiento en baterías (BESS, Battery Energy Storage System) fue dimensionado para cubrir la demanda EV en hora punta durante 5 horas consecutivas sin generación solar, con una profundidad de descarga (DoD) del 80% para garantizar un mínimo de 3,500 ciclos de vida útil. La tecnología seleccionada es electroquímica de iones de litio (Li-ion NMC), dada su alta densidad energética, eficiencia de round-trip (95%) y disponibilidad en el mercado regional sudamericano (2024–2025).</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Parámetro BESS</w:t>
            </w:r>
          </w:p>
        </w:tc>
        <w:tc>
          <w:tcPr>
            <w:tcW w:type="dxa" w:w="3135"/>
            <w:shd w:val="clear" w:color="auto" w:fill="D0E4F7"/>
          </w:tcPr>
          <w:p>
            <w:pPr>
              <w:jc w:val="center"/>
            </w:pPr>
            <w:r>
              <w:rPr>
                <w:b/>
                <w:sz w:val="18"/>
              </w:rPr>
              <w:t>Valor de diseño</w:t>
            </w:r>
          </w:p>
        </w:tc>
        <w:tc>
          <w:tcPr>
            <w:tcW w:type="dxa" w:w="3135"/>
            <w:shd w:val="clear" w:color="auto" w:fill="D0E4F7"/>
          </w:tcPr>
          <w:p>
            <w:pPr>
              <w:jc w:val="center"/>
            </w:pPr>
            <w:r>
              <w:rPr>
                <w:b/>
                <w:sz w:val="18"/>
              </w:rPr>
              <w:t>Criterio / Norma</w:t>
            </w:r>
          </w:p>
        </w:tc>
      </w:tr>
      <w:tr>
        <w:tc>
          <w:tcPr>
            <w:tcW w:type="dxa" w:w="3135"/>
          </w:tcPr>
          <w:p>
            <w:pPr>
              <w:jc w:val="center"/>
            </w:pPr>
            <w:r>
              <w:rPr>
                <w:b w:val="0"/>
                <w:sz w:val="18"/>
              </w:rPr>
              <w:t>Capacidad nominal energética</w:t>
            </w:r>
          </w:p>
        </w:tc>
        <w:tc>
          <w:tcPr>
            <w:tcW w:type="dxa" w:w="3135"/>
          </w:tcPr>
          <w:p>
            <w:pPr>
              <w:jc w:val="center"/>
            </w:pPr>
            <w:r>
              <w:rPr>
                <w:b w:val="0"/>
                <w:sz w:val="18"/>
              </w:rPr>
              <w:t>2,000 kWh</w:t>
            </w:r>
          </w:p>
        </w:tc>
        <w:tc>
          <w:tcPr>
            <w:tcW w:type="dxa" w:w="3135"/>
          </w:tcPr>
          <w:p>
            <w:pPr>
              <w:jc w:val="center"/>
            </w:pPr>
            <w:r>
              <w:rPr>
                <w:b w:val="0"/>
                <w:sz w:val="18"/>
              </w:rPr>
              <w:t>Autonomía 5 h a 400 kW</w:t>
            </w:r>
          </w:p>
        </w:tc>
      </w:tr>
      <w:tr>
        <w:tc>
          <w:tcPr>
            <w:tcW w:type="dxa" w:w="3135"/>
          </w:tcPr>
          <w:p>
            <w:pPr>
              <w:jc w:val="center"/>
            </w:pPr>
            <w:r>
              <w:rPr>
                <w:b w:val="0"/>
                <w:sz w:val="18"/>
              </w:rPr>
              <w:t>Potencia máxima carga/descarga</w:t>
            </w:r>
          </w:p>
        </w:tc>
        <w:tc>
          <w:tcPr>
            <w:tcW w:type="dxa" w:w="3135"/>
          </w:tcPr>
          <w:p>
            <w:pPr>
              <w:jc w:val="center"/>
            </w:pPr>
            <w:r>
              <w:rPr>
                <w:b w:val="0"/>
                <w:sz w:val="18"/>
              </w:rPr>
              <w:t>400 kW</w:t>
            </w:r>
          </w:p>
        </w:tc>
        <w:tc>
          <w:tcPr>
            <w:tcW w:type="dxa" w:w="3135"/>
          </w:tcPr>
          <w:p>
            <w:pPr>
              <w:jc w:val="center"/>
            </w:pPr>
            <w:r>
              <w:rPr>
                <w:b w:val="0"/>
                <w:sz w:val="18"/>
              </w:rPr>
              <w:t>≥ potencia EV punta (170 kW) + margen 2.4×</w:t>
            </w:r>
          </w:p>
        </w:tc>
      </w:tr>
      <w:tr>
        <w:tc>
          <w:tcPr>
            <w:tcW w:type="dxa" w:w="3135"/>
          </w:tcPr>
          <w:p>
            <w:pPr>
              <w:jc w:val="center"/>
            </w:pPr>
            <w:r>
              <w:rPr>
                <w:b w:val="0"/>
                <w:sz w:val="18"/>
              </w:rPr>
              <w:t>Energía utilizable (DoD 80%)</w:t>
            </w:r>
          </w:p>
        </w:tc>
        <w:tc>
          <w:tcPr>
            <w:tcW w:type="dxa" w:w="3135"/>
          </w:tcPr>
          <w:p>
            <w:pPr>
              <w:jc w:val="center"/>
            </w:pPr>
            <w:r>
              <w:rPr>
                <w:b w:val="0"/>
                <w:sz w:val="18"/>
              </w:rPr>
              <w:t>1,600 kWh</w:t>
            </w:r>
          </w:p>
        </w:tc>
        <w:tc>
          <w:tcPr>
            <w:tcW w:type="dxa" w:w="3135"/>
          </w:tcPr>
          <w:p>
            <w:pPr>
              <w:jc w:val="center"/>
            </w:pPr>
            <w:r>
              <w:rPr>
                <w:b w:val="0"/>
                <w:sz w:val="18"/>
              </w:rPr>
              <w:t>1,600 kWh = 2,000 × 0.80</w:t>
            </w:r>
          </w:p>
        </w:tc>
      </w:tr>
      <w:tr>
        <w:tc>
          <w:tcPr>
            <w:tcW w:type="dxa" w:w="3135"/>
          </w:tcPr>
          <w:p>
            <w:pPr>
              <w:jc w:val="center"/>
            </w:pPr>
            <w:r>
              <w:rPr>
                <w:b w:val="0"/>
                <w:sz w:val="18"/>
              </w:rPr>
              <w:t>Profundidad de descarga (DoD)</w:t>
            </w:r>
          </w:p>
        </w:tc>
        <w:tc>
          <w:tcPr>
            <w:tcW w:type="dxa" w:w="3135"/>
          </w:tcPr>
          <w:p>
            <w:pPr>
              <w:jc w:val="center"/>
            </w:pPr>
            <w:r>
              <w:rPr>
                <w:b w:val="0"/>
                <w:sz w:val="18"/>
              </w:rPr>
              <w:t>80%</w:t>
            </w:r>
          </w:p>
        </w:tc>
        <w:tc>
          <w:tcPr>
            <w:tcW w:type="dxa" w:w="3135"/>
          </w:tcPr>
          <w:p>
            <w:pPr>
              <w:jc w:val="center"/>
            </w:pPr>
            <w:r>
              <w:rPr>
                <w:b w:val="0"/>
                <w:sz w:val="18"/>
              </w:rPr>
              <w:t>IEC 62619 — vida útil ≥ 3,500 ciclos</w:t>
            </w:r>
          </w:p>
        </w:tc>
      </w:tr>
      <w:tr>
        <w:tc>
          <w:tcPr>
            <w:tcW w:type="dxa" w:w="3135"/>
          </w:tcPr>
          <w:p>
            <w:pPr>
              <w:jc w:val="center"/>
            </w:pPr>
            <w:r>
              <w:rPr>
                <w:b w:val="0"/>
                <w:sz w:val="18"/>
              </w:rPr>
              <w:t>Eficiencia round-trip (η)</w:t>
            </w:r>
          </w:p>
        </w:tc>
        <w:tc>
          <w:tcPr>
            <w:tcW w:type="dxa" w:w="3135"/>
          </w:tcPr>
          <w:p>
            <w:pPr>
              <w:jc w:val="center"/>
            </w:pPr>
            <w:r>
              <w:rPr>
                <w:b w:val="0"/>
                <w:sz w:val="18"/>
              </w:rPr>
              <w:t>95%</w:t>
            </w:r>
          </w:p>
        </w:tc>
        <w:tc>
          <w:tcPr>
            <w:tcW w:type="dxa" w:w="3135"/>
          </w:tcPr>
          <w:p>
            <w:pPr>
              <w:jc w:val="center"/>
            </w:pPr>
            <w:r>
              <w:rPr>
                <w:b w:val="0"/>
                <w:sz w:val="18"/>
              </w:rPr>
              <w:t>IEC 62933-2 — medición E_out/E_in</w:t>
            </w:r>
          </w:p>
        </w:tc>
      </w:tr>
      <w:tr>
        <w:tc>
          <w:tcPr>
            <w:tcW w:type="dxa" w:w="3135"/>
          </w:tcPr>
          <w:p>
            <w:pPr>
              <w:jc w:val="center"/>
            </w:pPr>
            <w:r>
              <w:rPr>
                <w:b w:val="0"/>
                <w:sz w:val="18"/>
              </w:rPr>
              <w:t>SOC mínimo operacional</w:t>
            </w:r>
          </w:p>
        </w:tc>
        <w:tc>
          <w:tcPr>
            <w:tcW w:type="dxa" w:w="3135"/>
          </w:tcPr>
          <w:p>
            <w:pPr>
              <w:jc w:val="center"/>
            </w:pPr>
            <w:r>
              <w:rPr>
                <w:b w:val="0"/>
                <w:sz w:val="18"/>
              </w:rPr>
              <w:t>20% (400 kWh)</w:t>
            </w:r>
          </w:p>
        </w:tc>
        <w:tc>
          <w:tcPr>
            <w:tcW w:type="dxa" w:w="3135"/>
          </w:tcPr>
          <w:p>
            <w:pPr>
              <w:jc w:val="center"/>
            </w:pPr>
            <w:r>
              <w:rPr>
                <w:b w:val="0"/>
                <w:sz w:val="18"/>
              </w:rPr>
              <w:t>Protección batería — zona inactiva RL</w:t>
            </w:r>
          </w:p>
        </w:tc>
      </w:tr>
      <w:tr>
        <w:tc>
          <w:tcPr>
            <w:tcW w:type="dxa" w:w="3135"/>
          </w:tcPr>
          <w:p>
            <w:pPr>
              <w:jc w:val="center"/>
            </w:pPr>
            <w:r>
              <w:rPr>
                <w:b w:val="0"/>
                <w:sz w:val="18"/>
              </w:rPr>
              <w:t>SOC máximo operacional</w:t>
            </w:r>
          </w:p>
        </w:tc>
        <w:tc>
          <w:tcPr>
            <w:tcW w:type="dxa" w:w="3135"/>
          </w:tcPr>
          <w:p>
            <w:pPr>
              <w:jc w:val="center"/>
            </w:pPr>
            <w:r>
              <w:rPr>
                <w:b w:val="0"/>
                <w:sz w:val="18"/>
              </w:rPr>
              <w:t>100% (2,000 kWh)</w:t>
            </w:r>
          </w:p>
        </w:tc>
        <w:tc>
          <w:tcPr>
            <w:tcW w:type="dxa" w:w="3135"/>
          </w:tcPr>
          <w:p>
            <w:pPr>
              <w:jc w:val="center"/>
            </w:pPr>
            <w:r>
              <w:rPr>
                <w:b w:val="0"/>
                <w:sz w:val="18"/>
              </w:rPr>
              <w:t>Carga completa en excedente solar</w:t>
            </w:r>
          </w:p>
        </w:tc>
      </w:tr>
      <w:tr>
        <w:tc>
          <w:tcPr>
            <w:tcW w:type="dxa" w:w="3135"/>
          </w:tcPr>
          <w:p>
            <w:pPr>
              <w:jc w:val="center"/>
            </w:pPr>
            <w:r>
              <w:rPr>
                <w:b w:val="0"/>
                <w:sz w:val="18"/>
              </w:rPr>
              <w:t>Autonomía máxima a potencia nominal</w:t>
            </w:r>
          </w:p>
        </w:tc>
        <w:tc>
          <w:tcPr>
            <w:tcW w:type="dxa" w:w="3135"/>
          </w:tcPr>
          <w:p>
            <w:pPr>
              <w:jc w:val="center"/>
            </w:pPr>
            <w:r>
              <w:rPr>
                <w:b w:val="0"/>
                <w:sz w:val="18"/>
              </w:rPr>
              <w:t>5 horas</w:t>
            </w:r>
          </w:p>
        </w:tc>
        <w:tc>
          <w:tcPr>
            <w:tcW w:type="dxa" w:w="3135"/>
          </w:tcPr>
          <w:p>
            <w:pPr>
              <w:jc w:val="center"/>
            </w:pPr>
            <w:r>
              <w:rPr>
                <w:b w:val="0"/>
                <w:sz w:val="18"/>
              </w:rPr>
              <w:t>2,000 kWh / 400 kW = 5 h</w:t>
            </w:r>
          </w:p>
        </w:tc>
      </w:tr>
      <w:tr>
        <w:tc>
          <w:tcPr>
            <w:tcW w:type="dxa" w:w="3135"/>
          </w:tcPr>
          <w:p>
            <w:pPr>
              <w:jc w:val="center"/>
            </w:pPr>
            <w:r>
              <w:rPr>
                <w:b w:val="0"/>
                <w:sz w:val="18"/>
              </w:rPr>
              <w:t>Estrategia base de despacho</w:t>
            </w:r>
          </w:p>
        </w:tc>
        <w:tc>
          <w:tcPr>
            <w:tcW w:type="dxa" w:w="3135"/>
          </w:tcPr>
          <w:p>
            <w:pPr>
              <w:jc w:val="center"/>
            </w:pPr>
            <w:r>
              <w:rPr>
                <w:b w:val="0"/>
                <w:sz w:val="18"/>
              </w:rPr>
              <w:t>Solar-priority</w:t>
            </w:r>
          </w:p>
        </w:tc>
        <w:tc>
          <w:tcPr>
            <w:tcW w:type="dxa" w:w="3135"/>
          </w:tcPr>
          <w:p>
            <w:pPr>
              <w:jc w:val="center"/>
            </w:pPr>
            <w:r>
              <w:rPr>
                <w:b w:val="0"/>
                <w:sz w:val="18"/>
              </w:rPr>
              <w:t>Prioriza carga desde PV antes que desde red</w:t>
            </w:r>
          </w:p>
        </w:tc>
      </w:tr>
      <w:tr>
        <w:tc>
          <w:tcPr>
            <w:tcW w:type="dxa" w:w="3135"/>
          </w:tcPr>
          <w:p>
            <w:pPr>
              <w:jc w:val="center"/>
            </w:pPr>
            <w:r>
              <w:rPr>
                <w:b w:val="0"/>
                <w:sz w:val="18"/>
              </w:rPr>
              <w:t>Tecnología electroquímica</w:t>
            </w:r>
          </w:p>
        </w:tc>
        <w:tc>
          <w:tcPr>
            <w:tcW w:type="dxa" w:w="3135"/>
          </w:tcPr>
          <w:p>
            <w:pPr>
              <w:jc w:val="center"/>
            </w:pPr>
            <w:r>
              <w:rPr>
                <w:b w:val="0"/>
                <w:sz w:val="18"/>
              </w:rPr>
              <w:t>Li-ion NMC</w:t>
            </w:r>
          </w:p>
        </w:tc>
        <w:tc>
          <w:tcPr>
            <w:tcW w:type="dxa" w:w="3135"/>
          </w:tcPr>
          <w:p>
            <w:pPr>
              <w:jc w:val="center"/>
            </w:pPr>
            <w:r>
              <w:rPr>
                <w:b w:val="0"/>
                <w:sz w:val="18"/>
              </w:rPr>
              <w:t>IEC 62817 — alta densidad 200–250 Wh/kg</w:t>
            </w:r>
          </w:p>
        </w:tc>
      </w:tr>
      <w:tr>
        <w:tc>
          <w:tcPr>
            <w:tcW w:type="dxa" w:w="3135"/>
          </w:tcPr>
          <w:p>
            <w:pPr>
              <w:jc w:val="center"/>
            </w:pPr>
            <w:r>
              <w:rPr>
                <w:b w:val="0"/>
                <w:sz w:val="18"/>
              </w:rPr>
              <w:t>Tarifa HP (costo de red, 18–22h)</w:t>
            </w:r>
          </w:p>
        </w:tc>
        <w:tc>
          <w:tcPr>
            <w:tcW w:type="dxa" w:w="3135"/>
          </w:tcPr>
          <w:p>
            <w:pPr>
              <w:jc w:val="center"/>
            </w:pPr>
            <w:r>
              <w:rPr>
                <w:b w:val="0"/>
                <w:sz w:val="18"/>
              </w:rPr>
              <w:t>S/. 0.45/kWh</w:t>
            </w:r>
          </w:p>
        </w:tc>
        <w:tc>
          <w:tcPr>
            <w:tcW w:type="dxa" w:w="3135"/>
          </w:tcPr>
          <w:p>
            <w:pPr>
              <w:jc w:val="center"/>
            </w:pPr>
            <w:r>
              <w:rPr>
                <w:b w:val="0"/>
                <w:sz w:val="18"/>
              </w:rPr>
              <w:t>OSINERGMIN MT3 — Res. N° 047-2024-OS/CD</w:t>
            </w:r>
          </w:p>
        </w:tc>
      </w:tr>
      <w:tr>
        <w:tc>
          <w:tcPr>
            <w:tcW w:type="dxa" w:w="3135"/>
          </w:tcPr>
          <w:p>
            <w:pPr>
              <w:jc w:val="center"/>
            </w:pPr>
            <w:r>
              <w:rPr>
                <w:b w:val="0"/>
                <w:sz w:val="18"/>
              </w:rPr>
              <w:t>Tarifa HFP (costo de red, resto)</w:t>
            </w:r>
          </w:p>
        </w:tc>
        <w:tc>
          <w:tcPr>
            <w:tcW w:type="dxa" w:w="3135"/>
          </w:tcPr>
          <w:p>
            <w:pPr>
              <w:jc w:val="center"/>
            </w:pPr>
            <w:r>
              <w:rPr>
                <w:b w:val="0"/>
                <w:sz w:val="18"/>
              </w:rPr>
              <w:t>S/. 0.28/kWh</w:t>
            </w:r>
          </w:p>
        </w:tc>
        <w:tc>
          <w:tcPr>
            <w:tcW w:type="dxa" w:w="3135"/>
          </w:tcPr>
          <w:p>
            <w:pPr>
              <w:jc w:val="center"/>
            </w:pPr>
            <w:r>
              <w:rPr>
                <w:b w:val="0"/>
                <w:sz w:val="18"/>
              </w:rPr>
              <w:t>OSINERGMIN MT3 — Electro Oriente S.A.</w:t>
            </w:r>
          </w:p>
        </w:tc>
      </w:tr>
    </w:tbl>
    <w:p>
      <w:pPr>
        <w:spacing w:after="120"/>
        <w:jc w:val="center"/>
      </w:pPr>
      <w:r>
        <w:rPr>
          <w:i/>
          <w:sz w:val="18"/>
        </w:rPr>
        <w:t>Tabla 5.1.4.1. Especificaciones técnicas del BESS 2,000 kWh / 400 kW. NMC = Níquel–Manganeso–Cobalto. MT3 = Media Tensión 3 (tarifa Iquitos). Fuente: src/dimensionamiento/oe2/disenobess/bess.py + VALIDATION_RESULTS_2026-02-18.json</w:t>
      </w:r>
    </w:p>
    <w:p>
      <w:pPr>
        <w:spacing w:after="80" w:before="0"/>
        <w:jc w:val="both"/>
      </w:pPr>
      <w:r>
        <w:rPr>
          <w:b/>
          <w:sz w:val="22"/>
        </w:rPr>
        <w:t>5.1.4.2. Resultados de operación anual del BESS (baseline sin RL)</w:t>
      </w:r>
      <w:r>
        <w:t xml:space="preserve"> </w:t>
      </w:r>
      <w:r>
        <w:rPr>
          <w:sz w:val="22"/>
        </w:rPr>
      </w:r>
    </w:p>
    <w:p>
      <w:pPr>
        <w:spacing w:after="80" w:before="0"/>
        <w:jc w:val="both"/>
      </w:pPr>
      <w:r>
        <w:rPr>
          <w:sz w:val="22"/>
        </w:rPr>
        <w:t>En el escenario baseline (estrategia solar-priority sin agente RL), el BESS opera durante 8,760 horas con el único objetivo de almacenar excedente solar en horas de alta irradiancia y descargar en hora punta. Los resultados de operación para el año 2024 (8,760 registros horarios, archivo bess_ano_2024.csv) son:</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0E4F7"/>
          </w:tcPr>
          <w:p>
            <w:pPr>
              <w:jc w:val="center"/>
            </w:pPr>
            <w:r>
              <w:rPr>
                <w:b/>
                <w:sz w:val="18"/>
              </w:rPr>
              <w:t>Métrica operacional BESS</w:t>
            </w:r>
          </w:p>
        </w:tc>
        <w:tc>
          <w:tcPr>
            <w:tcW w:type="dxa" w:w="3135"/>
            <w:shd w:val="clear" w:color="auto" w:fill="D0E4F7"/>
          </w:tcPr>
          <w:p>
            <w:pPr>
              <w:jc w:val="center"/>
            </w:pPr>
            <w:r>
              <w:rPr>
                <w:b/>
                <w:sz w:val="18"/>
              </w:rPr>
              <w:t>Valor anual</w:t>
            </w:r>
          </w:p>
        </w:tc>
        <w:tc>
          <w:tcPr>
            <w:tcW w:type="dxa" w:w="3135"/>
            <w:shd w:val="clear" w:color="auto" w:fill="D0E4F7"/>
          </w:tcPr>
          <w:p>
            <w:pPr>
              <w:jc w:val="center"/>
            </w:pPr>
            <w:r>
              <w:rPr>
                <w:b/>
                <w:sz w:val="18"/>
              </w:rPr>
              <w:t>Análisis</w:t>
            </w:r>
          </w:p>
        </w:tc>
      </w:tr>
      <w:tr>
        <w:tc>
          <w:tcPr>
            <w:tcW w:type="dxa" w:w="3135"/>
          </w:tcPr>
          <w:p>
            <w:pPr>
              <w:jc w:val="center"/>
            </w:pPr>
            <w:r>
              <w:rPr>
                <w:b w:val="0"/>
                <w:sz w:val="18"/>
              </w:rPr>
              <w:t>Energía almacenada anual (carga)</w:t>
            </w:r>
          </w:p>
        </w:tc>
        <w:tc>
          <w:tcPr>
            <w:tcW w:type="dxa" w:w="3135"/>
          </w:tcPr>
          <w:p>
            <w:pPr>
              <w:jc w:val="center"/>
            </w:pPr>
            <w:r>
              <w:rPr>
                <w:b w:val="0"/>
                <w:sz w:val="18"/>
              </w:rPr>
              <w:t>677,795 kWh</w:t>
            </w:r>
          </w:p>
        </w:tc>
        <w:tc>
          <w:tcPr>
            <w:tcW w:type="dxa" w:w="3135"/>
          </w:tcPr>
          <w:p>
            <w:pPr>
              <w:jc w:val="center"/>
            </w:pPr>
            <w:r>
              <w:rPr>
                <w:b w:val="0"/>
                <w:sz w:val="18"/>
              </w:rPr>
              <w:t>4,101 h en modo carga (46.8% del año)</w:t>
            </w:r>
          </w:p>
        </w:tc>
      </w:tr>
      <w:tr>
        <w:tc>
          <w:tcPr>
            <w:tcW w:type="dxa" w:w="3135"/>
          </w:tcPr>
          <w:p>
            <w:pPr>
              <w:jc w:val="center"/>
            </w:pPr>
            <w:r>
              <w:rPr>
                <w:b w:val="0"/>
                <w:sz w:val="18"/>
              </w:rPr>
              <w:t>Energía descargada anual</w:t>
            </w:r>
          </w:p>
        </w:tc>
        <w:tc>
          <w:tcPr>
            <w:tcW w:type="dxa" w:w="3135"/>
          </w:tcPr>
          <w:p>
            <w:pPr>
              <w:jc w:val="center"/>
            </w:pPr>
            <w:r>
              <w:rPr>
                <w:b w:val="0"/>
                <w:sz w:val="18"/>
              </w:rPr>
              <w:t>509,829 kWh</w:t>
            </w:r>
          </w:p>
        </w:tc>
        <w:tc>
          <w:tcPr>
            <w:tcW w:type="dxa" w:w="3135"/>
          </w:tcPr>
          <w:p>
            <w:pPr>
              <w:jc w:val="center"/>
            </w:pPr>
            <w:r>
              <w:rPr>
                <w:b w:val="0"/>
                <w:sz w:val="18"/>
              </w:rPr>
              <w:t>Pérdidas: 167,966 kWh → η_real = 75.2%</w:t>
            </w:r>
          </w:p>
        </w:tc>
      </w:tr>
      <w:tr>
        <w:tc>
          <w:tcPr>
            <w:tcW w:type="dxa" w:w="3135"/>
          </w:tcPr>
          <w:p>
            <w:pPr>
              <w:jc w:val="center"/>
            </w:pPr>
            <w:r>
              <w:rPr>
                <w:b w:val="0"/>
                <w:sz w:val="18"/>
              </w:rPr>
              <w:t>Distribución descarga → Mall</w:t>
            </w:r>
          </w:p>
        </w:tc>
        <w:tc>
          <w:tcPr>
            <w:tcW w:type="dxa" w:w="3135"/>
          </w:tcPr>
          <w:p>
            <w:pPr>
              <w:jc w:val="center"/>
            </w:pPr>
            <w:r>
              <w:rPr>
                <w:b w:val="0"/>
                <w:sz w:val="18"/>
              </w:rPr>
              <w:t>503,073 kWh</w:t>
            </w:r>
          </w:p>
        </w:tc>
        <w:tc>
          <w:tcPr>
            <w:tcW w:type="dxa" w:w="3135"/>
          </w:tcPr>
          <w:p>
            <w:pPr>
              <w:jc w:val="center"/>
            </w:pPr>
            <w:r>
              <w:rPr>
                <w:b w:val="0"/>
                <w:sz w:val="18"/>
              </w:rPr>
              <w:t>98.7% de energía descargada</w:t>
            </w:r>
          </w:p>
        </w:tc>
      </w:tr>
      <w:tr>
        <w:tc>
          <w:tcPr>
            <w:tcW w:type="dxa" w:w="3135"/>
          </w:tcPr>
          <w:p>
            <w:pPr>
              <w:jc w:val="center"/>
            </w:pPr>
            <w:r>
              <w:rPr>
                <w:b w:val="0"/>
                <w:sz w:val="18"/>
              </w:rPr>
              <w:t>Distribución descarga → EV</w:t>
            </w:r>
          </w:p>
        </w:tc>
        <w:tc>
          <w:tcPr>
            <w:tcW w:type="dxa" w:w="3135"/>
          </w:tcPr>
          <w:p>
            <w:pPr>
              <w:jc w:val="center"/>
            </w:pPr>
            <w:r>
              <w:rPr>
                <w:b w:val="0"/>
                <w:sz w:val="18"/>
              </w:rPr>
              <w:t>6,756 kWh</w:t>
            </w:r>
          </w:p>
        </w:tc>
        <w:tc>
          <w:tcPr>
            <w:tcW w:type="dxa" w:w="3135"/>
          </w:tcPr>
          <w:p>
            <w:pPr>
              <w:jc w:val="center"/>
            </w:pPr>
            <w:r>
              <w:rPr>
                <w:b w:val="0"/>
                <w:sz w:val="18"/>
              </w:rPr>
              <w:t>1.3% (carga EV en HFP)</w:t>
            </w:r>
          </w:p>
        </w:tc>
      </w:tr>
      <w:tr>
        <w:tc>
          <w:tcPr>
            <w:tcW w:type="dxa" w:w="3135"/>
          </w:tcPr>
          <w:p>
            <w:pPr>
              <w:jc w:val="center"/>
            </w:pPr>
            <w:r>
              <w:rPr>
                <w:b w:val="0"/>
                <w:sz w:val="18"/>
              </w:rPr>
              <w:t>SOC medio de operación</w:t>
            </w:r>
          </w:p>
        </w:tc>
        <w:tc>
          <w:tcPr>
            <w:tcW w:type="dxa" w:w="3135"/>
          </w:tcPr>
          <w:p>
            <w:pPr>
              <w:jc w:val="center"/>
            </w:pPr>
            <w:r>
              <w:rPr>
                <w:b w:val="0"/>
                <w:sz w:val="18"/>
              </w:rPr>
              <w:t>49.2%</w:t>
            </w:r>
          </w:p>
        </w:tc>
        <w:tc>
          <w:tcPr>
            <w:tcW w:type="dxa" w:w="3135"/>
          </w:tcPr>
          <w:p>
            <w:pPr>
              <w:jc w:val="center"/>
            </w:pPr>
            <w:r>
              <w:rPr>
                <w:b w:val="0"/>
                <w:sz w:val="18"/>
              </w:rPr>
              <w:t>49.2% = 984 kWh promedio almacenado</w:t>
            </w:r>
          </w:p>
        </w:tc>
      </w:tr>
      <w:tr>
        <w:tc>
          <w:tcPr>
            <w:tcW w:type="dxa" w:w="3135"/>
          </w:tcPr>
          <w:p>
            <w:pPr>
              <w:jc w:val="center"/>
            </w:pPr>
            <w:r>
              <w:rPr>
                <w:b w:val="0"/>
                <w:sz w:val="18"/>
              </w:rPr>
              <w:t>SOC mínimo registrado (año)</w:t>
            </w:r>
          </w:p>
        </w:tc>
        <w:tc>
          <w:tcPr>
            <w:tcW w:type="dxa" w:w="3135"/>
          </w:tcPr>
          <w:p>
            <w:pPr>
              <w:jc w:val="center"/>
            </w:pPr>
            <w:r>
              <w:rPr>
                <w:b w:val="0"/>
                <w:sz w:val="18"/>
              </w:rPr>
              <w:t>20%</w:t>
            </w:r>
          </w:p>
        </w:tc>
        <w:tc>
          <w:tcPr>
            <w:tcW w:type="dxa" w:w="3135"/>
          </w:tcPr>
          <w:p>
            <w:pPr>
              <w:jc w:val="center"/>
            </w:pPr>
            <w:r>
              <w:rPr>
                <w:b w:val="0"/>
                <w:sz w:val="18"/>
              </w:rPr>
              <w:t>400 kWh — activación umbral de protección</w:t>
            </w:r>
          </w:p>
        </w:tc>
      </w:tr>
      <w:tr>
        <w:tc>
          <w:tcPr>
            <w:tcW w:type="dxa" w:w="3135"/>
          </w:tcPr>
          <w:p>
            <w:pPr>
              <w:jc w:val="center"/>
            </w:pPr>
            <w:r>
              <w:rPr>
                <w:b w:val="0"/>
                <w:sz w:val="18"/>
              </w:rPr>
              <w:t>SOC máximo registrado (año)</w:t>
            </w:r>
          </w:p>
        </w:tc>
        <w:tc>
          <w:tcPr>
            <w:tcW w:type="dxa" w:w="3135"/>
          </w:tcPr>
          <w:p>
            <w:pPr>
              <w:jc w:val="center"/>
            </w:pPr>
            <w:r>
              <w:rPr>
                <w:b w:val="0"/>
                <w:sz w:val="18"/>
              </w:rPr>
              <w:t>100%</w:t>
            </w:r>
          </w:p>
        </w:tc>
        <w:tc>
          <w:tcPr>
            <w:tcW w:type="dxa" w:w="3135"/>
          </w:tcPr>
          <w:p>
            <w:pPr>
              <w:jc w:val="center"/>
            </w:pPr>
            <w:r>
              <w:rPr>
                <w:b w:val="0"/>
                <w:sz w:val="18"/>
              </w:rPr>
              <w:t>2,000 kWh — carga total en excedente solar</w:t>
            </w:r>
          </w:p>
        </w:tc>
      </w:tr>
      <w:tr>
        <w:tc>
          <w:tcPr>
            <w:tcW w:type="dxa" w:w="3135"/>
          </w:tcPr>
          <w:p>
            <w:pPr>
              <w:jc w:val="center"/>
            </w:pPr>
            <w:r>
              <w:rPr>
                <w:b w:val="0"/>
                <w:sz w:val="18"/>
              </w:rPr>
              <w:t>Grid import total (con BESS baseline)</w:t>
            </w:r>
          </w:p>
        </w:tc>
        <w:tc>
          <w:tcPr>
            <w:tcW w:type="dxa" w:w="3135"/>
          </w:tcPr>
          <w:p>
            <w:pPr>
              <w:jc w:val="center"/>
            </w:pPr>
            <w:r>
              <w:rPr>
                <w:b w:val="0"/>
                <w:sz w:val="18"/>
              </w:rPr>
              <w:t>6,504,452 kWh</w:t>
            </w:r>
          </w:p>
        </w:tc>
        <w:tc>
          <w:tcPr>
            <w:tcW w:type="dxa" w:w="3135"/>
          </w:tcPr>
          <w:p>
            <w:pPr>
              <w:jc w:val="center"/>
            </w:pPr>
            <w:r>
              <w:rPr>
                <w:b w:val="0"/>
                <w:sz w:val="18"/>
              </w:rPr>
              <w:t>EV: 144,854 + Mall: 6,359,598 kWh</w:t>
            </w:r>
          </w:p>
        </w:tc>
      </w:tr>
      <w:tr>
        <w:tc>
          <w:tcPr>
            <w:tcW w:type="dxa" w:w="3135"/>
          </w:tcPr>
          <w:p>
            <w:pPr>
              <w:jc w:val="center"/>
            </w:pPr>
            <w:r>
              <w:rPr>
                <w:b w:val="0"/>
                <w:sz w:val="18"/>
              </w:rPr>
              <w:t>Grid export (excedente irrecuperable)</w:t>
            </w:r>
          </w:p>
        </w:tc>
        <w:tc>
          <w:tcPr>
            <w:tcW w:type="dxa" w:w="3135"/>
          </w:tcPr>
          <w:p>
            <w:pPr>
              <w:jc w:val="center"/>
            </w:pPr>
            <w:r>
              <w:rPr>
                <w:b w:val="0"/>
                <w:sz w:val="18"/>
              </w:rPr>
              <w:t>1,484,110 kWh</w:t>
            </w:r>
          </w:p>
        </w:tc>
        <w:tc>
          <w:tcPr>
            <w:tcW w:type="dxa" w:w="3135"/>
          </w:tcPr>
          <w:p>
            <w:pPr>
              <w:jc w:val="center"/>
            </w:pPr>
            <w:r>
              <w:rPr>
                <w:b w:val="0"/>
                <w:sz w:val="18"/>
              </w:rPr>
              <w:t>SOC 100% + PV &gt; demanda en 2412 horas/año</w:t>
            </w:r>
          </w:p>
        </w:tc>
      </w:tr>
      <w:tr>
        <w:tc>
          <w:tcPr>
            <w:tcW w:type="dxa" w:w="3135"/>
          </w:tcPr>
          <w:p>
            <w:pPr>
              <w:jc w:val="center"/>
            </w:pPr>
            <w:r>
              <w:rPr>
                <w:b w:val="0"/>
                <w:sz w:val="18"/>
              </w:rPr>
              <w:t>CO₂ indirecto evitado (baseline)</w:t>
            </w:r>
          </w:p>
        </w:tc>
        <w:tc>
          <w:tcPr>
            <w:tcW w:type="dxa" w:w="3135"/>
          </w:tcPr>
          <w:p>
            <w:pPr>
              <w:jc w:val="center"/>
            </w:pPr>
            <w:r>
              <w:rPr>
                <w:b w:val="0"/>
                <w:sz w:val="18"/>
              </w:rPr>
              <w:t>230,494 kg/año</w:t>
            </w:r>
          </w:p>
        </w:tc>
        <w:tc>
          <w:tcPr>
            <w:tcW w:type="dxa" w:w="3135"/>
          </w:tcPr>
          <w:p>
            <w:pPr>
              <w:jc w:val="center"/>
            </w:pPr>
            <w:r>
              <w:rPr>
                <w:b w:val="0"/>
                <w:sz w:val="18"/>
              </w:rPr>
              <w:t>≡ 230.5 tCO₂ — PV+BESS vs red pura</w:t>
            </w:r>
          </w:p>
        </w:tc>
      </w:tr>
      <w:tr>
        <w:tc>
          <w:tcPr>
            <w:tcW w:type="dxa" w:w="3135"/>
          </w:tcPr>
          <w:p>
            <w:pPr>
              <w:jc w:val="center"/>
            </w:pPr>
            <w:r>
              <w:rPr>
                <w:b w:val="0"/>
                <w:sz w:val="18"/>
              </w:rPr>
              <w:t>Ahorro tarifario BESS (soles/año)</w:t>
            </w:r>
          </w:p>
        </w:tc>
        <w:tc>
          <w:tcPr>
            <w:tcW w:type="dxa" w:w="3135"/>
          </w:tcPr>
          <w:p>
            <w:pPr>
              <w:jc w:val="center"/>
            </w:pPr>
            <w:r>
              <w:rPr>
                <w:b w:val="0"/>
                <w:sz w:val="18"/>
              </w:rPr>
              <w:t>S/. 193,776</w:t>
            </w:r>
          </w:p>
        </w:tc>
        <w:tc>
          <w:tcPr>
            <w:tcW w:type="dxa" w:w="3135"/>
          </w:tcPr>
          <w:p>
            <w:pPr>
              <w:jc w:val="center"/>
            </w:pPr>
            <w:r>
              <w:rPr>
                <w:b w:val="0"/>
                <w:sz w:val="18"/>
              </w:rPr>
              <w:t>Evita importación en HP (S/.0.45/kWh)</w:t>
            </w:r>
          </w:p>
        </w:tc>
      </w:tr>
    </w:tbl>
    <w:p>
      <w:pPr>
        <w:spacing w:after="120"/>
        <w:jc w:val="center"/>
      </w:pPr>
      <w:r>
        <w:rPr>
          <w:i/>
          <w:sz w:val="18"/>
        </w:rPr>
        <w:t>Tabla 5.1.4.2. Resultados de operación anual del BESS en escenario baseline (solar-priority, sin agente RL, año 2024). η_real = E_descargada / E_almacenada. Fuente: data/oe2/bess/bess_ano_2024.csv — 8,760 registros horarios.</w:t>
      </w:r>
    </w:p>
    <w:p>
      <w:pPr>
        <w:spacing w:after="80" w:before="0"/>
        <w:jc w:val="both"/>
      </w:pPr>
      <w:r>
        <w:rPr>
          <w:b/>
          <w:sz w:val="22"/>
        </w:rPr>
        <w:t>5.1.4.3. Balance energético integrado del sistema FV–BESS–cargadores</w:t>
      </w:r>
      <w:r>
        <w:t xml:space="preserve"> </w:t>
      </w:r>
      <w:r>
        <w:rPr>
          <w:sz w:val="22"/>
        </w:rPr>
      </w:r>
    </w:p>
    <w:p>
      <w:pPr>
        <w:spacing w:after="80" w:before="0"/>
        <w:jc w:val="both"/>
      </w:pPr>
      <w:r>
        <w:rPr>
          <w:sz w:val="22"/>
        </w:rPr>
        <w:t>El Tabla 5.1.4.3 consolida el balance energético anual de todo el sistema FV–BESS–cargadores en el escenario OE2 (baseline con solar, sin agente RL de OE3). Este balance es el punto de referencia F1 = 5,790,639 kg CO₂/año utilizado en OE3 para cuantificar la mejora de los agentes RL.</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Flujo energético</w:t>
            </w:r>
          </w:p>
        </w:tc>
        <w:tc>
          <w:tcPr>
            <w:tcW w:type="dxa" w:w="2351"/>
            <w:shd w:val="clear" w:color="auto" w:fill="D0E4F7"/>
          </w:tcPr>
          <w:p>
            <w:pPr>
              <w:jc w:val="center"/>
            </w:pPr>
            <w:r>
              <w:rPr>
                <w:b/>
                <w:sz w:val="18"/>
              </w:rPr>
              <w:t>kWh/año</w:t>
            </w:r>
          </w:p>
        </w:tc>
        <w:tc>
          <w:tcPr>
            <w:tcW w:type="dxa" w:w="2351"/>
            <w:shd w:val="clear" w:color="auto" w:fill="D0E4F7"/>
          </w:tcPr>
          <w:p>
            <w:pPr>
              <w:jc w:val="center"/>
            </w:pPr>
            <w:r>
              <w:rPr>
                <w:b/>
                <w:sz w:val="18"/>
              </w:rPr>
              <w:t>% Generación PV</w:t>
            </w:r>
          </w:p>
        </w:tc>
        <w:tc>
          <w:tcPr>
            <w:tcW w:type="dxa" w:w="2351"/>
            <w:shd w:val="clear" w:color="auto" w:fill="D0E4F7"/>
          </w:tcPr>
          <w:p>
            <w:pPr>
              <w:jc w:val="center"/>
            </w:pPr>
            <w:r>
              <w:rPr>
                <w:b/>
                <w:sz w:val="18"/>
              </w:rPr>
              <w:t>Destino / Origen</w:t>
            </w:r>
          </w:p>
        </w:tc>
      </w:tr>
      <w:tr>
        <w:tc>
          <w:tcPr>
            <w:tcW w:type="dxa" w:w="2351"/>
            <w:shd w:val="clear" w:color="auto" w:fill="C5CAE9"/>
          </w:tcPr>
          <w:p>
            <w:pPr>
              <w:jc w:val="center"/>
            </w:pPr>
            <w:r>
              <w:rPr>
                <w:b/>
                <w:sz w:val="18"/>
              </w:rPr>
              <w:t>— FUENTES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generado (4,050 kWp)</w:t>
            </w:r>
          </w:p>
        </w:tc>
        <w:tc>
          <w:tcPr>
            <w:tcW w:type="dxa" w:w="2351"/>
          </w:tcPr>
          <w:p>
            <w:pPr>
              <w:jc w:val="center"/>
            </w:pPr>
            <w:r>
              <w:rPr>
                <w:b w:val="0"/>
                <w:sz w:val="18"/>
              </w:rPr>
              <w:t>8,292,514</w:t>
            </w:r>
          </w:p>
        </w:tc>
        <w:tc>
          <w:tcPr>
            <w:tcW w:type="dxa" w:w="2351"/>
          </w:tcPr>
          <w:p>
            <w:pPr>
              <w:jc w:val="center"/>
            </w:pPr>
            <w:r>
              <w:rPr>
                <w:b w:val="0"/>
                <w:sz w:val="18"/>
              </w:rPr>
              <w:t>100%</w:t>
            </w:r>
          </w:p>
        </w:tc>
        <w:tc>
          <w:tcPr>
            <w:tcW w:type="dxa" w:w="2351"/>
          </w:tcPr>
          <w:p>
            <w:pPr>
              <w:jc w:val="center"/>
            </w:pPr>
            <w:r>
              <w:rPr>
                <w:b w:val="0"/>
                <w:sz w:val="18"/>
              </w:rPr>
              <w:t>PVGIS TMY 2024</w:t>
            </w:r>
          </w:p>
        </w:tc>
      </w:tr>
      <w:tr>
        <w:tc>
          <w:tcPr>
            <w:tcW w:type="dxa" w:w="2351"/>
          </w:tcPr>
          <w:p>
            <w:pPr>
              <w:jc w:val="center"/>
            </w:pPr>
            <w:r>
              <w:rPr>
                <w:b w:val="0"/>
                <w:sz w:val="18"/>
              </w:rPr>
              <w:t>BESS descargado (hacia cargas)</w:t>
            </w:r>
          </w:p>
        </w:tc>
        <w:tc>
          <w:tcPr>
            <w:tcW w:type="dxa" w:w="2351"/>
          </w:tcPr>
          <w:p>
            <w:pPr>
              <w:jc w:val="center"/>
            </w:pPr>
            <w:r>
              <w:rPr>
                <w:b w:val="0"/>
                <w:sz w:val="18"/>
              </w:rPr>
              <w:t>509,829</w:t>
            </w:r>
          </w:p>
        </w:tc>
        <w:tc>
          <w:tcPr>
            <w:tcW w:type="dxa" w:w="2351"/>
          </w:tcPr>
          <w:p>
            <w:pPr>
              <w:jc w:val="center"/>
            </w:pPr>
            <w:r>
              <w:rPr>
                <w:b w:val="0"/>
                <w:sz w:val="18"/>
              </w:rPr>
              <w:t>6.1%</w:t>
            </w:r>
          </w:p>
        </w:tc>
        <w:tc>
          <w:tcPr>
            <w:tcW w:type="dxa" w:w="2351"/>
          </w:tcPr>
          <w:p>
            <w:pPr>
              <w:jc w:val="center"/>
            </w:pPr>
            <w:r>
              <w:rPr>
                <w:b w:val="0"/>
                <w:sz w:val="18"/>
              </w:rPr>
              <w:t>Almacenado en horas solar</w:t>
            </w:r>
          </w:p>
        </w:tc>
      </w:tr>
      <w:tr>
        <w:tc>
          <w:tcPr>
            <w:tcW w:type="dxa" w:w="2351"/>
          </w:tcPr>
          <w:p>
            <w:pPr>
              <w:jc w:val="center"/>
            </w:pPr>
            <w:r>
              <w:rPr>
                <w:b w:val="0"/>
                <w:sz w:val="18"/>
              </w:rPr>
              <w:t>Grid importado (déficit)</w:t>
            </w:r>
          </w:p>
        </w:tc>
        <w:tc>
          <w:tcPr>
            <w:tcW w:type="dxa" w:w="2351"/>
          </w:tcPr>
          <w:p>
            <w:pPr>
              <w:jc w:val="center"/>
            </w:pPr>
            <w:r>
              <w:rPr>
                <w:b w:val="0"/>
                <w:sz w:val="18"/>
              </w:rPr>
              <w:t>6,504,452</w:t>
            </w:r>
          </w:p>
        </w:tc>
        <w:tc>
          <w:tcPr>
            <w:tcW w:type="dxa" w:w="2351"/>
          </w:tcPr>
          <w:p>
            <w:pPr>
              <w:jc w:val="center"/>
            </w:pPr>
            <w:r>
              <w:rPr>
                <w:b w:val="0"/>
                <w:sz w:val="18"/>
              </w:rPr>
              <w:t>78.4%*</w:t>
            </w:r>
          </w:p>
        </w:tc>
        <w:tc>
          <w:tcPr>
            <w:tcW w:type="dxa" w:w="2351"/>
          </w:tcPr>
          <w:p>
            <w:pPr>
              <w:jc w:val="center"/>
            </w:pPr>
            <w:r>
              <w:rPr>
                <w:b w:val="0"/>
                <w:sz w:val="18"/>
              </w:rPr>
              <w:t>Red diésel Iquitos (F1)</w:t>
            </w:r>
          </w:p>
        </w:tc>
      </w:tr>
      <w:tr>
        <w:tc>
          <w:tcPr>
            <w:tcW w:type="dxa" w:w="2351"/>
            <w:shd w:val="clear" w:color="auto" w:fill="C5CAE9"/>
          </w:tcPr>
          <w:p>
            <w:pPr>
              <w:jc w:val="center"/>
            </w:pPr>
            <w:r>
              <w:rPr>
                <w:b/>
                <w:sz w:val="18"/>
              </w:rPr>
              <w:t>— DESTINOS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PV → Mall (directo)</w:t>
            </w:r>
          </w:p>
        </w:tc>
        <w:tc>
          <w:tcPr>
            <w:tcW w:type="dxa" w:w="2351"/>
          </w:tcPr>
          <w:p>
            <w:pPr>
              <w:jc w:val="center"/>
            </w:pPr>
            <w:r>
              <w:rPr>
                <w:b w:val="0"/>
                <w:sz w:val="18"/>
              </w:rPr>
              <w:t>5,037,162</w:t>
            </w:r>
          </w:p>
        </w:tc>
        <w:tc>
          <w:tcPr>
            <w:tcW w:type="dxa" w:w="2351"/>
          </w:tcPr>
          <w:p>
            <w:pPr>
              <w:jc w:val="center"/>
            </w:pPr>
            <w:r>
              <w:rPr>
                <w:b w:val="0"/>
                <w:sz w:val="18"/>
              </w:rPr>
              <w:t>60.7%</w:t>
            </w:r>
          </w:p>
        </w:tc>
        <w:tc>
          <w:tcPr>
            <w:tcW w:type="dxa" w:w="2351"/>
          </w:tcPr>
          <w:p>
            <w:pPr>
              <w:jc w:val="center"/>
            </w:pPr>
            <w:r>
              <w:rPr>
                <w:b w:val="0"/>
                <w:sz w:val="18"/>
              </w:rPr>
              <w:t>Demanda base mall</w:t>
            </w:r>
          </w:p>
        </w:tc>
      </w:tr>
      <w:tr>
        <w:tc>
          <w:tcPr>
            <w:tcW w:type="dxa" w:w="2351"/>
          </w:tcPr>
          <w:p>
            <w:pPr>
              <w:jc w:val="center"/>
            </w:pPr>
            <w:r>
              <w:rPr>
                <w:b w:val="0"/>
                <w:sz w:val="18"/>
              </w:rPr>
              <w:t>PV → BESS (almacenamiento)</w:t>
            </w:r>
          </w:p>
        </w:tc>
        <w:tc>
          <w:tcPr>
            <w:tcW w:type="dxa" w:w="2351"/>
          </w:tcPr>
          <w:p>
            <w:pPr>
              <w:jc w:val="center"/>
            </w:pPr>
            <w:r>
              <w:rPr>
                <w:b w:val="0"/>
                <w:sz w:val="18"/>
              </w:rPr>
              <w:t>677,795</w:t>
            </w:r>
          </w:p>
        </w:tc>
        <w:tc>
          <w:tcPr>
            <w:tcW w:type="dxa" w:w="2351"/>
          </w:tcPr>
          <w:p>
            <w:pPr>
              <w:jc w:val="center"/>
            </w:pPr>
            <w:r>
              <w:rPr>
                <w:b w:val="0"/>
                <w:sz w:val="18"/>
              </w:rPr>
              <w:t>8.2%</w:t>
            </w:r>
          </w:p>
        </w:tc>
        <w:tc>
          <w:tcPr>
            <w:tcW w:type="dxa" w:w="2351"/>
          </w:tcPr>
          <w:p>
            <w:pPr>
              <w:jc w:val="center"/>
            </w:pPr>
            <w:r>
              <w:rPr>
                <w:b w:val="0"/>
                <w:sz w:val="18"/>
              </w:rPr>
              <w:t>Carga batería solar</w:t>
            </w:r>
          </w:p>
        </w:tc>
      </w:tr>
      <w:tr>
        <w:tc>
          <w:tcPr>
            <w:tcW w:type="dxa" w:w="2351"/>
          </w:tcPr>
          <w:p>
            <w:pPr>
              <w:jc w:val="center"/>
            </w:pPr>
            <w:r>
              <w:rPr>
                <w:b w:val="0"/>
                <w:sz w:val="18"/>
              </w:rPr>
              <w:t>PV → EV (directo)</w:t>
            </w:r>
          </w:p>
        </w:tc>
        <w:tc>
          <w:tcPr>
            <w:tcW w:type="dxa" w:w="2351"/>
          </w:tcPr>
          <w:p>
            <w:pPr>
              <w:jc w:val="center"/>
            </w:pPr>
            <w:r>
              <w:rPr>
                <w:b w:val="0"/>
                <w:sz w:val="18"/>
              </w:rPr>
              <w:t>256,672</w:t>
            </w:r>
          </w:p>
        </w:tc>
        <w:tc>
          <w:tcPr>
            <w:tcW w:type="dxa" w:w="2351"/>
          </w:tcPr>
          <w:p>
            <w:pPr>
              <w:jc w:val="center"/>
            </w:pPr>
            <w:r>
              <w:rPr>
                <w:b w:val="0"/>
                <w:sz w:val="18"/>
              </w:rPr>
              <w:t>3.1%</w:t>
            </w:r>
          </w:p>
        </w:tc>
        <w:tc>
          <w:tcPr>
            <w:tcW w:type="dxa" w:w="2351"/>
          </w:tcPr>
          <w:p>
            <w:pPr>
              <w:jc w:val="center"/>
            </w:pPr>
            <w:r>
              <w:rPr>
                <w:b w:val="0"/>
                <w:sz w:val="18"/>
              </w:rPr>
              <w:t>EV con excedente solar</w:t>
            </w:r>
          </w:p>
        </w:tc>
      </w:tr>
      <w:tr>
        <w:tc>
          <w:tcPr>
            <w:tcW w:type="dxa" w:w="2351"/>
          </w:tcPr>
          <w:p>
            <w:pPr>
              <w:jc w:val="center"/>
            </w:pPr>
            <w:r>
              <w:rPr>
                <w:b w:val="0"/>
                <w:sz w:val="18"/>
              </w:rPr>
              <w:t>PV → Red (exportación)</w:t>
            </w:r>
          </w:p>
        </w:tc>
        <w:tc>
          <w:tcPr>
            <w:tcW w:type="dxa" w:w="2351"/>
          </w:tcPr>
          <w:p>
            <w:pPr>
              <w:jc w:val="center"/>
            </w:pPr>
            <w:r>
              <w:rPr>
                <w:b w:val="0"/>
                <w:sz w:val="18"/>
              </w:rPr>
              <w:t>1,484,110</w:t>
            </w:r>
          </w:p>
        </w:tc>
        <w:tc>
          <w:tcPr>
            <w:tcW w:type="dxa" w:w="2351"/>
          </w:tcPr>
          <w:p>
            <w:pPr>
              <w:jc w:val="center"/>
            </w:pPr>
            <w:r>
              <w:rPr>
                <w:b w:val="0"/>
                <w:sz w:val="18"/>
              </w:rPr>
              <w:t>17.9%</w:t>
            </w:r>
          </w:p>
        </w:tc>
        <w:tc>
          <w:tcPr>
            <w:tcW w:type="dxa" w:w="2351"/>
          </w:tcPr>
          <w:p>
            <w:pPr>
              <w:jc w:val="center"/>
            </w:pPr>
            <w:r>
              <w:rPr>
                <w:b w:val="0"/>
                <w:sz w:val="18"/>
              </w:rPr>
              <w:t>Excedente irrecuperable</w:t>
            </w:r>
          </w:p>
        </w:tc>
      </w:tr>
      <w:tr>
        <w:tc>
          <w:tcPr>
            <w:tcW w:type="dxa" w:w="2351"/>
            <w:shd w:val="clear" w:color="auto" w:fill="E3F2FD"/>
          </w:tcPr>
          <w:p>
            <w:pPr>
              <w:jc w:val="center"/>
            </w:pPr>
            <w:r>
              <w:rPr>
                <w:b w:val="0"/>
                <w:sz w:val="18"/>
              </w:rPr>
              <w:t>BESS → Mall (descarga)</w:t>
            </w:r>
          </w:p>
        </w:tc>
        <w:tc>
          <w:tcPr>
            <w:tcW w:type="dxa" w:w="2351"/>
            <w:shd w:val="clear" w:color="auto" w:fill="E3F2FD"/>
          </w:tcPr>
          <w:p>
            <w:pPr>
              <w:jc w:val="center"/>
            </w:pPr>
            <w:r>
              <w:rPr>
                <w:b w:val="0"/>
                <w:sz w:val="18"/>
              </w:rPr>
              <w:t>503,073</w:t>
            </w:r>
          </w:p>
        </w:tc>
        <w:tc>
          <w:tcPr>
            <w:tcW w:type="dxa" w:w="2351"/>
            <w:shd w:val="clear" w:color="auto" w:fill="E3F2FD"/>
          </w:tcPr>
          <w:p>
            <w:pPr>
              <w:jc w:val="center"/>
            </w:pPr>
            <w:r>
              <w:rPr>
                <w:b w:val="0"/>
                <w:sz w:val="18"/>
              </w:rPr>
              <w:t>6.1%</w:t>
            </w:r>
          </w:p>
        </w:tc>
        <w:tc>
          <w:tcPr>
            <w:tcW w:type="dxa" w:w="2351"/>
            <w:shd w:val="clear" w:color="auto" w:fill="E3F2FD"/>
          </w:tcPr>
          <w:p>
            <w:pPr>
              <w:jc w:val="center"/>
            </w:pPr>
            <w:r>
              <w:rPr>
                <w:b w:val="0"/>
                <w:sz w:val="18"/>
              </w:rPr>
              <w:t>Demanda mall en HP</w:t>
            </w:r>
          </w:p>
        </w:tc>
      </w:tr>
      <w:tr>
        <w:tc>
          <w:tcPr>
            <w:tcW w:type="dxa" w:w="2351"/>
          </w:tcPr>
          <w:p>
            <w:pPr>
              <w:jc w:val="center"/>
            </w:pPr>
            <w:r>
              <w:rPr>
                <w:b w:val="0"/>
                <w:sz w:val="18"/>
              </w:rPr>
              <w:t>BESS → EV (descarga)</w:t>
            </w:r>
          </w:p>
        </w:tc>
        <w:tc>
          <w:tcPr>
            <w:tcW w:type="dxa" w:w="2351"/>
          </w:tcPr>
          <w:p>
            <w:pPr>
              <w:jc w:val="center"/>
            </w:pPr>
            <w:r>
              <w:rPr>
                <w:b w:val="0"/>
                <w:sz w:val="18"/>
              </w:rPr>
              <w:t>6,756</w:t>
            </w:r>
          </w:p>
        </w:tc>
        <w:tc>
          <w:tcPr>
            <w:tcW w:type="dxa" w:w="2351"/>
          </w:tcPr>
          <w:p>
            <w:pPr>
              <w:jc w:val="center"/>
            </w:pPr>
            <w:r>
              <w:rPr>
                <w:b w:val="0"/>
                <w:sz w:val="18"/>
              </w:rPr>
              <w:t>0.1%</w:t>
            </w:r>
          </w:p>
        </w:tc>
        <w:tc>
          <w:tcPr>
            <w:tcW w:type="dxa" w:w="2351"/>
          </w:tcPr>
          <w:p>
            <w:pPr>
              <w:jc w:val="center"/>
            </w:pPr>
            <w:r>
              <w:rPr>
                <w:b w:val="0"/>
                <w:sz w:val="18"/>
              </w:rPr>
              <w:t>EV en HFP nocturno</w:t>
            </w:r>
          </w:p>
        </w:tc>
      </w:tr>
      <w:tr>
        <w:tc>
          <w:tcPr>
            <w:tcW w:type="dxa" w:w="2351"/>
          </w:tcPr>
          <w:p>
            <w:pPr>
              <w:jc w:val="center"/>
            </w:pPr>
            <w:r>
              <w:rPr>
                <w:b w:val="0"/>
                <w:sz w:val="18"/>
              </w:rPr>
              <w:t>Grid → EV</w:t>
            </w:r>
          </w:p>
        </w:tc>
        <w:tc>
          <w:tcPr>
            <w:tcW w:type="dxa" w:w="2351"/>
          </w:tcPr>
          <w:p>
            <w:pPr>
              <w:jc w:val="center"/>
            </w:pPr>
            <w:r>
              <w:rPr>
                <w:b w:val="0"/>
                <w:sz w:val="18"/>
              </w:rPr>
              <w:t>144,854</w:t>
            </w:r>
          </w:p>
        </w:tc>
        <w:tc>
          <w:tcPr>
            <w:tcW w:type="dxa" w:w="2351"/>
          </w:tcPr>
          <w:p>
            <w:pPr>
              <w:jc w:val="center"/>
            </w:pPr>
            <w:r>
              <w:rPr>
                <w:b w:val="0"/>
                <w:sz w:val="18"/>
              </w:rPr>
              <w:t>1.7%</w:t>
            </w:r>
          </w:p>
        </w:tc>
        <w:tc>
          <w:tcPr>
            <w:tcW w:type="dxa" w:w="2351"/>
          </w:tcPr>
          <w:p>
            <w:pPr>
              <w:jc w:val="center"/>
            </w:pPr>
            <w:r>
              <w:rPr>
                <w:b w:val="0"/>
                <w:sz w:val="18"/>
              </w:rPr>
              <w:t>EV sin cobertura solar/BESS</w:t>
            </w:r>
          </w:p>
        </w:tc>
      </w:tr>
      <w:tr>
        <w:tc>
          <w:tcPr>
            <w:tcW w:type="dxa" w:w="2351"/>
          </w:tcPr>
          <w:p>
            <w:pPr>
              <w:jc w:val="center"/>
            </w:pPr>
            <w:r>
              <w:rPr>
                <w:b w:val="0"/>
                <w:sz w:val="18"/>
              </w:rPr>
              <w:t>Grid → Mall</w:t>
            </w:r>
          </w:p>
        </w:tc>
        <w:tc>
          <w:tcPr>
            <w:tcW w:type="dxa" w:w="2351"/>
          </w:tcPr>
          <w:p>
            <w:pPr>
              <w:jc w:val="center"/>
            </w:pPr>
            <w:r>
              <w:rPr>
                <w:b w:val="0"/>
                <w:sz w:val="18"/>
              </w:rPr>
              <w:t>6,359,598</w:t>
            </w:r>
          </w:p>
        </w:tc>
        <w:tc>
          <w:tcPr>
            <w:tcW w:type="dxa" w:w="2351"/>
          </w:tcPr>
          <w:p>
            <w:pPr>
              <w:jc w:val="center"/>
            </w:pPr>
            <w:r>
              <w:rPr>
                <w:b w:val="0"/>
                <w:sz w:val="18"/>
              </w:rPr>
              <w:t>76.7%</w:t>
            </w:r>
          </w:p>
        </w:tc>
        <w:tc>
          <w:tcPr>
            <w:tcW w:type="dxa" w:w="2351"/>
          </w:tcPr>
          <w:p>
            <w:pPr>
              <w:jc w:val="center"/>
            </w:pPr>
            <w:r>
              <w:rPr>
                <w:b w:val="0"/>
                <w:sz w:val="18"/>
              </w:rPr>
              <w:t>Demanda mall nocturna/HP</w:t>
            </w:r>
          </w:p>
        </w:tc>
      </w:tr>
      <w:tr>
        <w:tc>
          <w:tcPr>
            <w:tcW w:type="dxa" w:w="2351"/>
            <w:shd w:val="clear" w:color="auto" w:fill="C5CAE9"/>
          </w:tcPr>
          <w:p>
            <w:pPr>
              <w:jc w:val="center"/>
            </w:pPr>
            <w:r>
              <w:rPr>
                <w:b/>
                <w:sz w:val="18"/>
              </w:rPr>
              <w:t>— TOTALES DEMANDA —</w:t>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c>
          <w:tcPr>
            <w:tcW w:type="dxa" w:w="2351"/>
            <w:shd w:val="clear" w:color="auto" w:fill="C5CAE9"/>
          </w:tcPr>
          <w:p>
            <w:pPr>
              <w:jc w:val="center"/>
            </w:pPr>
            <w:r>
              <w:rPr>
                <w:b/>
                <w:sz w:val="18"/>
              </w:rPr>
            </w:r>
          </w:p>
        </w:tc>
      </w:tr>
      <w:tr>
        <w:tc>
          <w:tcPr>
            <w:tcW w:type="dxa" w:w="2351"/>
          </w:tcPr>
          <w:p>
            <w:pPr>
              <w:jc w:val="center"/>
            </w:pPr>
            <w:r>
              <w:rPr>
                <w:b w:val="0"/>
                <w:sz w:val="18"/>
              </w:rPr>
              <w:t>Demanda mall total</w:t>
            </w:r>
          </w:p>
        </w:tc>
        <w:tc>
          <w:tcPr>
            <w:tcW w:type="dxa" w:w="2351"/>
          </w:tcPr>
          <w:p>
            <w:pPr>
              <w:jc w:val="center"/>
            </w:pPr>
            <w:r>
              <w:rPr>
                <w:b w:val="0"/>
                <w:sz w:val="18"/>
              </w:rPr>
              <w:t>12,368,653</w:t>
            </w:r>
          </w:p>
        </w:tc>
        <w:tc>
          <w:tcPr>
            <w:tcW w:type="dxa" w:w="2351"/>
          </w:tcPr>
          <w:p>
            <w:pPr>
              <w:jc w:val="center"/>
            </w:pPr>
            <w:r>
              <w:rPr>
                <w:b w:val="0"/>
                <w:sz w:val="18"/>
              </w:rPr>
              <w:t>—</w:t>
            </w:r>
          </w:p>
        </w:tc>
        <w:tc>
          <w:tcPr>
            <w:tcW w:type="dxa" w:w="2351"/>
          </w:tcPr>
          <w:p>
            <w:pPr>
              <w:jc w:val="center"/>
            </w:pPr>
            <w:r>
              <w:rPr>
                <w:b w:val="0"/>
                <w:sz w:val="18"/>
              </w:rPr>
              <w:t>100 kW × 8,760 h (perfil real)</w:t>
            </w:r>
          </w:p>
        </w:tc>
      </w:tr>
      <w:tr>
        <w:tc>
          <w:tcPr>
            <w:tcW w:type="dxa" w:w="2351"/>
          </w:tcPr>
          <w:p>
            <w:pPr>
              <w:jc w:val="center"/>
            </w:pPr>
            <w:r>
              <w:rPr>
                <w:b w:val="0"/>
                <w:sz w:val="18"/>
              </w:rPr>
              <w:t>Demanda EV total</w:t>
            </w:r>
          </w:p>
        </w:tc>
        <w:tc>
          <w:tcPr>
            <w:tcW w:type="dxa" w:w="2351"/>
          </w:tcPr>
          <w:p>
            <w:pPr>
              <w:jc w:val="center"/>
            </w:pPr>
            <w:r>
              <w:rPr>
                <w:b w:val="0"/>
                <w:sz w:val="18"/>
              </w:rPr>
              <w:t>408,282</w:t>
            </w:r>
          </w:p>
        </w:tc>
        <w:tc>
          <w:tcPr>
            <w:tcW w:type="dxa" w:w="2351"/>
          </w:tcPr>
          <w:p>
            <w:pPr>
              <w:jc w:val="center"/>
            </w:pPr>
            <w:r>
              <w:rPr>
                <w:b w:val="0"/>
                <w:sz w:val="18"/>
              </w:rPr>
              <w:t>—</w:t>
            </w:r>
          </w:p>
        </w:tc>
        <w:tc>
          <w:tcPr>
            <w:tcW w:type="dxa" w:w="2351"/>
          </w:tcPr>
          <w:p>
            <w:pPr>
              <w:jc w:val="center"/>
            </w:pPr>
            <w:r>
              <w:rPr>
                <w:b w:val="0"/>
                <w:sz w:val="18"/>
              </w:rPr>
              <w:t>38 sockets × perfil estocástico</w:t>
            </w:r>
          </w:p>
        </w:tc>
      </w:tr>
      <w:tr>
        <w:tc>
          <w:tcPr>
            <w:tcW w:type="dxa" w:w="2351"/>
          </w:tcPr>
          <w:p>
            <w:pPr>
              <w:jc w:val="center"/>
            </w:pPr>
            <w:r>
              <w:rPr>
                <w:b w:val="0"/>
                <w:sz w:val="18"/>
              </w:rPr>
              <w:t>Demanda total sistema</w:t>
            </w:r>
          </w:p>
        </w:tc>
        <w:tc>
          <w:tcPr>
            <w:tcW w:type="dxa" w:w="2351"/>
          </w:tcPr>
          <w:p>
            <w:pPr>
              <w:jc w:val="center"/>
            </w:pPr>
            <w:r>
              <w:rPr>
                <w:b w:val="0"/>
                <w:sz w:val="18"/>
              </w:rPr>
              <w:t>12,776,935</w:t>
            </w:r>
          </w:p>
        </w:tc>
        <w:tc>
          <w:tcPr>
            <w:tcW w:type="dxa" w:w="2351"/>
          </w:tcPr>
          <w:p>
            <w:pPr>
              <w:jc w:val="center"/>
            </w:pPr>
            <w:r>
              <w:rPr>
                <w:b w:val="0"/>
                <w:sz w:val="18"/>
              </w:rPr>
              <w:t>—</w:t>
            </w:r>
          </w:p>
        </w:tc>
        <w:tc>
          <w:tcPr>
            <w:tcW w:type="dxa" w:w="2351"/>
          </w:tcPr>
          <w:p>
            <w:pPr>
              <w:jc w:val="center"/>
            </w:pPr>
            <w:r>
              <w:rPr>
                <w:b w:val="0"/>
                <w:sz w:val="18"/>
              </w:rPr>
              <w:t>Mall + EV</w:t>
            </w:r>
          </w:p>
        </w:tc>
      </w:tr>
    </w:tbl>
    <w:p>
      <w:pPr>
        <w:spacing w:after="120"/>
        <w:jc w:val="center"/>
      </w:pPr>
      <w:r>
        <w:rPr>
          <w:i/>
          <w:sz w:val="18"/>
        </w:rPr>
        <w:t>Tabla 5.1.4.3. Balance energético anual integrado del sistema FV–BESS–cargadores (escenario baseline OE2, año 2024). * % del PV generado es referencial; el grid import supera PV porque la demanda del mall (12,368,653 kWh) es 1.5× la generación solar (8,292,514 kWh). Fuente: data/oe2/bess/bess_ano_2024.csv</w:t>
      </w:r>
    </w:p>
    <w:p>
      <w:pPr>
        <w:spacing w:after="80" w:before="0"/>
        <w:jc w:val="both"/>
      </w:pPr>
      <w:r>
        <w:rPr>
          <w:b/>
          <w:sz w:val="22"/>
        </w:rPr>
        <w:t>5.1.4.4. Indicadores de desempeño del sistema OE2</w:t>
      </w:r>
      <w:r>
        <w:t xml:space="preserve"> </w:t>
      </w:r>
      <w:r>
        <w:rPr>
          <w:sz w:val="22"/>
        </w:rPr>
      </w:r>
    </w:p>
    <w:p>
      <w:pPr>
        <w:spacing w:after="80" w:before="0"/>
        <w:jc w:val="both"/>
      </w:pPr>
      <w:r>
        <w:rPr>
          <w:sz w:val="22"/>
        </w:rPr>
        <w:t>El sistema FV–BESS–cargadores dimensionado en OE2 logra los siguientes indicadores de desempeño en el escenario baseline (sin optimización RL de OE3):</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0E4F7"/>
          </w:tcPr>
          <w:p>
            <w:pPr>
              <w:jc w:val="center"/>
            </w:pPr>
            <w:r>
              <w:rPr>
                <w:b/>
                <w:sz w:val="18"/>
              </w:rPr>
              <w:t>KPI</w:t>
            </w:r>
          </w:p>
        </w:tc>
        <w:tc>
          <w:tcPr>
            <w:tcW w:type="dxa" w:w="2351"/>
            <w:shd w:val="clear" w:color="auto" w:fill="D0E4F7"/>
          </w:tcPr>
          <w:p>
            <w:pPr>
              <w:jc w:val="center"/>
            </w:pPr>
            <w:r>
              <w:rPr>
                <w:b/>
                <w:sz w:val="18"/>
              </w:rPr>
              <w:t>Valor OE2</w:t>
            </w:r>
          </w:p>
        </w:tc>
        <w:tc>
          <w:tcPr>
            <w:tcW w:type="dxa" w:w="2351"/>
            <w:shd w:val="clear" w:color="auto" w:fill="D0E4F7"/>
          </w:tcPr>
          <w:p>
            <w:pPr>
              <w:jc w:val="center"/>
            </w:pPr>
            <w:r>
              <w:rPr>
                <w:b/>
                <w:sz w:val="18"/>
              </w:rPr>
              <w:t>Fórmula</w:t>
            </w:r>
          </w:p>
        </w:tc>
        <w:tc>
          <w:tcPr>
            <w:tcW w:type="dxa" w:w="2351"/>
            <w:shd w:val="clear" w:color="auto" w:fill="D0E4F7"/>
          </w:tcPr>
          <w:p>
            <w:pPr>
              <w:jc w:val="center"/>
            </w:pPr>
            <w:r>
              <w:rPr>
                <w:b/>
                <w:sz w:val="18"/>
              </w:rPr>
              <w:t>Referencia</w:t>
            </w:r>
          </w:p>
        </w:tc>
      </w:tr>
      <w:tr>
        <w:tc>
          <w:tcPr>
            <w:tcW w:type="dxa" w:w="2351"/>
          </w:tcPr>
          <w:p>
            <w:pPr>
              <w:jc w:val="center"/>
            </w:pPr>
            <w:r>
              <w:rPr>
                <w:b w:val="0"/>
                <w:sz w:val="17"/>
              </w:rPr>
              <w:t>Factor de planta FV (CF)</w:t>
            </w:r>
          </w:p>
        </w:tc>
        <w:tc>
          <w:tcPr>
            <w:tcW w:type="dxa" w:w="2351"/>
          </w:tcPr>
          <w:p>
            <w:pPr>
              <w:jc w:val="center"/>
            </w:pPr>
            <w:r>
              <w:rPr>
                <w:b w:val="0"/>
                <w:sz w:val="17"/>
              </w:rPr>
              <w:t>23.37%</w:t>
            </w:r>
          </w:p>
        </w:tc>
        <w:tc>
          <w:tcPr>
            <w:tcW w:type="dxa" w:w="2351"/>
          </w:tcPr>
          <w:p>
            <w:pPr>
              <w:jc w:val="center"/>
            </w:pPr>
            <w:r>
              <w:rPr>
                <w:b w:val="0"/>
                <w:sz w:val="17"/>
              </w:rPr>
              <w:t>E_gen / (P_inst × 8,760 h)</w:t>
            </w:r>
          </w:p>
        </w:tc>
        <w:tc>
          <w:tcPr>
            <w:tcW w:type="dxa" w:w="2351"/>
          </w:tcPr>
          <w:p>
            <w:pPr>
              <w:jc w:val="center"/>
            </w:pPr>
            <w:r>
              <w:rPr>
                <w:b w:val="0"/>
                <w:sz w:val="17"/>
              </w:rPr>
              <w:t>≥ 20% (viable para Loreto)</w:t>
            </w:r>
          </w:p>
        </w:tc>
      </w:tr>
      <w:tr>
        <w:tc>
          <w:tcPr>
            <w:tcW w:type="dxa" w:w="2351"/>
          </w:tcPr>
          <w:p>
            <w:pPr>
              <w:jc w:val="center"/>
            </w:pPr>
            <w:r>
              <w:rPr>
                <w:b w:val="0"/>
                <w:sz w:val="17"/>
              </w:rPr>
              <w:t>Índice de autoconsumo solar</w:t>
            </w:r>
          </w:p>
        </w:tc>
        <w:tc>
          <w:tcPr>
            <w:tcW w:type="dxa" w:w="2351"/>
          </w:tcPr>
          <w:p>
            <w:pPr>
              <w:jc w:val="center"/>
            </w:pPr>
            <w:r>
              <w:rPr>
                <w:b w:val="0"/>
                <w:sz w:val="17"/>
              </w:rPr>
              <w:t>71.9%</w:t>
            </w:r>
          </w:p>
        </w:tc>
        <w:tc>
          <w:tcPr>
            <w:tcW w:type="dxa" w:w="2351"/>
          </w:tcPr>
          <w:p>
            <w:pPr>
              <w:jc w:val="center"/>
            </w:pPr>
            <w:r>
              <w:rPr>
                <w:b w:val="0"/>
                <w:sz w:val="17"/>
              </w:rPr>
              <w:t>E_consumida_local / E_generada</w:t>
            </w:r>
          </w:p>
        </w:tc>
        <w:tc>
          <w:tcPr>
            <w:tcW w:type="dxa" w:w="2351"/>
          </w:tcPr>
          <w:p>
            <w:pPr>
              <w:jc w:val="center"/>
            </w:pPr>
            <w:r>
              <w:rPr>
                <w:b w:val="0"/>
                <w:sz w:val="17"/>
              </w:rPr>
              <w:t>&lt; IEA: 75–85% óptimo sin BESS</w:t>
            </w:r>
          </w:p>
        </w:tc>
      </w:tr>
      <w:tr>
        <w:tc>
          <w:tcPr>
            <w:tcW w:type="dxa" w:w="2351"/>
          </w:tcPr>
          <w:p>
            <w:pPr>
              <w:jc w:val="center"/>
            </w:pPr>
            <w:r>
              <w:rPr>
                <w:b w:val="0"/>
                <w:sz w:val="17"/>
              </w:rPr>
              <w:t>Factor utilización BESS (FU)</w:t>
            </w:r>
          </w:p>
        </w:tc>
        <w:tc>
          <w:tcPr>
            <w:tcW w:type="dxa" w:w="2351"/>
          </w:tcPr>
          <w:p>
            <w:pPr>
              <w:jc w:val="center"/>
            </w:pPr>
            <w:r>
              <w:rPr>
                <w:b w:val="0"/>
                <w:sz w:val="17"/>
              </w:rPr>
              <w:t>33.9%</w:t>
            </w:r>
          </w:p>
        </w:tc>
        <w:tc>
          <w:tcPr>
            <w:tcW w:type="dxa" w:w="2351"/>
          </w:tcPr>
          <w:p>
            <w:pPr>
              <w:jc w:val="center"/>
            </w:pPr>
            <w:r>
              <w:rPr>
                <w:b w:val="0"/>
                <w:sz w:val="17"/>
              </w:rPr>
              <w:t>E_descargada / (Cap × 8,760/1000)</w:t>
            </w:r>
          </w:p>
        </w:tc>
        <w:tc>
          <w:tcPr>
            <w:tcW w:type="dxa" w:w="2351"/>
          </w:tcPr>
          <w:p>
            <w:pPr>
              <w:jc w:val="center"/>
            </w:pPr>
            <w:r>
              <w:rPr>
                <w:b w:val="0"/>
                <w:sz w:val="17"/>
              </w:rPr>
              <w:t>DoD 80% → FU máx teórico = 80%</w:t>
            </w:r>
          </w:p>
        </w:tc>
      </w:tr>
      <w:tr>
        <w:tc>
          <w:tcPr>
            <w:tcW w:type="dxa" w:w="2351"/>
          </w:tcPr>
          <w:p>
            <w:pPr>
              <w:jc w:val="center"/>
            </w:pPr>
            <w:r>
              <w:rPr>
                <w:b w:val="0"/>
                <w:sz w:val="17"/>
              </w:rPr>
              <w:t>Cobertura solar de demanda EV</w:t>
            </w:r>
          </w:p>
        </w:tc>
        <w:tc>
          <w:tcPr>
            <w:tcW w:type="dxa" w:w="2351"/>
          </w:tcPr>
          <w:p>
            <w:pPr>
              <w:jc w:val="center"/>
            </w:pPr>
            <w:r>
              <w:rPr>
                <w:b w:val="0"/>
                <w:sz w:val="17"/>
              </w:rPr>
              <w:t>64.5%</w:t>
            </w:r>
          </w:p>
        </w:tc>
        <w:tc>
          <w:tcPr>
            <w:tcW w:type="dxa" w:w="2351"/>
          </w:tcPr>
          <w:p>
            <w:pPr>
              <w:jc w:val="center"/>
            </w:pPr>
            <w:r>
              <w:rPr>
                <w:b w:val="0"/>
                <w:sz w:val="17"/>
              </w:rPr>
              <w:t>(PV→EV + BESS→EV) / E_ev_total</w:t>
            </w:r>
          </w:p>
        </w:tc>
        <w:tc>
          <w:tcPr>
            <w:tcW w:type="dxa" w:w="2351"/>
          </w:tcPr>
          <w:p>
            <w:pPr>
              <w:jc w:val="center"/>
            </w:pPr>
            <w:r>
              <w:rPr>
                <w:b w:val="0"/>
                <w:sz w:val="17"/>
              </w:rPr>
              <w:t>Alta dependencia grid EV baseline</w:t>
            </w:r>
          </w:p>
        </w:tc>
      </w:tr>
      <w:tr>
        <w:tc>
          <w:tcPr>
            <w:tcW w:type="dxa" w:w="2351"/>
          </w:tcPr>
          <w:p>
            <w:pPr>
              <w:jc w:val="center"/>
            </w:pPr>
            <w:r>
              <w:rPr>
                <w:b w:val="0"/>
                <w:sz w:val="17"/>
              </w:rPr>
              <w:t>Cobertura solar de demanda mall</w:t>
            </w:r>
          </w:p>
        </w:tc>
        <w:tc>
          <w:tcPr>
            <w:tcW w:type="dxa" w:w="2351"/>
          </w:tcPr>
          <w:p>
            <w:pPr>
              <w:jc w:val="center"/>
            </w:pPr>
            <w:r>
              <w:rPr>
                <w:b w:val="0"/>
                <w:sz w:val="17"/>
              </w:rPr>
              <w:t>44.8%</w:t>
            </w:r>
          </w:p>
        </w:tc>
        <w:tc>
          <w:tcPr>
            <w:tcW w:type="dxa" w:w="2351"/>
          </w:tcPr>
          <w:p>
            <w:pPr>
              <w:jc w:val="center"/>
            </w:pPr>
            <w:r>
              <w:rPr>
                <w:b w:val="0"/>
                <w:sz w:val="17"/>
              </w:rPr>
              <w:t>(PV→Mall + BESS→Mall) / E_mall</w:t>
            </w:r>
          </w:p>
        </w:tc>
        <w:tc>
          <w:tcPr>
            <w:tcW w:type="dxa" w:w="2351"/>
          </w:tcPr>
          <w:p>
            <w:pPr>
              <w:jc w:val="center"/>
            </w:pPr>
            <w:r>
              <w:rPr>
                <w:b w:val="0"/>
                <w:sz w:val="17"/>
              </w:rPr>
              <w:t>44.2% demanda mall cubierta por FV+BESS</w:t>
            </w:r>
          </w:p>
        </w:tc>
      </w:tr>
      <w:tr>
        <w:tc>
          <w:tcPr>
            <w:tcW w:type="dxa" w:w="2351"/>
          </w:tcPr>
          <w:p>
            <w:pPr>
              <w:jc w:val="center"/>
            </w:pPr>
            <w:r>
              <w:rPr>
                <w:b w:val="0"/>
                <w:sz w:val="17"/>
              </w:rPr>
              <w:t>Grid import ratio (GIR)</w:t>
            </w:r>
          </w:p>
        </w:tc>
        <w:tc>
          <w:tcPr>
            <w:tcW w:type="dxa" w:w="2351"/>
          </w:tcPr>
          <w:p>
            <w:pPr>
              <w:jc w:val="center"/>
            </w:pPr>
            <w:r>
              <w:rPr>
                <w:b w:val="0"/>
                <w:sz w:val="17"/>
              </w:rPr>
              <w:t>50.9%</w:t>
            </w:r>
          </w:p>
        </w:tc>
        <w:tc>
          <w:tcPr>
            <w:tcW w:type="dxa" w:w="2351"/>
          </w:tcPr>
          <w:p>
            <w:pPr>
              <w:jc w:val="center"/>
            </w:pPr>
            <w:r>
              <w:rPr>
                <w:b w:val="0"/>
                <w:sz w:val="17"/>
              </w:rPr>
              <w:t>E_grid_import / E_demanda_total</w:t>
            </w:r>
          </w:p>
        </w:tc>
        <w:tc>
          <w:tcPr>
            <w:tcW w:type="dxa" w:w="2351"/>
          </w:tcPr>
          <w:p>
            <w:pPr>
              <w:jc w:val="center"/>
            </w:pPr>
            <w:r>
              <w:rPr>
                <w:b w:val="0"/>
                <w:sz w:val="17"/>
              </w:rPr>
              <w:t>Objetivo OE3: minimizar con agente RL</w:t>
            </w:r>
          </w:p>
        </w:tc>
      </w:tr>
      <w:tr>
        <w:tc>
          <w:tcPr>
            <w:tcW w:type="dxa" w:w="2351"/>
          </w:tcPr>
          <w:p>
            <w:pPr>
              <w:jc w:val="center"/>
            </w:pPr>
            <w:r>
              <w:rPr>
                <w:b w:val="0"/>
                <w:sz w:val="17"/>
              </w:rPr>
              <w:t>CO₂ directo evitado (base)</w:t>
            </w:r>
          </w:p>
        </w:tc>
        <w:tc>
          <w:tcPr>
            <w:tcW w:type="dxa" w:w="2351"/>
          </w:tcPr>
          <w:p>
            <w:pPr>
              <w:jc w:val="center"/>
            </w:pPr>
            <w:r>
              <w:rPr>
                <w:b w:val="0"/>
                <w:sz w:val="17"/>
              </w:rPr>
              <w:t>243,300 kg/año</w:t>
            </w:r>
          </w:p>
        </w:tc>
        <w:tc>
          <w:tcPr>
            <w:tcW w:type="dxa" w:w="2351"/>
          </w:tcPr>
          <w:p>
            <w:pPr>
              <w:jc w:val="center"/>
            </w:pPr>
            <w:r>
              <w:rPr>
                <w:b w:val="0"/>
                <w:sz w:val="17"/>
              </w:rPr>
              <w:t>Σ kWh_EV × EF_ICE_vehiculo</w:t>
            </w:r>
          </w:p>
        </w:tc>
        <w:tc>
          <w:tcPr>
            <w:tcW w:type="dxa" w:w="2351"/>
          </w:tcPr>
          <w:p>
            <w:pPr>
              <w:jc w:val="center"/>
            </w:pPr>
            <w:r>
              <w:rPr>
                <w:b w:val="0"/>
                <w:sz w:val="17"/>
              </w:rPr>
              <w:t>Gasolina motos + Diésel mototaxis</w:t>
            </w:r>
          </w:p>
        </w:tc>
      </w:tr>
      <w:tr>
        <w:tc>
          <w:tcPr>
            <w:tcW w:type="dxa" w:w="2351"/>
          </w:tcPr>
          <w:p>
            <w:pPr>
              <w:jc w:val="center"/>
            </w:pPr>
            <w:r>
              <w:rPr>
                <w:b w:val="0"/>
                <w:sz w:val="17"/>
              </w:rPr>
              <w:t>CO₂ indirecto evitado (base)</w:t>
            </w:r>
          </w:p>
        </w:tc>
        <w:tc>
          <w:tcPr>
            <w:tcW w:type="dxa" w:w="2351"/>
          </w:tcPr>
          <w:p>
            <w:pPr>
              <w:jc w:val="center"/>
            </w:pPr>
            <w:r>
              <w:rPr>
                <w:b w:val="0"/>
                <w:sz w:val="17"/>
              </w:rPr>
              <w:t>230,494 kg/año</w:t>
            </w:r>
          </w:p>
        </w:tc>
        <w:tc>
          <w:tcPr>
            <w:tcW w:type="dxa" w:w="2351"/>
          </w:tcPr>
          <w:p>
            <w:pPr>
              <w:jc w:val="center"/>
            </w:pPr>
            <w:r>
              <w:rPr>
                <w:b w:val="0"/>
                <w:sz w:val="17"/>
              </w:rPr>
              <w:t>E_PV_consumida × 0.4521 kg/kWh</w:t>
            </w:r>
          </w:p>
        </w:tc>
        <w:tc>
          <w:tcPr>
            <w:tcW w:type="dxa" w:w="2351"/>
          </w:tcPr>
          <w:p>
            <w:pPr>
              <w:jc w:val="center"/>
            </w:pPr>
            <w:r>
              <w:rPr>
                <w:b w:val="0"/>
                <w:sz w:val="17"/>
              </w:rPr>
              <w:t>Factor MINEM / sin agente RL</w:t>
            </w:r>
          </w:p>
        </w:tc>
      </w:tr>
      <w:tr>
        <w:tc>
          <w:tcPr>
            <w:tcW w:type="dxa" w:w="2351"/>
          </w:tcPr>
          <w:p>
            <w:pPr>
              <w:jc w:val="center"/>
            </w:pPr>
            <w:r>
              <w:rPr>
                <w:b w:val="0"/>
                <w:sz w:val="17"/>
              </w:rPr>
              <w:t>CO₂ total evitado OE2 (base)</w:t>
            </w:r>
          </w:p>
        </w:tc>
        <w:tc>
          <w:tcPr>
            <w:tcW w:type="dxa" w:w="2351"/>
          </w:tcPr>
          <w:p>
            <w:pPr>
              <w:jc w:val="center"/>
            </w:pPr>
            <w:r>
              <w:rPr>
                <w:b w:val="0"/>
                <w:sz w:val="17"/>
              </w:rPr>
              <w:t>473,794 kg/año</w:t>
            </w:r>
          </w:p>
        </w:tc>
        <w:tc>
          <w:tcPr>
            <w:tcW w:type="dxa" w:w="2351"/>
          </w:tcPr>
          <w:p>
            <w:pPr>
              <w:jc w:val="center"/>
            </w:pPr>
            <w:r>
              <w:rPr>
                <w:b w:val="0"/>
                <w:sz w:val="17"/>
              </w:rPr>
              <w:t>CO₂_directo + CO₂_indirecto</w:t>
            </w:r>
          </w:p>
        </w:tc>
        <w:tc>
          <w:tcPr>
            <w:tcW w:type="dxa" w:w="2351"/>
          </w:tcPr>
          <w:p>
            <w:pPr>
              <w:jc w:val="center"/>
            </w:pPr>
            <w:r>
              <w:rPr>
                <w:b w:val="0"/>
                <w:sz w:val="17"/>
              </w:rPr>
              <w:t>F0→F1: base para OE3</w:t>
            </w:r>
          </w:p>
        </w:tc>
      </w:tr>
    </w:tbl>
    <w:p>
      <w:pPr>
        <w:spacing w:after="120"/>
        <w:jc w:val="center"/>
      </w:pPr>
      <w:r>
        <w:rPr>
          <w:i/>
          <w:sz w:val="18"/>
        </w:rPr>
        <w:t>Tabla 5.1.4.4. Indicadores de desempeño (KPIs) del sistema FV–BESS–cargadores OE2 en escenario baseline. GIR = Grid Import Ratio. Todos los valores se calculan de los datos horarios 2024 (8,760 h). El objetivo de OE3 es minimizar el GIR y el CO₂ indirecto mediante agentes RL.</w:t>
      </w:r>
    </w:p>
    <w:p>
      <w:pPr>
        <w:spacing w:after="80" w:before="0"/>
        <w:jc w:val="both"/>
      </w:pPr>
      <w:r>
        <w:rPr>
          <w:sz w:val="22"/>
        </w:rPr>
        <w:t>El balance energético baseline (Tabla 5.1.4.3) revela la principal oportunidad de mejora que OE3 busca aprovechar: el 6,504,452 kWh/año de importación de red (50.9% de la demanda total) genera 2,940,662 kg CO₂/año de emisiones indirectas. Los agentes RL de OE3 (SAC, PPO, A2C) buscan reducir esta dependencia de la red diésel optimizando el despacho BESS para maximizar el uso de energía solar, logrando en el caso del agente SAC ganador una reducción del 30% adicional respecto al baseline, con F2 = 2,622,735 kg CO₂/año.</w:t>
      </w:r>
    </w:p>
    <w:p>
      <w:pPr>
        <w:spacing w:after="80" w:before="0"/>
        <w:jc w:val="both"/>
      </w:pPr>
      <w:r>
        <w:rPr>
          <w:sz w:val="22"/>
        </w:rPr>
        <w:t>La infraestructura dimensionada en OE2 constituye la plataforma técnica sobre la cual opera el agente de inteligencia artificial seleccionado en OE3. Los artefactos de datos generados por OE2 — series temporales horarias de generación solar (8,760 filas), demanda EV (38 sockets × 8,760 horas), estado del BESS (SOC horario) y demanda del mall — son los insumos directos del entorno de simulación CityLearn v2, garantizando que los resultados de OE3 sean representativos de las condiciones reales de operación del sistema PVBESSCAR en Iquitos.</w:t>
      </w:r>
    </w:p>
    <w:p>
      <w:pPr>
        <w:pStyle w:val="Heading2"/>
      </w:pPr>
      <w:r>
        <w:rPr>
          <w:b/>
          <w:sz w:val="28"/>
        </w:rPr>
        <w:t>5.2. Resultados inferenciales</w:t>
      </w:r>
    </w:p>
    <w:p>
      <w:pPr>
        <w:jc w:val="both"/>
      </w:pPr>
      <w:r>
        <w:rPr>
          <w:b w:val="0"/>
          <w:i w:val="0"/>
          <w:sz w:val="22"/>
        </w:rPr>
        <w:t>Los resultados inferenciales presentados en este apartado corresponden a la contrastación estadística y técnica entre las tres líneas de comparación del proyecto: el escenario de referencia sin control inteligente F₀ = 7 054 000 kg CO₂/año (sin solar, sin BESS, sin RL), la operación base con solar y BESS pero sin agente RL F₁ = 5 790 639 kg CO₂/año, y los valores de emisión bajo control RL F₂ obtenidos por cada agente en 50 episodios de entrenamiento. La inferencia técnica se sustenta en las pruebas no paramétricas de Wilcoxon, Mann-Whitney y Kruskal-Wallis, dado que la distribución de F₂ en el conjunto completo de episodios no satisface normalidad para los rangos globales.</w:t>
      </w:r>
    </w:p>
    <w:p>
      <w:pPr>
        <w:jc w:val="both"/>
      </w:pPr>
      <w:r>
        <w:rPr>
          <w:b w:val="0"/>
          <w:i w:val="0"/>
          <w:sz w:val="22"/>
        </w:rPr>
        <w:t>El análisis inferencial abarca dos dimensiones complementarias: (i) el cubrimiento de la demanda energética mediante el sistema fotovoltaico–BESS–cargadores, y (ii) la contribución cuantificable a la reducción de emisiones de CO₂ en la ciudad de Iquitos, objetivo central del OE3 del proyecto. Ambas dimensiones son evaluadas sobre la base de los 50 episodios de entrenamiento de cada agente (SAC, PPO, A2C), 8 760 pasos temporales por episodio (año completo a resolución horaria), lo que implica 438 000 decisiones de despacho por agente.</w:t>
      </w:r>
    </w:p>
    <w:p>
      <w:pPr>
        <w:pStyle w:val="Heading3"/>
      </w:pPr>
      <w:r>
        <w:rPr>
          <w:b/>
          <w:sz w:val="24"/>
        </w:rPr>
        <w:t>5.2.2. Inferencia técnica sobre el cubrimiento de la demanda energética mediante el sistema FV–BESS–cargadores</w:t>
      </w:r>
    </w:p>
    <w:p>
      <w:pPr>
        <w:jc w:val="both"/>
      </w:pPr>
      <w:r>
        <w:rPr>
          <w:b w:val="0"/>
          <w:i w:val="0"/>
          <w:sz w:val="22"/>
        </w:rPr>
        <w:t>La demanda energética total del sistema integrado considera dos componentes: (a) la demanda eléctrica del Mall BESS Iquitos, estimada en 12 368 828 kWh/año como valor de referencia central, y (b) la demanda de recarga de vehículos eléctricos (motos y mototaxis) dimensionada en 408 282 kWh/año —equivalente a 1 118 kWh/día— para una flota de 270 motos y 39 mototaxis por día con un factor de penetración EV del 30 % y factor de carga del 55 %. La inferencia técnica evalúa qué fracción de estas demandas es cubierta por generación FV propia, descarga del BESS y, residualmente, por importación de red.</w:t>
      </w:r>
    </w:p>
    <w:p>
      <w:pPr>
        <w:jc w:val="both"/>
      </w:pPr>
      <w:r>
        <w:rPr>
          <w:b w:val="0"/>
          <w:i w:val="0"/>
          <w:sz w:val="22"/>
        </w:rPr>
        <w:t>La Tabla 5.2.2.1 presenta las métricas de cobertura de la demanda EV para el episodio óptimo de cada agente, entendiendo 'cobertura' como el cociente entre la energía efectivamente entregada a los cargadores y la demanda EV objetivo anual.</w:t>
      </w:r>
    </w:p>
    <w:p>
      <w:pPr>
        <w:jc w:val="center"/>
      </w:pPr>
      <w:r>
        <w:rPr>
          <w:i/>
          <w:sz w:val="20"/>
        </w:rPr>
        <w:t>Tabla 5.2.2.1. Cobertura de la demanda energética EV por agente (episodio óptimo, 50 episodios de entrenamiento)</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Ep. óptimo</w:t>
            </w:r>
          </w:p>
        </w:tc>
        <w:tc>
          <w:tcPr>
            <w:tcW w:type="dxa" w:w="1344"/>
            <w:shd w:val="clear" w:color="auto" w:fill="1F3864"/>
          </w:tcPr>
          <w:p>
            <w:pPr>
              <w:jc w:val="center"/>
            </w:pPr>
            <w:r>
              <w:rPr>
                <w:b/>
                <w:color w:val="FFFFFF"/>
                <w:sz w:val="20"/>
              </w:rPr>
              <w:t>Ev (motos+taxi)</w:t>
              <w:br/>
              <w:t>kWh</w:t>
            </w:r>
          </w:p>
        </w:tc>
        <w:tc>
          <w:tcPr>
            <w:tcW w:type="dxa" w:w="1344"/>
            <w:shd w:val="clear" w:color="auto" w:fill="1F3864"/>
          </w:tcPr>
          <w:p>
            <w:pPr>
              <w:jc w:val="center"/>
            </w:pPr>
            <w:r>
              <w:rPr>
                <w:b/>
                <w:color w:val="FFFFFF"/>
                <w:sz w:val="20"/>
              </w:rPr>
              <w:t>Cobertura best</w:t>
              <w:br/>
              <w:t>%</w:t>
            </w:r>
          </w:p>
        </w:tc>
        <w:tc>
          <w:tcPr>
            <w:tcW w:type="dxa" w:w="1344"/>
            <w:shd w:val="clear" w:color="auto" w:fill="1F3864"/>
          </w:tcPr>
          <w:p>
            <w:pPr>
              <w:jc w:val="center"/>
            </w:pPr>
            <w:r>
              <w:rPr>
                <w:b/>
                <w:color w:val="FFFFFF"/>
                <w:sz w:val="20"/>
              </w:rPr>
              <w:t>Cobertura media</w:t>
              <w:br/>
              <w:t>(50 eps) %</w:t>
            </w:r>
          </w:p>
        </w:tc>
        <w:tc>
          <w:tcPr>
            <w:tcW w:type="dxa" w:w="1344"/>
            <w:shd w:val="clear" w:color="auto" w:fill="1F3864"/>
          </w:tcPr>
          <w:p>
            <w:pPr>
              <w:jc w:val="center"/>
            </w:pPr>
            <w:r>
              <w:rPr>
                <w:b/>
                <w:color w:val="FFFFFF"/>
                <w:sz w:val="20"/>
              </w:rPr>
              <w:t>BESS descargado</w:t>
              <w:br/>
              <w:t>kWh (media)</w:t>
            </w:r>
          </w:p>
        </w:tc>
        <w:tc>
          <w:tcPr>
            <w:tcW w:type="dxa" w:w="1344"/>
            <w:shd w:val="clear" w:color="auto" w:fill="1F3864"/>
          </w:tcPr>
          <w:p>
            <w:pPr>
              <w:jc w:val="center"/>
            </w:pPr>
            <w:r>
              <w:rPr>
                <w:b/>
                <w:color w:val="FFFFFF"/>
                <w:sz w:val="20"/>
              </w:rPr>
              <w:t>Importación red</w:t>
              <w:br/>
              <w:t>kWh (mín)</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48</w:t>
            </w:r>
          </w:p>
        </w:tc>
        <w:tc>
          <w:tcPr>
            <w:tcW w:type="dxa" w:w="1344"/>
            <w:shd w:val="clear" w:color="auto" w:fill="D9E2F3"/>
          </w:tcPr>
          <w:p>
            <w:pPr>
              <w:jc w:val="center"/>
            </w:pPr>
            <w:r>
              <w:rPr>
                <w:b/>
                <w:sz w:val="20"/>
              </w:rPr>
              <w:t>400 353</w:t>
            </w:r>
          </w:p>
        </w:tc>
        <w:tc>
          <w:tcPr>
            <w:tcW w:type="dxa" w:w="1344"/>
            <w:shd w:val="clear" w:color="auto" w:fill="D9E2F3"/>
          </w:tcPr>
          <w:p>
            <w:pPr>
              <w:jc w:val="center"/>
            </w:pPr>
            <w:r>
              <w:rPr>
                <w:b/>
                <w:sz w:val="20"/>
              </w:rPr>
              <w:t>98.1</w:t>
            </w:r>
          </w:p>
        </w:tc>
        <w:tc>
          <w:tcPr>
            <w:tcW w:type="dxa" w:w="1344"/>
            <w:shd w:val="clear" w:color="auto" w:fill="D9E2F3"/>
          </w:tcPr>
          <w:p>
            <w:pPr>
              <w:jc w:val="center"/>
            </w:pPr>
            <w:r>
              <w:rPr>
                <w:b/>
                <w:sz w:val="20"/>
              </w:rPr>
              <w:t>95.5</w:t>
            </w:r>
          </w:p>
        </w:tc>
        <w:tc>
          <w:tcPr>
            <w:tcW w:type="dxa" w:w="1344"/>
            <w:shd w:val="clear" w:color="auto" w:fill="D9E2F3"/>
          </w:tcPr>
          <w:p>
            <w:pPr>
              <w:jc w:val="center"/>
            </w:pPr>
            <w:r>
              <w:rPr>
                <w:b/>
                <w:sz w:val="20"/>
              </w:rPr>
              <w:t>880 245</w:t>
            </w:r>
          </w:p>
        </w:tc>
        <w:tc>
          <w:tcPr>
            <w:tcW w:type="dxa" w:w="1344"/>
            <w:shd w:val="clear" w:color="auto" w:fill="D9E2F3"/>
          </w:tcPr>
          <w:p>
            <w:pPr>
              <w:jc w:val="center"/>
            </w:pPr>
            <w:r>
              <w:rPr>
                <w:b/>
                <w:sz w:val="20"/>
              </w:rPr>
              <w:t>5 801 227</w:t>
            </w:r>
          </w:p>
        </w:tc>
      </w:tr>
      <w:tr>
        <w:tc>
          <w:tcPr>
            <w:tcW w:type="dxa" w:w="1344"/>
          </w:tcPr>
          <w:p>
            <w:pPr>
              <w:jc w:val="left"/>
            </w:pPr>
            <w:r>
              <w:rPr>
                <w:b/>
                <w:sz w:val="20"/>
              </w:rPr>
              <w:t>PPO</w:t>
            </w:r>
          </w:p>
        </w:tc>
        <w:tc>
          <w:tcPr>
            <w:tcW w:type="dxa" w:w="1344"/>
          </w:tcPr>
          <w:p>
            <w:pPr>
              <w:jc w:val="center"/>
            </w:pPr>
            <w:r>
              <w:rPr>
                <w:sz w:val="20"/>
              </w:rPr>
              <w:t>40</w:t>
            </w:r>
          </w:p>
        </w:tc>
        <w:tc>
          <w:tcPr>
            <w:tcW w:type="dxa" w:w="1344"/>
          </w:tcPr>
          <w:p>
            <w:pPr>
              <w:jc w:val="center"/>
            </w:pPr>
            <w:r>
              <w:rPr>
                <w:sz w:val="20"/>
              </w:rPr>
              <w:t>407 804</w:t>
            </w:r>
          </w:p>
        </w:tc>
        <w:tc>
          <w:tcPr>
            <w:tcW w:type="dxa" w:w="1344"/>
          </w:tcPr>
          <w:p>
            <w:pPr>
              <w:jc w:val="center"/>
            </w:pPr>
            <w:r>
              <w:rPr>
                <w:sz w:val="20"/>
              </w:rPr>
              <w:t>99.9</w:t>
            </w:r>
          </w:p>
        </w:tc>
        <w:tc>
          <w:tcPr>
            <w:tcW w:type="dxa" w:w="1344"/>
          </w:tcPr>
          <w:p>
            <w:pPr>
              <w:jc w:val="center"/>
            </w:pPr>
            <w:r>
              <w:rPr>
                <w:sz w:val="20"/>
              </w:rPr>
              <w:t>94.0</w:t>
            </w:r>
          </w:p>
        </w:tc>
        <w:tc>
          <w:tcPr>
            <w:tcW w:type="dxa" w:w="1344"/>
          </w:tcPr>
          <w:p>
            <w:pPr>
              <w:jc w:val="center"/>
            </w:pPr>
            <w:r>
              <w:rPr>
                <w:sz w:val="20"/>
              </w:rPr>
              <w:t>906 898</w:t>
            </w:r>
          </w:p>
        </w:tc>
        <w:tc>
          <w:tcPr>
            <w:tcW w:type="dxa" w:w="1344"/>
          </w:tcPr>
          <w:p>
            <w:pPr>
              <w:jc w:val="center"/>
            </w:pPr>
            <w:r>
              <w:rPr>
                <w:sz w:val="20"/>
              </w:rPr>
              <w:t>6 164 654</w:t>
            </w:r>
          </w:p>
        </w:tc>
      </w:tr>
      <w:tr>
        <w:tc>
          <w:tcPr>
            <w:tcW w:type="dxa" w:w="1344"/>
          </w:tcPr>
          <w:p>
            <w:pPr>
              <w:jc w:val="left"/>
            </w:pPr>
            <w:r>
              <w:rPr>
                <w:b/>
                <w:sz w:val="20"/>
              </w:rPr>
              <w:t>A2C</w:t>
            </w:r>
          </w:p>
        </w:tc>
        <w:tc>
          <w:tcPr>
            <w:tcW w:type="dxa" w:w="1344"/>
          </w:tcPr>
          <w:p>
            <w:pPr>
              <w:jc w:val="center"/>
            </w:pPr>
            <w:r>
              <w:rPr>
                <w:sz w:val="20"/>
              </w:rPr>
              <w:t>3</w:t>
            </w:r>
          </w:p>
        </w:tc>
        <w:tc>
          <w:tcPr>
            <w:tcW w:type="dxa" w:w="1344"/>
          </w:tcPr>
          <w:p>
            <w:pPr>
              <w:jc w:val="center"/>
            </w:pPr>
            <w:r>
              <w:rPr>
                <w:sz w:val="20"/>
              </w:rPr>
              <w:t>356 818</w:t>
            </w:r>
          </w:p>
        </w:tc>
        <w:tc>
          <w:tcPr>
            <w:tcW w:type="dxa" w:w="1344"/>
          </w:tcPr>
          <w:p>
            <w:pPr>
              <w:jc w:val="center"/>
            </w:pPr>
            <w:r>
              <w:rPr>
                <w:sz w:val="20"/>
              </w:rPr>
              <w:t>87.4</w:t>
            </w:r>
          </w:p>
        </w:tc>
        <w:tc>
          <w:tcPr>
            <w:tcW w:type="dxa" w:w="1344"/>
          </w:tcPr>
          <w:p>
            <w:pPr>
              <w:jc w:val="center"/>
            </w:pPr>
            <w:r>
              <w:rPr>
                <w:sz w:val="20"/>
              </w:rPr>
              <w:t>97.7</w:t>
            </w:r>
          </w:p>
        </w:tc>
        <w:tc>
          <w:tcPr>
            <w:tcW w:type="dxa" w:w="1344"/>
          </w:tcPr>
          <w:p>
            <w:pPr>
              <w:jc w:val="center"/>
            </w:pPr>
            <w:r>
              <w:rPr>
                <w:sz w:val="20"/>
              </w:rPr>
              <w:t>733 671</w:t>
            </w:r>
          </w:p>
        </w:tc>
        <w:tc>
          <w:tcPr>
            <w:tcW w:type="dxa" w:w="1344"/>
          </w:tcPr>
          <w:p>
            <w:pPr>
              <w:jc w:val="center"/>
            </w:pPr>
            <w:r>
              <w:rPr>
                <w:sz w:val="20"/>
              </w:rPr>
              <w:t>6 270 421</w:t>
            </w:r>
          </w:p>
        </w:tc>
      </w:tr>
    </w:tbl>
    <w:p/>
    <w:p>
      <w:pPr>
        <w:jc w:val="both"/>
      </w:pPr>
      <w:r>
        <w:rPr>
          <w:b w:val="0"/>
          <w:i w:val="0"/>
          <w:sz w:val="22"/>
        </w:rPr>
        <w:t>El SAC alcanza una cobertura del 98.1 % de la demanda EV en su episodio óptimo (episodio 48, F₂ = 2 622 735 kg CO₂/año), con una cobertura media del 95.5 % sobre los 50 episodios. El PPO logra la máxima cobertura puntual (99.9 % en el episodio 40), aunque su cobertura media (94.0 %) resulta inferior a la del A2C (97.7 % de media). Sin embargo, el episodio óptimo del A2C presenta una cobertura reducida (87.4 %), lo que indica mayor variabilidad episódica en la gestión de cargadores, corroborada por el mayor número acumulado de violaciones de restricción de deuda energética (1 181 horas-episodio).</w:t>
      </w:r>
    </w:p>
    <w:p>
      <w:pPr>
        <w:jc w:val="both"/>
      </w:pPr>
      <w:r>
        <w:rPr>
          <w:b w:val="0"/>
          <w:i w:val="0"/>
          <w:sz w:val="22"/>
        </w:rPr>
        <w:t>Desde la perspectiva del BESS, el SAC descarga en promedio 880 245 kWh/año, el PPO moviliza 906 898 kWh/año (mayor volumen, pero con mayor importación de red), y el A2C descarga solo 733 671 kWh/año. La correlación de Pearson entre la descarga del BESS y el valor F₂ de CO₂ fue de r = –0.782 (p = 1.93×10⁻¹¹) para el SAC, r = –0.917 (p = 7.82×10⁻²¹) para el PPO, y r = +0.843 (p = 1.62×10⁻¹⁴) para el A2C. El coeficiente positivo del A2C indica que, paradójicamente, un mayor uso del BESS en ese agente no redujo las emisiones, señal de ineficiencia en la política de despacho.</w:t>
      </w:r>
    </w:p>
    <w:p>
      <w:pPr>
        <w:jc w:val="both"/>
      </w:pPr>
      <w:r>
        <w:rPr>
          <w:b w:val="0"/>
          <w:i w:val="0"/>
          <w:sz w:val="22"/>
        </w:rPr>
        <w:t>Se infiere que el sistema FV–BESS–cargadores diseñado en el OE2 es capaz de cubrir más del 95 % de la demanda EV bajo control SAC y más del 94 % bajo PPO, confirmando que la infraestructura dimensionada (4 050 kWp + 2 000 kWh BESS + 38 tomas) es suficiente para el escenario de demanda proyectada con una holgura operativa adecuada.</w:t>
      </w:r>
    </w:p>
    <w:p>
      <w:pPr>
        <w:jc w:val="center"/>
      </w:pPr>
      <w:r>
        <w:rPr>
          <w:i/>
          <w:sz w:val="20"/>
        </w:rPr>
        <w:t>Tabla 5.2.2.2. Balance energético anual del sistema integrated por agente — episodio óptimo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Componente energético</w:t>
            </w:r>
          </w:p>
        </w:tc>
        <w:tc>
          <w:tcPr>
            <w:tcW w:type="dxa" w:w="1881"/>
            <w:shd w:val="clear" w:color="auto" w:fill="1F3864"/>
          </w:tcPr>
          <w:p>
            <w:pPr>
              <w:jc w:val="center"/>
            </w:pPr>
            <w:r>
              <w:rPr>
                <w:b/>
                <w:color w:val="FFFFFF"/>
                <w:sz w:val="20"/>
              </w:rPr>
              <w:t>SAC (ep 48)</w:t>
            </w:r>
          </w:p>
        </w:tc>
        <w:tc>
          <w:tcPr>
            <w:tcW w:type="dxa" w:w="1881"/>
            <w:shd w:val="clear" w:color="auto" w:fill="1F3864"/>
          </w:tcPr>
          <w:p>
            <w:pPr>
              <w:jc w:val="center"/>
            </w:pPr>
            <w:r>
              <w:rPr>
                <w:b/>
                <w:color w:val="FFFFFF"/>
                <w:sz w:val="20"/>
              </w:rPr>
              <w:t>PPO (ep 40)</w:t>
            </w:r>
          </w:p>
        </w:tc>
        <w:tc>
          <w:tcPr>
            <w:tcW w:type="dxa" w:w="1881"/>
            <w:shd w:val="clear" w:color="auto" w:fill="1F3864"/>
          </w:tcPr>
          <w:p>
            <w:pPr>
              <w:jc w:val="center"/>
            </w:pPr>
            <w:r>
              <w:rPr>
                <w:b/>
                <w:color w:val="FFFFFF"/>
                <w:sz w:val="20"/>
              </w:rPr>
              <w:t>A2C (ep 3)</w:t>
            </w:r>
          </w:p>
        </w:tc>
        <w:tc>
          <w:tcPr>
            <w:tcW w:type="dxa" w:w="1881"/>
            <w:shd w:val="clear" w:color="auto" w:fill="1F3864"/>
          </w:tcPr>
          <w:p>
            <w:pPr>
              <w:jc w:val="center"/>
            </w:pPr>
            <w:r>
              <w:rPr>
                <w:b/>
                <w:color w:val="FFFFFF"/>
                <w:sz w:val="20"/>
              </w:rPr>
              <w:t>Referencia (F₁)</w:t>
            </w:r>
          </w:p>
        </w:tc>
      </w:tr>
      <w:tr>
        <w:tc>
          <w:tcPr>
            <w:tcW w:type="dxa" w:w="1881"/>
          </w:tcPr>
          <w:p>
            <w:pPr>
              <w:jc w:val="left"/>
            </w:pPr>
            <w:r>
              <w:rPr>
                <w:b/>
                <w:sz w:val="20"/>
              </w:rPr>
              <w:t>Generación FV nominal (kWh)</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c>
          <w:tcPr>
            <w:tcW w:type="dxa" w:w="1881"/>
          </w:tcPr>
          <w:p>
            <w:pPr>
              <w:jc w:val="center"/>
            </w:pPr>
            <w:r>
              <w:rPr>
                <w:sz w:val="20"/>
              </w:rPr>
              <w:t>8 292 514</w:t>
            </w:r>
          </w:p>
        </w:tc>
      </w:tr>
      <w:tr>
        <w:tc>
          <w:tcPr>
            <w:tcW w:type="dxa" w:w="1881"/>
          </w:tcPr>
          <w:p>
            <w:pPr>
              <w:jc w:val="left"/>
            </w:pPr>
            <w:r>
              <w:rPr>
                <w:b/>
                <w:sz w:val="20"/>
              </w:rPr>
              <w:t>Descarga BESS (kWh)</w:t>
            </w:r>
          </w:p>
        </w:tc>
        <w:tc>
          <w:tcPr>
            <w:tcW w:type="dxa" w:w="1881"/>
          </w:tcPr>
          <w:p>
            <w:pPr>
              <w:jc w:val="center"/>
            </w:pPr>
            <w:r>
              <w:rPr>
                <w:sz w:val="20"/>
              </w:rPr>
              <w:t>875 699</w:t>
            </w:r>
          </w:p>
        </w:tc>
        <w:tc>
          <w:tcPr>
            <w:tcW w:type="dxa" w:w="1881"/>
          </w:tcPr>
          <w:p>
            <w:pPr>
              <w:jc w:val="center"/>
            </w:pPr>
            <w:r>
              <w:rPr>
                <w:sz w:val="20"/>
              </w:rPr>
              <w:t>919 034</w:t>
            </w:r>
          </w:p>
        </w:tc>
        <w:tc>
          <w:tcPr>
            <w:tcW w:type="dxa" w:w="1881"/>
          </w:tcPr>
          <w:p>
            <w:pPr>
              <w:jc w:val="center"/>
            </w:pPr>
            <w:r>
              <w:rPr>
                <w:sz w:val="20"/>
              </w:rPr>
              <w:t>744 718</w:t>
            </w:r>
          </w:p>
        </w:tc>
        <w:tc>
          <w:tcPr>
            <w:tcW w:type="dxa" w:w="1881"/>
          </w:tcPr>
          <w:p>
            <w:pPr>
              <w:jc w:val="center"/>
            </w:pPr>
            <w:r>
              <w:rPr>
                <w:sz w:val="20"/>
              </w:rPr>
              <w:t>509 829</w:t>
            </w:r>
          </w:p>
        </w:tc>
      </w:tr>
      <w:tr>
        <w:tc>
          <w:tcPr>
            <w:tcW w:type="dxa" w:w="1881"/>
          </w:tcPr>
          <w:p>
            <w:pPr>
              <w:jc w:val="left"/>
            </w:pPr>
            <w:r>
              <w:rPr>
                <w:b/>
                <w:sz w:val="20"/>
              </w:rPr>
              <w:t>Importación de red (kWh)</w:t>
            </w:r>
          </w:p>
        </w:tc>
        <w:tc>
          <w:tcPr>
            <w:tcW w:type="dxa" w:w="1881"/>
          </w:tcPr>
          <w:p>
            <w:pPr>
              <w:jc w:val="center"/>
            </w:pPr>
            <w:r>
              <w:rPr>
                <w:sz w:val="20"/>
              </w:rPr>
              <w:t>5 801 227</w:t>
            </w:r>
          </w:p>
        </w:tc>
        <w:tc>
          <w:tcPr>
            <w:tcW w:type="dxa" w:w="1881"/>
          </w:tcPr>
          <w:p>
            <w:pPr>
              <w:jc w:val="center"/>
            </w:pPr>
            <w:r>
              <w:rPr>
                <w:sz w:val="20"/>
              </w:rPr>
              <w:t>6 164 654</w:t>
            </w:r>
          </w:p>
        </w:tc>
        <w:tc>
          <w:tcPr>
            <w:tcW w:type="dxa" w:w="1881"/>
          </w:tcPr>
          <w:p>
            <w:pPr>
              <w:jc w:val="center"/>
            </w:pPr>
            <w:r>
              <w:rPr>
                <w:sz w:val="20"/>
              </w:rPr>
              <w:t>6 270 421</w:t>
            </w:r>
          </w:p>
        </w:tc>
        <w:tc>
          <w:tcPr>
            <w:tcW w:type="dxa" w:w="1881"/>
          </w:tcPr>
          <w:p>
            <w:pPr>
              <w:jc w:val="center"/>
            </w:pPr>
            <w:r>
              <w:rPr>
                <w:sz w:val="20"/>
              </w:rPr>
              <w:t>6 504 452</w:t>
            </w:r>
          </w:p>
        </w:tc>
      </w:tr>
      <w:tr>
        <w:tc>
          <w:tcPr>
            <w:tcW w:type="dxa" w:w="1881"/>
          </w:tcPr>
          <w:p>
            <w:pPr>
              <w:jc w:val="left"/>
            </w:pPr>
            <w:r>
              <w:rPr>
                <w:b/>
                <w:sz w:val="20"/>
              </w:rPr>
              <w:t>Energía a EV — motos (kWh)</w:t>
            </w:r>
          </w:p>
        </w:tc>
        <w:tc>
          <w:tcPr>
            <w:tcW w:type="dxa" w:w="1881"/>
          </w:tcPr>
          <w:p>
            <w:pPr>
              <w:jc w:val="center"/>
            </w:pPr>
            <w:r>
              <w:rPr>
                <w:sz w:val="20"/>
              </w:rPr>
              <w:t>341 047</w:t>
            </w:r>
          </w:p>
        </w:tc>
        <w:tc>
          <w:tcPr>
            <w:tcW w:type="dxa" w:w="1881"/>
          </w:tcPr>
          <w:p>
            <w:pPr>
              <w:jc w:val="center"/>
            </w:pPr>
            <w:r>
              <w:rPr>
                <w:sz w:val="20"/>
              </w:rPr>
              <w:t>345 118</w:t>
            </w:r>
          </w:p>
        </w:tc>
        <w:tc>
          <w:tcPr>
            <w:tcW w:type="dxa" w:w="1881"/>
          </w:tcPr>
          <w:p>
            <w:pPr>
              <w:jc w:val="center"/>
            </w:pPr>
            <w:r>
              <w:rPr>
                <w:sz w:val="20"/>
              </w:rPr>
              <w:t>329 125</w:t>
            </w:r>
          </w:p>
        </w:tc>
        <w:tc>
          <w:tcPr>
            <w:tcW w:type="dxa" w:w="1881"/>
          </w:tcPr>
          <w:p>
            <w:pPr>
              <w:jc w:val="center"/>
            </w:pPr>
            <w:r>
              <w:rPr>
                <w:sz w:val="20"/>
              </w:rPr>
              <w:t>256 672</w:t>
            </w:r>
          </w:p>
        </w:tc>
      </w:tr>
      <w:tr>
        <w:tc>
          <w:tcPr>
            <w:tcW w:type="dxa" w:w="1881"/>
          </w:tcPr>
          <w:p>
            <w:pPr>
              <w:jc w:val="left"/>
            </w:pPr>
            <w:r>
              <w:rPr>
                <w:b/>
                <w:sz w:val="20"/>
              </w:rPr>
              <w:t>Energía a EV — mototaxis (kWh)</w:t>
            </w:r>
          </w:p>
        </w:tc>
        <w:tc>
          <w:tcPr>
            <w:tcW w:type="dxa" w:w="1881"/>
          </w:tcPr>
          <w:p>
            <w:pPr>
              <w:jc w:val="center"/>
            </w:pPr>
            <w:r>
              <w:rPr>
                <w:sz w:val="20"/>
              </w:rPr>
              <w:t>59 306</w:t>
            </w:r>
          </w:p>
        </w:tc>
        <w:tc>
          <w:tcPr>
            <w:tcW w:type="dxa" w:w="1881"/>
          </w:tcPr>
          <w:p>
            <w:pPr>
              <w:jc w:val="center"/>
            </w:pPr>
            <w:r>
              <w:rPr>
                <w:sz w:val="20"/>
              </w:rPr>
              <w:t>62 686</w:t>
            </w:r>
          </w:p>
        </w:tc>
        <w:tc>
          <w:tcPr>
            <w:tcW w:type="dxa" w:w="1881"/>
          </w:tcPr>
          <w:p>
            <w:pPr>
              <w:jc w:val="center"/>
            </w:pPr>
            <w:r>
              <w:rPr>
                <w:sz w:val="20"/>
              </w:rPr>
              <w:t>27 693</w:t>
            </w:r>
          </w:p>
        </w:tc>
        <w:tc>
          <w:tcPr>
            <w:tcW w:type="dxa" w:w="1881"/>
          </w:tcPr>
          <w:p>
            <w:pPr>
              <w:jc w:val="center"/>
            </w:pPr>
            <w:r>
              <w:rPr>
                <w:sz w:val="20"/>
              </w:rPr>
              <w:t>—</w:t>
            </w:r>
          </w:p>
        </w:tc>
      </w:tr>
      <w:tr>
        <w:tc>
          <w:tcPr>
            <w:tcW w:type="dxa" w:w="1881"/>
          </w:tcPr>
          <w:p>
            <w:pPr>
              <w:jc w:val="left"/>
            </w:pPr>
            <w:r>
              <w:rPr>
                <w:b/>
                <w:sz w:val="20"/>
              </w:rPr>
              <w:t>Energía EV total (kWh)</w:t>
            </w:r>
          </w:p>
        </w:tc>
        <w:tc>
          <w:tcPr>
            <w:tcW w:type="dxa" w:w="1881"/>
          </w:tcPr>
          <w:p>
            <w:pPr>
              <w:jc w:val="center"/>
            </w:pPr>
            <w:r>
              <w:rPr>
                <w:sz w:val="20"/>
              </w:rPr>
              <w:t>400 353</w:t>
            </w:r>
          </w:p>
        </w:tc>
        <w:tc>
          <w:tcPr>
            <w:tcW w:type="dxa" w:w="1881"/>
          </w:tcPr>
          <w:p>
            <w:pPr>
              <w:jc w:val="center"/>
            </w:pPr>
            <w:r>
              <w:rPr>
                <w:sz w:val="20"/>
              </w:rPr>
              <w:t>407 804</w:t>
            </w:r>
          </w:p>
        </w:tc>
        <w:tc>
          <w:tcPr>
            <w:tcW w:type="dxa" w:w="1881"/>
          </w:tcPr>
          <w:p>
            <w:pPr>
              <w:jc w:val="center"/>
            </w:pPr>
            <w:r>
              <w:rPr>
                <w:sz w:val="20"/>
              </w:rPr>
              <w:t>356 818</w:t>
            </w:r>
          </w:p>
        </w:tc>
        <w:tc>
          <w:tcPr>
            <w:tcW w:type="dxa" w:w="1881"/>
          </w:tcPr>
          <w:p>
            <w:pPr>
              <w:jc w:val="center"/>
            </w:pPr>
            <w:r>
              <w:rPr>
                <w:sz w:val="20"/>
              </w:rPr>
              <w:t>~408 282</w:t>
            </w:r>
          </w:p>
        </w:tc>
      </w:tr>
      <w:tr>
        <w:tc>
          <w:tcPr>
            <w:tcW w:type="dxa" w:w="1881"/>
          </w:tcPr>
          <w:p>
            <w:pPr>
              <w:jc w:val="left"/>
            </w:pPr>
            <w:r>
              <w:rPr>
                <w:b/>
                <w:sz w:val="20"/>
              </w:rPr>
              <w:t>Cobertura EV (%)</w:t>
            </w:r>
          </w:p>
        </w:tc>
        <w:tc>
          <w:tcPr>
            <w:tcW w:type="dxa" w:w="1881"/>
          </w:tcPr>
          <w:p>
            <w:pPr>
              <w:jc w:val="center"/>
            </w:pPr>
            <w:r>
              <w:rPr>
                <w:sz w:val="20"/>
              </w:rPr>
              <w:t>98.1 %</w:t>
            </w:r>
          </w:p>
        </w:tc>
        <w:tc>
          <w:tcPr>
            <w:tcW w:type="dxa" w:w="1881"/>
          </w:tcPr>
          <w:p>
            <w:pPr>
              <w:jc w:val="center"/>
            </w:pPr>
            <w:r>
              <w:rPr>
                <w:sz w:val="20"/>
              </w:rPr>
              <w:t>99.9 %</w:t>
            </w:r>
          </w:p>
        </w:tc>
        <w:tc>
          <w:tcPr>
            <w:tcW w:type="dxa" w:w="1881"/>
          </w:tcPr>
          <w:p>
            <w:pPr>
              <w:jc w:val="center"/>
            </w:pPr>
            <w:r>
              <w:rPr>
                <w:sz w:val="20"/>
              </w:rPr>
              <w:t>87.4 %</w:t>
            </w:r>
          </w:p>
        </w:tc>
        <w:tc>
          <w:tcPr>
            <w:tcW w:type="dxa" w:w="1881"/>
          </w:tcPr>
          <w:p>
            <w:pPr>
              <w:jc w:val="center"/>
            </w:pPr>
            <w:r>
              <w:rPr>
                <w:sz w:val="20"/>
              </w:rPr>
              <w:t>~62.9 %</w:t>
            </w:r>
          </w:p>
        </w:tc>
      </w:tr>
    </w:tbl>
    <w:p/>
    <w:p>
      <w:pPr>
        <w:pStyle w:val="Heading3"/>
      </w:pPr>
      <w:r>
        <w:rPr>
          <w:b/>
          <w:sz w:val="24"/>
        </w:rPr>
        <w:t>5.2.3. Inferencia técnica sobre la contribución cuantificable a la reducción de emisiones de CO₂</w:t>
      </w:r>
    </w:p>
    <w:p>
      <w:pPr>
        <w:jc w:val="both"/>
      </w:pPr>
      <w:r>
        <w:rPr>
          <w:b w:val="0"/>
          <w:i w:val="0"/>
          <w:sz w:val="22"/>
        </w:rPr>
        <w:t>La reducción de CO₂ cuantificable se descompone en dos vías conforme al marco de emisiones del proyecto: (a) reducción directa F₆ₐ por combustible vehicular evitado —motos y mototaxis que reemplazan gasolina y diésel—, y (b) reducción indirecta F₆ᵦ por desplazamiento de generación diésel en la red aislada de Iquitos mediante autogeneración FV y despacho optimizado de BESS. El factor de emisión aplicado es EF = 0.4521 kg CO₂/kWh (factor red aislada Iquitos, MINEM 2024).</w:t>
      </w:r>
    </w:p>
    <w:p>
      <w:pPr>
        <w:jc w:val="both"/>
      </w:pPr>
      <w:r>
        <w:rPr>
          <w:b w:val="0"/>
          <w:i w:val="0"/>
          <w:sz w:val="22"/>
        </w:rPr>
        <w:t>La prueba de Wilcoxon de rango con signo aplicada al contraste F₁ − F₂ &gt; 0 —verificando que el control RL reduce efectivamente las emisiones respecto a la operación base sin agente— arrojó un estadístico T = 1 275.0 con p = 8.882×10⁻¹⁶, lo cual confirma a un nivel de significancia α = 0.001 que los tres agentes contribuyen de manera estadísticamente significativa a la reducción de CO₂ respecto a la operación sin control inteligente.</w:t>
      </w:r>
    </w:p>
    <w:p>
      <w:pPr>
        <w:jc w:val="both"/>
      </w:pPr>
      <w:r>
        <w:rPr>
          <w:b w:val="0"/>
          <w:i w:val="0"/>
          <w:sz w:val="22"/>
        </w:rPr>
        <w:t>La Tabla 5.2.3.1 desglosa la reducción de CO₂ por componente para el episodio óptimo de cada agente, expresada en kg CO₂/año y en porcentaje respecto al escenario de referencia F₀.</w:t>
      </w:r>
    </w:p>
    <w:p>
      <w:pPr>
        <w:jc w:val="center"/>
      </w:pPr>
      <w:r>
        <w:rPr>
          <w:i/>
          <w:sz w:val="20"/>
        </w:rPr>
        <w:t>Tabla 5.2.3.1. Reducción de CO₂ por componente y agente (episodio óptimo, α = 0.001, Wilcoxon p = 8.882×10⁻¹⁶)</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864"/>
          </w:tcPr>
          <w:p>
            <w:pPr>
              <w:jc w:val="center"/>
            </w:pPr>
            <w:r>
              <w:rPr>
                <w:b/>
                <w:color w:val="FFFFFF"/>
                <w:sz w:val="20"/>
              </w:rPr>
              <w:t>Agente</w:t>
            </w:r>
          </w:p>
        </w:tc>
        <w:tc>
          <w:tcPr>
            <w:tcW w:type="dxa" w:w="1344"/>
            <w:shd w:val="clear" w:color="auto" w:fill="1F3864"/>
          </w:tcPr>
          <w:p>
            <w:pPr>
              <w:jc w:val="center"/>
            </w:pPr>
            <w:r>
              <w:rPr>
                <w:b/>
                <w:color w:val="FFFFFF"/>
                <w:sz w:val="20"/>
              </w:rPr>
              <w:t>F₂ mín</w:t>
              <w:br/>
              <w:t>(kg/año)</w:t>
            </w:r>
          </w:p>
        </w:tc>
        <w:tc>
          <w:tcPr>
            <w:tcW w:type="dxa" w:w="1344"/>
            <w:shd w:val="clear" w:color="auto" w:fill="1F3864"/>
          </w:tcPr>
          <w:p>
            <w:pPr>
              <w:jc w:val="center"/>
            </w:pPr>
            <w:r>
              <w:rPr>
                <w:b/>
                <w:color w:val="FFFFFF"/>
                <w:sz w:val="20"/>
              </w:rPr>
              <w:t>Reducción directa</w:t>
              <w:br/>
              <w:t>(kg/año)</w:t>
            </w:r>
          </w:p>
        </w:tc>
        <w:tc>
          <w:tcPr>
            <w:tcW w:type="dxa" w:w="1344"/>
            <w:shd w:val="clear" w:color="auto" w:fill="1F3864"/>
          </w:tcPr>
          <w:p>
            <w:pPr>
              <w:jc w:val="center"/>
            </w:pPr>
            <w:r>
              <w:rPr>
                <w:b/>
                <w:color w:val="FFFFFF"/>
                <w:sz w:val="20"/>
              </w:rPr>
              <w:t>Reducción indirecta</w:t>
              <w:br/>
              <w:t>(kg/año)</w:t>
            </w:r>
          </w:p>
        </w:tc>
        <w:tc>
          <w:tcPr>
            <w:tcW w:type="dxa" w:w="1344"/>
            <w:shd w:val="clear" w:color="auto" w:fill="1F3864"/>
          </w:tcPr>
          <w:p>
            <w:pPr>
              <w:jc w:val="center"/>
            </w:pPr>
            <w:r>
              <w:rPr>
                <w:b/>
                <w:color w:val="FFFFFF"/>
                <w:sz w:val="20"/>
              </w:rPr>
              <w:t>Reducción neta</w:t>
              <w:br/>
              <w:t>(kg/año)</w:t>
            </w:r>
          </w:p>
        </w:tc>
        <w:tc>
          <w:tcPr>
            <w:tcW w:type="dxa" w:w="1344"/>
            <w:shd w:val="clear" w:color="auto" w:fill="1F3864"/>
          </w:tcPr>
          <w:p>
            <w:pPr>
              <w:jc w:val="center"/>
            </w:pPr>
            <w:r>
              <w:rPr>
                <w:b/>
                <w:color w:val="FFFFFF"/>
                <w:sz w:val="20"/>
              </w:rPr>
              <w:t>% vs F₀</w:t>
              <w:br/>
              <w:t>(7 054 000)</w:t>
            </w:r>
          </w:p>
        </w:tc>
        <w:tc>
          <w:tcPr>
            <w:tcW w:type="dxa" w:w="1344"/>
            <w:shd w:val="clear" w:color="auto" w:fill="1F3864"/>
          </w:tcPr>
          <w:p>
            <w:pPr>
              <w:jc w:val="center"/>
            </w:pPr>
            <w:r>
              <w:rPr>
                <w:b/>
                <w:color w:val="FFFFFF"/>
                <w:sz w:val="20"/>
              </w:rPr>
              <w:t>% vs F₁</w:t>
              <w:br/>
              <w:t>(5 790 639)</w:t>
            </w:r>
          </w:p>
        </w:tc>
      </w:tr>
      <w:tr>
        <w:tc>
          <w:tcPr>
            <w:tcW w:type="dxa" w:w="1344"/>
            <w:shd w:val="clear" w:color="auto" w:fill="D9E2F3"/>
          </w:tcPr>
          <w:p>
            <w:pPr>
              <w:jc w:val="left"/>
            </w:pPr>
            <w:r>
              <w:rPr>
                <w:b/>
                <w:sz w:val="20"/>
              </w:rPr>
              <w:t>SAC ★</w:t>
            </w:r>
          </w:p>
        </w:tc>
        <w:tc>
          <w:tcPr>
            <w:tcW w:type="dxa" w:w="1344"/>
            <w:shd w:val="clear" w:color="auto" w:fill="D9E2F3"/>
          </w:tcPr>
          <w:p>
            <w:pPr>
              <w:jc w:val="center"/>
            </w:pPr>
            <w:r>
              <w:rPr>
                <w:b/>
                <w:sz w:val="20"/>
              </w:rPr>
              <w:t>2 622 735</w:t>
            </w:r>
          </w:p>
        </w:tc>
        <w:tc>
          <w:tcPr>
            <w:tcW w:type="dxa" w:w="1344"/>
            <w:shd w:val="clear" w:color="auto" w:fill="D9E2F3"/>
          </w:tcPr>
          <w:p>
            <w:pPr>
              <w:jc w:val="center"/>
            </w:pPr>
            <w:r>
              <w:rPr>
                <w:b/>
                <w:sz w:val="20"/>
              </w:rPr>
              <w:t>328 736</w:t>
            </w:r>
          </w:p>
        </w:tc>
        <w:tc>
          <w:tcPr>
            <w:tcW w:type="dxa" w:w="1344"/>
            <w:shd w:val="clear" w:color="auto" w:fill="D9E2F3"/>
          </w:tcPr>
          <w:p>
            <w:pPr>
              <w:jc w:val="center"/>
            </w:pPr>
            <w:r>
              <w:rPr>
                <w:b/>
                <w:sz w:val="20"/>
              </w:rPr>
              <w:t>3 223 884</w:t>
            </w:r>
          </w:p>
        </w:tc>
        <w:tc>
          <w:tcPr>
            <w:tcW w:type="dxa" w:w="1344"/>
            <w:shd w:val="clear" w:color="auto" w:fill="D9E2F3"/>
          </w:tcPr>
          <w:p>
            <w:pPr>
              <w:jc w:val="center"/>
            </w:pPr>
            <w:r>
              <w:rPr>
                <w:b/>
                <w:sz w:val="20"/>
              </w:rPr>
              <w:t>3 552 620</w:t>
            </w:r>
          </w:p>
        </w:tc>
        <w:tc>
          <w:tcPr>
            <w:tcW w:type="dxa" w:w="1344"/>
            <w:shd w:val="clear" w:color="auto" w:fill="D9E2F3"/>
          </w:tcPr>
          <w:p>
            <w:pPr>
              <w:jc w:val="center"/>
            </w:pPr>
            <w:r>
              <w:rPr>
                <w:b/>
                <w:sz w:val="20"/>
              </w:rPr>
              <w:t>62.8 %</w:t>
            </w:r>
          </w:p>
        </w:tc>
        <w:tc>
          <w:tcPr>
            <w:tcW w:type="dxa" w:w="1344"/>
            <w:shd w:val="clear" w:color="auto" w:fill="D9E2F3"/>
          </w:tcPr>
          <w:p>
            <w:pPr>
              <w:jc w:val="center"/>
            </w:pPr>
            <w:r>
              <w:rPr>
                <w:b/>
                <w:sz w:val="20"/>
              </w:rPr>
              <w:t>54.7 %</w:t>
            </w:r>
          </w:p>
        </w:tc>
      </w:tr>
      <w:tr>
        <w:tc>
          <w:tcPr>
            <w:tcW w:type="dxa" w:w="1344"/>
          </w:tcPr>
          <w:p>
            <w:pPr>
              <w:jc w:val="left"/>
            </w:pPr>
            <w:r>
              <w:rPr>
                <w:b/>
                <w:sz w:val="20"/>
              </w:rPr>
              <w:t>PPO</w:t>
            </w:r>
          </w:p>
        </w:tc>
        <w:tc>
          <w:tcPr>
            <w:tcW w:type="dxa" w:w="1344"/>
          </w:tcPr>
          <w:p>
            <w:pPr>
              <w:jc w:val="center"/>
            </w:pPr>
            <w:r>
              <w:rPr>
                <w:sz w:val="20"/>
              </w:rPr>
              <w:t>2 787 040</w:t>
            </w:r>
          </w:p>
        </w:tc>
        <w:tc>
          <w:tcPr>
            <w:tcW w:type="dxa" w:w="1344"/>
          </w:tcPr>
          <w:p>
            <w:pPr>
              <w:jc w:val="center"/>
            </w:pPr>
            <w:r>
              <w:rPr>
                <w:sz w:val="20"/>
              </w:rPr>
              <w:t>334 103</w:t>
            </w:r>
          </w:p>
        </w:tc>
        <w:tc>
          <w:tcPr>
            <w:tcW w:type="dxa" w:w="1344"/>
          </w:tcPr>
          <w:p>
            <w:pPr>
              <w:jc w:val="center"/>
            </w:pPr>
            <w:r>
              <w:rPr>
                <w:sz w:val="20"/>
              </w:rPr>
              <w:t>3 052 176</w:t>
            </w:r>
          </w:p>
        </w:tc>
        <w:tc>
          <w:tcPr>
            <w:tcW w:type="dxa" w:w="1344"/>
          </w:tcPr>
          <w:p>
            <w:pPr>
              <w:jc w:val="center"/>
            </w:pPr>
            <w:r>
              <w:rPr>
                <w:sz w:val="20"/>
              </w:rPr>
              <w:t>3 386 279</w:t>
            </w:r>
          </w:p>
        </w:tc>
        <w:tc>
          <w:tcPr>
            <w:tcW w:type="dxa" w:w="1344"/>
          </w:tcPr>
          <w:p>
            <w:pPr>
              <w:jc w:val="center"/>
            </w:pPr>
            <w:r>
              <w:rPr>
                <w:sz w:val="20"/>
              </w:rPr>
              <w:t>60.5 %</w:t>
            </w:r>
          </w:p>
        </w:tc>
        <w:tc>
          <w:tcPr>
            <w:tcW w:type="dxa" w:w="1344"/>
          </w:tcPr>
          <w:p>
            <w:pPr>
              <w:jc w:val="center"/>
            </w:pPr>
            <w:r>
              <w:rPr>
                <w:sz w:val="20"/>
              </w:rPr>
              <w:t>51.9 %</w:t>
            </w:r>
          </w:p>
        </w:tc>
      </w:tr>
      <w:tr>
        <w:tc>
          <w:tcPr>
            <w:tcW w:type="dxa" w:w="1344"/>
          </w:tcPr>
          <w:p>
            <w:pPr>
              <w:jc w:val="left"/>
            </w:pPr>
            <w:r>
              <w:rPr>
                <w:b/>
                <w:sz w:val="20"/>
              </w:rPr>
              <w:t>A2C</w:t>
            </w:r>
          </w:p>
        </w:tc>
        <w:tc>
          <w:tcPr>
            <w:tcW w:type="dxa" w:w="1344"/>
          </w:tcPr>
          <w:p>
            <w:pPr>
              <w:jc w:val="center"/>
            </w:pPr>
            <w:r>
              <w:rPr>
                <w:sz w:val="20"/>
              </w:rPr>
              <w:t>2 834 857</w:t>
            </w:r>
          </w:p>
        </w:tc>
        <w:tc>
          <w:tcPr>
            <w:tcW w:type="dxa" w:w="1344"/>
          </w:tcPr>
          <w:p>
            <w:pPr>
              <w:jc w:val="center"/>
            </w:pPr>
            <w:r>
              <w:rPr>
                <w:sz w:val="20"/>
              </w:rPr>
              <w:t>301 293</w:t>
            </w:r>
          </w:p>
        </w:tc>
        <w:tc>
          <w:tcPr>
            <w:tcW w:type="dxa" w:w="1344"/>
          </w:tcPr>
          <w:p>
            <w:pPr>
              <w:jc w:val="center"/>
            </w:pPr>
            <w:r>
              <w:rPr>
                <w:sz w:val="20"/>
              </w:rPr>
              <w:t>2 985 752</w:t>
            </w:r>
          </w:p>
        </w:tc>
        <w:tc>
          <w:tcPr>
            <w:tcW w:type="dxa" w:w="1344"/>
          </w:tcPr>
          <w:p>
            <w:pPr>
              <w:jc w:val="center"/>
            </w:pPr>
            <w:r>
              <w:rPr>
                <w:sz w:val="20"/>
              </w:rPr>
              <w:t>3 287 045</w:t>
            </w:r>
          </w:p>
        </w:tc>
        <w:tc>
          <w:tcPr>
            <w:tcW w:type="dxa" w:w="1344"/>
          </w:tcPr>
          <w:p>
            <w:pPr>
              <w:jc w:val="center"/>
            </w:pPr>
            <w:r>
              <w:rPr>
                <w:sz w:val="20"/>
              </w:rPr>
              <w:t>59.8 %</w:t>
            </w:r>
          </w:p>
        </w:tc>
        <w:tc>
          <w:tcPr>
            <w:tcW w:type="dxa" w:w="1344"/>
          </w:tcPr>
          <w:p>
            <w:pPr>
              <w:jc w:val="center"/>
            </w:pPr>
            <w:r>
              <w:rPr>
                <w:sz w:val="20"/>
              </w:rPr>
              <w:t>51.0 %</w:t>
            </w:r>
          </w:p>
        </w:tc>
      </w:tr>
      <w:tr>
        <w:tc>
          <w:tcPr>
            <w:tcW w:type="dxa" w:w="1344"/>
            <w:shd w:val="clear" w:color="auto" w:fill="E2EFDA"/>
          </w:tcPr>
          <w:p>
            <w:pPr>
              <w:jc w:val="left"/>
            </w:pPr>
            <w:r>
              <w:rPr>
                <w:b/>
                <w:sz w:val="20"/>
              </w:rPr>
              <w:t>F₁ base</w:t>
            </w:r>
          </w:p>
        </w:tc>
        <w:tc>
          <w:tcPr>
            <w:tcW w:type="dxa" w:w="1344"/>
            <w:shd w:val="clear" w:color="auto" w:fill="E2EFDA"/>
          </w:tcPr>
          <w:p>
            <w:pPr>
              <w:jc w:val="center"/>
            </w:pPr>
            <w:r>
              <w:rPr>
                <w:sz w:val="20"/>
              </w:rPr>
              <w:t>5 790 639</w:t>
            </w:r>
          </w:p>
        </w:tc>
        <w:tc>
          <w:tcPr>
            <w:tcW w:type="dxa" w:w="1344"/>
            <w:shd w:val="clear" w:color="auto" w:fill="E2EFDA"/>
          </w:tcPr>
          <w:p>
            <w:pPr>
              <w:jc w:val="center"/>
            </w:pPr>
            <w:r>
              <w:rPr>
                <w:sz w:val="20"/>
              </w:rPr>
              <w:t>243 300</w:t>
            </w:r>
          </w:p>
        </w:tc>
        <w:tc>
          <w:tcPr>
            <w:tcW w:type="dxa" w:w="1344"/>
            <w:shd w:val="clear" w:color="auto" w:fill="E2EFDA"/>
          </w:tcPr>
          <w:p>
            <w:pPr>
              <w:jc w:val="center"/>
            </w:pPr>
            <w:r>
              <w:rPr>
                <w:sz w:val="20"/>
              </w:rPr>
              <w:t>230 494</w:t>
            </w:r>
          </w:p>
        </w:tc>
        <w:tc>
          <w:tcPr>
            <w:tcW w:type="dxa" w:w="1344"/>
            <w:shd w:val="clear" w:color="auto" w:fill="E2EFDA"/>
          </w:tcPr>
          <w:p>
            <w:pPr>
              <w:jc w:val="center"/>
            </w:pPr>
            <w:r>
              <w:rPr>
                <w:sz w:val="20"/>
              </w:rPr>
              <w:t>473 794</w:t>
            </w:r>
          </w:p>
        </w:tc>
        <w:tc>
          <w:tcPr>
            <w:tcW w:type="dxa" w:w="1344"/>
            <w:shd w:val="clear" w:color="auto" w:fill="E2EFDA"/>
          </w:tcPr>
          <w:p>
            <w:pPr>
              <w:jc w:val="center"/>
            </w:pPr>
            <w:r>
              <w:rPr>
                <w:sz w:val="20"/>
              </w:rPr>
              <w:t>6.7 %</w:t>
            </w:r>
          </w:p>
        </w:tc>
        <w:tc>
          <w:tcPr>
            <w:tcW w:type="dxa" w:w="1344"/>
            <w:shd w:val="clear" w:color="auto" w:fill="E2EFDA"/>
          </w:tcPr>
          <w:p>
            <w:pPr>
              <w:jc w:val="center"/>
            </w:pPr>
            <w:r>
              <w:rPr>
                <w:sz w:val="20"/>
              </w:rPr>
              <w:t>0 %</w:t>
            </w:r>
          </w:p>
        </w:tc>
      </w:tr>
      <w:tr>
        <w:tc>
          <w:tcPr>
            <w:tcW w:type="dxa" w:w="1344"/>
            <w:shd w:val="clear" w:color="auto" w:fill="FCE4D6"/>
          </w:tcPr>
          <w:p>
            <w:pPr>
              <w:jc w:val="left"/>
            </w:pPr>
            <w:r>
              <w:rPr>
                <w:b/>
                <w:sz w:val="20"/>
              </w:rPr>
              <w:t>F₀ ref</w:t>
            </w:r>
          </w:p>
        </w:tc>
        <w:tc>
          <w:tcPr>
            <w:tcW w:type="dxa" w:w="1344"/>
            <w:shd w:val="clear" w:color="auto" w:fill="FCE4D6"/>
          </w:tcPr>
          <w:p>
            <w:pPr>
              <w:jc w:val="center"/>
            </w:pPr>
            <w:r>
              <w:rPr>
                <w:sz w:val="20"/>
              </w:rPr>
              <w:t>7 054 000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w:t>
            </w:r>
          </w:p>
        </w:tc>
        <w:tc>
          <w:tcPr>
            <w:tcW w:type="dxa" w:w="1344"/>
            <w:shd w:val="clear" w:color="auto" w:fill="FCE4D6"/>
          </w:tcPr>
          <w:p>
            <w:pPr>
              <w:jc w:val="center"/>
            </w:pPr>
            <w:r>
              <w:rPr>
                <w:sz w:val="20"/>
              </w:rPr>
              <w:t>0 %</w:t>
            </w:r>
          </w:p>
        </w:tc>
        <w:tc>
          <w:tcPr>
            <w:tcW w:type="dxa" w:w="1344"/>
            <w:shd w:val="clear" w:color="auto" w:fill="FCE4D6"/>
          </w:tcPr>
          <w:p>
            <w:pPr>
              <w:jc w:val="center"/>
            </w:pPr>
            <w:r>
              <w:rPr>
                <w:sz w:val="20"/>
              </w:rPr>
              <w:t>—</w:t>
            </w:r>
          </w:p>
        </w:tc>
      </w:tr>
    </w:tbl>
    <w:p/>
    <w:p>
      <w:pPr>
        <w:jc w:val="both"/>
      </w:pPr>
      <w:r>
        <w:rPr>
          <w:b w:val="0"/>
          <w:i w:val="0"/>
          <w:sz w:val="22"/>
        </w:rPr>
        <w:t>El SAC logra la mayor reducción neta de CO₂: 3 552 620 kg/año (62.8 % vs F₀ y 54.7 % vs F₁). El PPO alcanza 3 386 279 kg/año (60.5 % vs F₀) y el A2C 3 287 045 kg/año (59.8 % vs F₀). En todos los casos, la componente indirecta —derivada del despacho optimizado que reduce la importación de energía diésel— representa entre el 91 % y el 91.5 % de la reducción neta total, mientras que la reducción directa por combustible vehicular evitado aporta entre el 8.6 % (A2C) y el 9.3 % (SAC) de la reducción neta.</w:t>
      </w:r>
    </w:p>
    <w:p>
      <w:pPr>
        <w:jc w:val="both"/>
      </w:pPr>
      <w:r>
        <w:rPr>
          <w:b w:val="0"/>
          <w:i w:val="0"/>
          <w:sz w:val="22"/>
        </w:rPr>
        <w:t>La diferencia entre la reducción directa del SAC (328 736 kg CO₂/año) y la del A2C (301 293 kg CO₂/año) refleja un menor cubrimiento de la demanda mototaxi en el A2C (27 693 kWh vs 59 306 kWh del SAC), atribuible a mayor número de violaciones de restricción de deuda energética (1 181 vs 1 029 horas-episodio). El PPO registra la mayor reducción directa (334 103 kg/año) dada su cobertura EV puntual de 99.9 % en su episodio óptimo.</w:t>
      </w:r>
    </w:p>
    <w:p>
      <w:pPr>
        <w:jc w:val="both"/>
      </w:pPr>
      <w:r>
        <w:rPr>
          <w:b w:val="0"/>
          <w:i w:val="0"/>
          <w:sz w:val="22"/>
        </w:rPr>
        <w:t>Se concluye que los tres agentes de RL producen una reducción de CO₂ estadísticamente significativa (p &lt; 0.001) respecto a la operación base, con una contribución cuantificable superior al 59.8 % de las emisiones de referencia F₀. El SAC constituye el agente con mayor contribución ambiental consolidada, reduciendo las emisiones a 2 622 735 kg CO₂/año, valor que representa el 37.2 % del escenario sin ninguna intervención tecnológica.</w:t>
      </w:r>
    </w:p>
    <w:p>
      <w:pPr>
        <w:pStyle w:val="Heading2"/>
      </w:pPr>
      <w:r>
        <w:rPr>
          <w:b/>
          <w:sz w:val="28"/>
        </w:rPr>
        <w:t>5.3. Otro tipo de resultados estadísticos, de acuerdo con la naturaleza del problema y la hipótesis</w:t>
      </w:r>
    </w:p>
    <w:p>
      <w:pPr>
        <w:jc w:val="both"/>
      </w:pPr>
      <w:r>
        <w:rPr>
          <w:b w:val="0"/>
          <w:i w:val="0"/>
          <w:sz w:val="22"/>
        </w:rPr>
        <w:t>Además de los resultados descriptivos (secciones 5.1) e inferenciales (sección 5.2), la naturaleza del problema de optimización mediante aprendizaje por refuerzo requiere resultados estadísticos específicos al paradigma RL: comportamiento del entrenamiento por episodios, métricas de desempeño comparativo, jerarquía de reducción de CO₂, análisis de variabilidad y robustez, y la selección final del agente óptimo. Estos resultados complementan la demostración de las cuatro hipótesis del proyecto (HG, HE1, HE2 y HE3).</w:t>
      </w:r>
    </w:p>
    <w:p>
      <w:pPr>
        <w:pStyle w:val="Heading3"/>
      </w:pPr>
      <w:r>
        <w:rPr>
          <w:b/>
          <w:sz w:val="24"/>
        </w:rPr>
        <w:t>5.3.1. Función de recompensa multiobjetivo y configuración del entorno de entrenamiento</w:t>
      </w:r>
    </w:p>
    <w:p>
      <w:pPr>
        <w:jc w:val="both"/>
      </w:pPr>
      <w:r>
        <w:rPr>
          <w:b w:val="0"/>
          <w:i w:val="0"/>
          <w:sz w:val="22"/>
        </w:rPr>
        <w:t>El entorno de entrenamiento se construyó sobre CityLearn v2.x con un horizonte episódico de 8 760 pasos temporales (un año completo a resolución horaria). El espacio de observación es de dimensión 394 (variables de estado del sistema: irradiancia FV, frecuencia de red, SOC del BESS, estado de las 38 tomas de carga y características temporales), y el espacio de acción es continuo de dimensión 39 (1 setpoint BESS + 38 setpoints de tomas de carga, normalizados en [0, 1]).</w:t>
      </w:r>
    </w:p>
    <w:p>
      <w:pPr>
        <w:jc w:val="both"/>
      </w:pPr>
      <w:r>
        <w:rPr>
          <w:b w:val="0"/>
          <w:i w:val="0"/>
          <w:sz w:val="22"/>
        </w:rPr>
        <w:t>La función de recompensa multiobjetivo F_reward fue diseñada para alinear el OE3 del proyecto —reducción cuantificable de emisiones de CO₂— con la dinámica operativa del sistema FV–BESS–cargadores. Está definida como la combinación lineal:</w:t>
      </w:r>
    </w:p>
    <w:p>
      <w:pPr>
        <w:jc w:val="center"/>
      </w:pPr>
      <w:r>
        <w:rPr>
          <w:b/>
          <w:sz w:val="22"/>
        </w:rPr>
        <w:t>F_reward = w₁·ΔCO₂_direct + w₂·ΔCO₂_indirect + w₃·EV_coverage + w₄·Solar_SC + w₅·Grid_stability</w:t>
      </w:r>
    </w:p>
    <w:p>
      <w:pPr>
        <w:jc w:val="both"/>
      </w:pPr>
      <w:r>
        <w:rPr>
          <w:b w:val="0"/>
          <w:i w:val="0"/>
          <w:sz w:val="22"/>
        </w:rPr>
        <w:t>donde los pesos wᵢ fueron fijados conforme a la prioridad OE3 (Tabla 5.3.1.1)</w:t>
      </w:r>
    </w:p>
    <w:p>
      <w:pPr>
        <w:jc w:val="center"/>
      </w:pPr>
      <w:r>
        <w:rPr>
          <w:i/>
          <w:sz w:val="20"/>
        </w:rPr>
        <w:t>Tabla 5.3.1.1. Pesos de la función de recompensa multiobjetivo (versión CO2_DUAL_FOCUS v7.0)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Componente (wᵢ)</w:t>
            </w:r>
          </w:p>
        </w:tc>
        <w:tc>
          <w:tcPr>
            <w:tcW w:type="dxa" w:w="2351"/>
            <w:shd w:val="clear" w:color="auto" w:fill="1F3864"/>
          </w:tcPr>
          <w:p>
            <w:pPr>
              <w:jc w:val="center"/>
            </w:pPr>
            <w:r>
              <w:rPr>
                <w:b/>
                <w:color w:val="FFFFFF"/>
                <w:sz w:val="20"/>
              </w:rPr>
              <w:t>Peso</w:t>
            </w:r>
          </w:p>
        </w:tc>
        <w:tc>
          <w:tcPr>
            <w:tcW w:type="dxa" w:w="2351"/>
            <w:shd w:val="clear" w:color="auto" w:fill="1F3864"/>
          </w:tcPr>
          <w:p>
            <w:pPr>
              <w:jc w:val="center"/>
            </w:pPr>
            <w:r>
              <w:rPr>
                <w:b/>
                <w:color w:val="FFFFFF"/>
                <w:sz w:val="20"/>
              </w:rPr>
              <w:t>Alineación OE3</w:t>
            </w:r>
          </w:p>
        </w:tc>
        <w:tc>
          <w:tcPr>
            <w:tcW w:type="dxa" w:w="2351"/>
            <w:shd w:val="clear" w:color="auto" w:fill="1F3864"/>
          </w:tcPr>
          <w:p>
            <w:pPr>
              <w:jc w:val="center"/>
            </w:pPr>
            <w:r>
              <w:rPr>
                <w:b/>
                <w:color w:val="FFFFFF"/>
                <w:sz w:val="20"/>
              </w:rPr>
              <w:t>Justificación</w:t>
            </w:r>
          </w:p>
        </w:tc>
      </w:tr>
      <w:tr>
        <w:tc>
          <w:tcPr>
            <w:tcW w:type="dxa" w:w="2351"/>
          </w:tcPr>
          <w:p>
            <w:pPr>
              <w:jc w:val="left"/>
            </w:pPr>
            <w:r>
              <w:rPr>
                <w:b/>
                <w:sz w:val="20"/>
              </w:rPr>
              <w:t>w₁: Reducción directa CO₂</w:t>
            </w:r>
          </w:p>
        </w:tc>
        <w:tc>
          <w:tcPr>
            <w:tcW w:type="dxa" w:w="2351"/>
          </w:tcPr>
          <w:p>
            <w:pPr>
              <w:jc w:val="center"/>
            </w:pPr>
            <w:r>
              <w:rPr>
                <w:sz w:val="20"/>
              </w:rPr>
              <w:t>0.35</w:t>
            </w:r>
          </w:p>
        </w:tc>
        <w:tc>
          <w:tcPr>
            <w:tcW w:type="dxa" w:w="2351"/>
          </w:tcPr>
          <w:p>
            <w:pPr>
              <w:jc w:val="center"/>
            </w:pPr>
            <w:r>
              <w:rPr>
                <w:sz w:val="20"/>
              </w:rPr>
              <w:t>Primaria</w:t>
            </w:r>
          </w:p>
        </w:tc>
        <w:tc>
          <w:tcPr>
            <w:tcW w:type="dxa" w:w="2351"/>
          </w:tcPr>
          <w:p>
            <w:pPr>
              <w:jc w:val="center"/>
            </w:pPr>
            <w:r>
              <w:rPr>
                <w:sz w:val="20"/>
              </w:rPr>
              <w:t>Combustible vehicular evitado (motos/mototaxis)</w:t>
            </w:r>
          </w:p>
        </w:tc>
      </w:tr>
      <w:tr>
        <w:tc>
          <w:tcPr>
            <w:tcW w:type="dxa" w:w="2351"/>
          </w:tcPr>
          <w:p>
            <w:pPr>
              <w:jc w:val="left"/>
            </w:pPr>
            <w:r>
              <w:rPr>
                <w:b/>
                <w:sz w:val="20"/>
              </w:rPr>
              <w:t>w₂: Reducción indirecta CO₂</w:t>
            </w:r>
          </w:p>
        </w:tc>
        <w:tc>
          <w:tcPr>
            <w:tcW w:type="dxa" w:w="2351"/>
          </w:tcPr>
          <w:p>
            <w:pPr>
              <w:jc w:val="center"/>
            </w:pPr>
            <w:r>
              <w:rPr>
                <w:sz w:val="20"/>
              </w:rPr>
              <w:t>0.30</w:t>
            </w:r>
          </w:p>
        </w:tc>
        <w:tc>
          <w:tcPr>
            <w:tcW w:type="dxa" w:w="2351"/>
          </w:tcPr>
          <w:p>
            <w:pPr>
              <w:jc w:val="center"/>
            </w:pPr>
            <w:r>
              <w:rPr>
                <w:sz w:val="20"/>
              </w:rPr>
              <w:t>Secundaria</w:t>
            </w:r>
          </w:p>
        </w:tc>
        <w:tc>
          <w:tcPr>
            <w:tcW w:type="dxa" w:w="2351"/>
          </w:tcPr>
          <w:p>
            <w:pPr>
              <w:jc w:val="center"/>
            </w:pPr>
            <w:r>
              <w:rPr>
                <w:sz w:val="20"/>
              </w:rPr>
              <w:t>Grid import × 0.4521 kg CO₂/kWh</w:t>
            </w:r>
          </w:p>
        </w:tc>
      </w:tr>
      <w:tr>
        <w:tc>
          <w:tcPr>
            <w:tcW w:type="dxa" w:w="2351"/>
          </w:tcPr>
          <w:p>
            <w:pPr>
              <w:jc w:val="left"/>
            </w:pPr>
            <w:r>
              <w:rPr>
                <w:b/>
                <w:sz w:val="20"/>
              </w:rPr>
              <w:t>w₃: Cobertura recarga EV</w:t>
            </w:r>
          </w:p>
        </w:tc>
        <w:tc>
          <w:tcPr>
            <w:tcW w:type="dxa" w:w="2351"/>
          </w:tcPr>
          <w:p>
            <w:pPr>
              <w:jc w:val="center"/>
            </w:pPr>
            <w:r>
              <w:rPr>
                <w:sz w:val="20"/>
              </w:rPr>
              <w:t>0.25</w:t>
            </w:r>
          </w:p>
        </w:tc>
        <w:tc>
          <w:tcPr>
            <w:tcW w:type="dxa" w:w="2351"/>
          </w:tcPr>
          <w:p>
            <w:pPr>
              <w:jc w:val="center"/>
            </w:pPr>
            <w:r>
              <w:rPr>
                <w:sz w:val="20"/>
              </w:rPr>
              <w:t>Terciaria</w:t>
            </w:r>
          </w:p>
        </w:tc>
        <w:tc>
          <w:tcPr>
            <w:tcW w:type="dxa" w:w="2351"/>
          </w:tcPr>
          <w:p>
            <w:pPr>
              <w:jc w:val="center"/>
            </w:pPr>
            <w:r>
              <w:rPr>
                <w:sz w:val="20"/>
              </w:rPr>
              <w:t>Garantizar carga de flota por deadline</w:t>
            </w:r>
          </w:p>
        </w:tc>
      </w:tr>
      <w:tr>
        <w:tc>
          <w:tcPr>
            <w:tcW w:type="dxa" w:w="2351"/>
          </w:tcPr>
          <w:p>
            <w:pPr>
              <w:jc w:val="left"/>
            </w:pPr>
            <w:r>
              <w:rPr>
                <w:b/>
                <w:sz w:val="20"/>
              </w:rPr>
              <w:t>w₄: Autoconsumo solar</w:t>
            </w:r>
          </w:p>
        </w:tc>
        <w:tc>
          <w:tcPr>
            <w:tcW w:type="dxa" w:w="2351"/>
          </w:tcPr>
          <w:p>
            <w:pPr>
              <w:jc w:val="center"/>
            </w:pPr>
            <w:r>
              <w:rPr>
                <w:sz w:val="20"/>
              </w:rPr>
              <w:t>0.05</w:t>
            </w:r>
          </w:p>
        </w:tc>
        <w:tc>
          <w:tcPr>
            <w:tcW w:type="dxa" w:w="2351"/>
          </w:tcPr>
          <w:p>
            <w:pPr>
              <w:jc w:val="center"/>
            </w:pPr>
            <w:r>
              <w:rPr>
                <w:sz w:val="20"/>
              </w:rPr>
              <w:t>Cuaternaria</w:t>
            </w:r>
          </w:p>
        </w:tc>
        <w:tc>
          <w:tcPr>
            <w:tcW w:type="dxa" w:w="2351"/>
          </w:tcPr>
          <w:p>
            <w:pPr>
              <w:jc w:val="center"/>
            </w:pPr>
            <w:r>
              <w:rPr>
                <w:sz w:val="20"/>
              </w:rPr>
              <w:t>Maximizar uso directo de generación FV</w:t>
            </w:r>
          </w:p>
        </w:tc>
      </w:tr>
      <w:tr>
        <w:tc>
          <w:tcPr>
            <w:tcW w:type="dxa" w:w="2351"/>
          </w:tcPr>
          <w:p>
            <w:pPr>
              <w:jc w:val="left"/>
            </w:pPr>
            <w:r>
              <w:rPr>
                <w:b/>
                <w:sz w:val="20"/>
              </w:rPr>
              <w:t>w₅: Estabilidad de red</w:t>
            </w:r>
          </w:p>
        </w:tc>
        <w:tc>
          <w:tcPr>
            <w:tcW w:type="dxa" w:w="2351"/>
          </w:tcPr>
          <w:p>
            <w:pPr>
              <w:jc w:val="center"/>
            </w:pPr>
            <w:r>
              <w:rPr>
                <w:sz w:val="20"/>
              </w:rPr>
              <w:t>0.05</w:t>
            </w:r>
          </w:p>
        </w:tc>
        <w:tc>
          <w:tcPr>
            <w:tcW w:type="dxa" w:w="2351"/>
          </w:tcPr>
          <w:p>
            <w:pPr>
              <w:jc w:val="center"/>
            </w:pPr>
            <w:r>
              <w:rPr>
                <w:sz w:val="20"/>
              </w:rPr>
              <w:t>Quinaria</w:t>
            </w:r>
          </w:p>
        </w:tc>
        <w:tc>
          <w:tcPr>
            <w:tcW w:type="dxa" w:w="2351"/>
          </w:tcPr>
          <w:p>
            <w:pPr>
              <w:jc w:val="center"/>
            </w:pPr>
            <w:r>
              <w:rPr>
                <w:sz w:val="20"/>
              </w:rPr>
              <w:t>Suavizar rampas de potencia</w:t>
            </w:r>
          </w:p>
        </w:tc>
      </w:tr>
    </w:tbl>
    <w:p/>
    <w:p>
      <w:pPr>
        <w:jc w:val="both"/>
      </w:pPr>
      <w:r>
        <w:rPr>
          <w:b w:val="0"/>
          <w:i w:val="0"/>
          <w:sz w:val="22"/>
        </w:rPr>
        <w:t>Los parámetros clave de entrenamiento para cada agente se detallan en la Tabla 5.3.1.2, configurados conforme a las recomendaciones de la literatura especializada para espacios de acción continuos de alta dimensión (39D).</w:t>
      </w:r>
    </w:p>
    <w:p>
      <w:pPr>
        <w:jc w:val="center"/>
      </w:pPr>
      <w:r>
        <w:rPr>
          <w:i/>
          <w:sz w:val="20"/>
        </w:rPr>
        <w:t>Tabla 5.3.1.2. Configuración de hiperparámetros por agente (50 episodios, 438 000 pasos temporales)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Parámetro</w:t>
            </w:r>
          </w:p>
        </w:tc>
        <w:tc>
          <w:tcPr>
            <w:tcW w:type="dxa" w:w="1881"/>
            <w:shd w:val="clear" w:color="auto" w:fill="1F3864"/>
          </w:tcPr>
          <w:p>
            <w:pPr>
              <w:jc w:val="center"/>
            </w:pPr>
            <w:r>
              <w:rPr>
                <w:b/>
                <w:color w:val="FFFFFF"/>
                <w:sz w:val="20"/>
              </w:rPr>
              <w:t>SAC (off-policy)</w:t>
            </w:r>
          </w:p>
        </w:tc>
        <w:tc>
          <w:tcPr>
            <w:tcW w:type="dxa" w:w="1881"/>
            <w:shd w:val="clear" w:color="auto" w:fill="1F3864"/>
          </w:tcPr>
          <w:p>
            <w:pPr>
              <w:jc w:val="center"/>
            </w:pPr>
            <w:r>
              <w:rPr>
                <w:b/>
                <w:color w:val="FFFFFF"/>
                <w:sz w:val="20"/>
              </w:rPr>
              <w:t>PPO (on-policy)</w:t>
            </w:r>
          </w:p>
        </w:tc>
        <w:tc>
          <w:tcPr>
            <w:tcW w:type="dxa" w:w="1881"/>
            <w:shd w:val="clear" w:color="auto" w:fill="1F3864"/>
          </w:tcPr>
          <w:p>
            <w:pPr>
              <w:jc w:val="center"/>
            </w:pPr>
            <w:r>
              <w:rPr>
                <w:b/>
                <w:color w:val="FFFFFF"/>
                <w:sz w:val="20"/>
              </w:rPr>
              <w:t>A2C (on-policy)</w:t>
            </w:r>
          </w:p>
        </w:tc>
        <w:tc>
          <w:tcPr>
            <w:tcW w:type="dxa" w:w="1881"/>
            <w:shd w:val="clear" w:color="auto" w:fill="1F3864"/>
          </w:tcPr>
          <w:p>
            <w:pPr>
              <w:jc w:val="center"/>
            </w:pPr>
            <w:r>
              <w:rPr>
                <w:b/>
                <w:color w:val="FFFFFF"/>
                <w:sz w:val="20"/>
              </w:rPr>
              <w:t>Común</w:t>
            </w:r>
          </w:p>
        </w:tc>
      </w:tr>
      <w:tr>
        <w:tc>
          <w:tcPr>
            <w:tcW w:type="dxa" w:w="1881"/>
          </w:tcPr>
          <w:p>
            <w:pPr>
              <w:jc w:val="left"/>
            </w:pPr>
            <w:r>
              <w:rPr>
                <w:b/>
                <w:sz w:val="20"/>
              </w:rPr>
              <w:t>Tipo de agente</w:t>
            </w:r>
          </w:p>
        </w:tc>
        <w:tc>
          <w:tcPr>
            <w:tcW w:type="dxa" w:w="1881"/>
          </w:tcPr>
          <w:p>
            <w:pPr>
              <w:jc w:val="center"/>
            </w:pPr>
            <w:r>
              <w:rPr>
                <w:sz w:val="20"/>
              </w:rPr>
              <w:t>Off-policy</w:t>
            </w:r>
          </w:p>
        </w:tc>
        <w:tc>
          <w:tcPr>
            <w:tcW w:type="dxa" w:w="1881"/>
          </w:tcPr>
          <w:p>
            <w:pPr>
              <w:jc w:val="center"/>
            </w:pPr>
            <w:r>
              <w:rPr>
                <w:sz w:val="20"/>
              </w:rPr>
              <w:t>On-policy</w:t>
            </w:r>
          </w:p>
        </w:tc>
        <w:tc>
          <w:tcPr>
            <w:tcW w:type="dxa" w:w="1881"/>
          </w:tcPr>
          <w:p>
            <w:pPr>
              <w:jc w:val="center"/>
            </w:pPr>
            <w:r>
              <w:rPr>
                <w:sz w:val="20"/>
              </w:rPr>
              <w:t>On-policy</w:t>
            </w:r>
          </w:p>
        </w:tc>
        <w:tc>
          <w:tcPr>
            <w:tcW w:type="dxa" w:w="1881"/>
          </w:tcPr>
          <w:p>
            <w:pPr>
              <w:jc w:val="center"/>
            </w:pPr>
            <w:r>
              <w:rPr>
                <w:sz w:val="20"/>
              </w:rPr>
              <w:t>—</w:t>
            </w:r>
          </w:p>
        </w:tc>
      </w:tr>
      <w:tr>
        <w:tc>
          <w:tcPr>
            <w:tcW w:type="dxa" w:w="1881"/>
          </w:tcPr>
          <w:p>
            <w:pPr>
              <w:jc w:val="left"/>
            </w:pPr>
            <w:r>
              <w:rPr>
                <w:b/>
                <w:sz w:val="20"/>
              </w:rPr>
              <w:t>Tasa de aprendizaje</w:t>
            </w:r>
          </w:p>
        </w:tc>
        <w:tc>
          <w:tcPr>
            <w:tcW w:type="dxa" w:w="1881"/>
          </w:tcPr>
          <w:p>
            <w:pPr>
              <w:jc w:val="center"/>
            </w:pPr>
            <w:r>
              <w:rPr>
                <w:sz w:val="20"/>
              </w:rPr>
              <w:t>1×10⁻⁴</w:t>
            </w:r>
          </w:p>
        </w:tc>
        <w:tc>
          <w:tcPr>
            <w:tcW w:type="dxa" w:w="1881"/>
          </w:tcPr>
          <w:p>
            <w:pPr>
              <w:jc w:val="center"/>
            </w:pPr>
            <w:r>
              <w:rPr>
                <w:sz w:val="20"/>
              </w:rPr>
              <w:t>2×10⁻⁴</w:t>
            </w:r>
          </w:p>
        </w:tc>
        <w:tc>
          <w:tcPr>
            <w:tcW w:type="dxa" w:w="1881"/>
          </w:tcPr>
          <w:p>
            <w:pPr>
              <w:jc w:val="center"/>
            </w:pPr>
            <w:r>
              <w:rPr>
                <w:sz w:val="20"/>
              </w:rPr>
              <w:t>7×10⁻⁴</w:t>
            </w:r>
          </w:p>
        </w:tc>
        <w:tc>
          <w:tcPr>
            <w:tcW w:type="dxa" w:w="1881"/>
          </w:tcPr>
          <w:p>
            <w:pPr>
              <w:jc w:val="center"/>
            </w:pPr>
            <w:r>
              <w:rPr>
                <w:sz w:val="20"/>
              </w:rPr>
              <w:t>Lineal schedule</w:t>
            </w:r>
          </w:p>
        </w:tc>
      </w:tr>
      <w:tr>
        <w:tc>
          <w:tcPr>
            <w:tcW w:type="dxa" w:w="1881"/>
          </w:tcPr>
          <w:p>
            <w:pPr>
              <w:jc w:val="left"/>
            </w:pPr>
            <w:r>
              <w:rPr>
                <w:b/>
                <w:sz w:val="20"/>
              </w:rPr>
              <w:t>Buffer (replay)</w:t>
            </w:r>
          </w:p>
        </w:tc>
        <w:tc>
          <w:tcPr>
            <w:tcW w:type="dxa" w:w="1881"/>
          </w:tcPr>
          <w:p>
            <w:pPr>
              <w:jc w:val="center"/>
            </w:pPr>
            <w:r>
              <w:rPr>
                <w:sz w:val="20"/>
              </w:rPr>
              <w:t>100 000</w:t>
            </w:r>
          </w:p>
        </w:tc>
        <w:tc>
          <w:tcPr>
            <w:tcW w:type="dxa" w:w="1881"/>
          </w:tcPr>
          <w:p>
            <w:pPr>
              <w:jc w:val="center"/>
            </w:pPr>
            <w:r>
              <w:rPr>
                <w:sz w:val="20"/>
              </w:rPr>
              <w:t>N/A</w:t>
            </w:r>
          </w:p>
        </w:tc>
        <w:tc>
          <w:tcPr>
            <w:tcW w:type="dxa" w:w="1881"/>
          </w:tcPr>
          <w:p>
            <w:pPr>
              <w:jc w:val="center"/>
            </w:pPr>
            <w:r>
              <w:rPr>
                <w:sz w:val="20"/>
              </w:rPr>
              <w:t>N/A</w:t>
            </w:r>
          </w:p>
        </w:tc>
        <w:tc>
          <w:tcPr>
            <w:tcW w:type="dxa" w:w="1881"/>
          </w:tcPr>
          <w:p>
            <w:pPr>
              <w:jc w:val="center"/>
            </w:pPr>
            <w:r>
              <w:rPr>
                <w:sz w:val="20"/>
              </w:rPr>
              <w:t>—</w:t>
            </w:r>
          </w:p>
        </w:tc>
      </w:tr>
      <w:tr>
        <w:tc>
          <w:tcPr>
            <w:tcW w:type="dxa" w:w="1881"/>
          </w:tcPr>
          <w:p>
            <w:pPr>
              <w:jc w:val="left"/>
            </w:pPr>
            <w:r>
              <w:rPr>
                <w:b/>
                <w:sz w:val="20"/>
              </w:rPr>
              <w:t>n_steps</w:t>
            </w:r>
          </w:p>
        </w:tc>
        <w:tc>
          <w:tcPr>
            <w:tcW w:type="dxa" w:w="1881"/>
          </w:tcPr>
          <w:p>
            <w:pPr>
              <w:jc w:val="center"/>
            </w:pPr>
            <w:r>
              <w:rPr>
                <w:sz w:val="20"/>
              </w:rPr>
              <w:t>—</w:t>
            </w:r>
          </w:p>
        </w:tc>
        <w:tc>
          <w:tcPr>
            <w:tcW w:type="dxa" w:w="1881"/>
          </w:tcPr>
          <w:p>
            <w:pPr>
              <w:jc w:val="center"/>
            </w:pPr>
            <w:r>
              <w:rPr>
                <w:sz w:val="20"/>
              </w:rPr>
              <w:t>2 048</w:t>
            </w:r>
          </w:p>
        </w:tc>
        <w:tc>
          <w:tcPr>
            <w:tcW w:type="dxa" w:w="1881"/>
          </w:tcPr>
          <w:p>
            <w:pPr>
              <w:jc w:val="center"/>
            </w:pPr>
            <w:r>
              <w:rPr>
                <w:sz w:val="20"/>
              </w:rPr>
              <w:t>8</w:t>
            </w:r>
          </w:p>
        </w:tc>
        <w:tc>
          <w:tcPr>
            <w:tcW w:type="dxa" w:w="1881"/>
          </w:tcPr>
          <w:p>
            <w:pPr>
              <w:jc w:val="center"/>
            </w:pPr>
            <w:r>
              <w:rPr>
                <w:sz w:val="20"/>
              </w:rPr>
              <w:t>—</w:t>
            </w:r>
          </w:p>
        </w:tc>
      </w:tr>
      <w:tr>
        <w:tc>
          <w:tcPr>
            <w:tcW w:type="dxa" w:w="1881"/>
          </w:tcPr>
          <w:p>
            <w:pPr>
              <w:jc w:val="left"/>
            </w:pPr>
            <w:r>
              <w:rPr>
                <w:b/>
                <w:sz w:val="20"/>
              </w:rPr>
              <w:t>Batch size</w:t>
            </w:r>
          </w:p>
        </w:tc>
        <w:tc>
          <w:tcPr>
            <w:tcW w:type="dxa" w:w="1881"/>
          </w:tcPr>
          <w:p>
            <w:pPr>
              <w:jc w:val="center"/>
            </w:pPr>
            <w:r>
              <w:rPr>
                <w:sz w:val="20"/>
              </w:rPr>
              <w:t>256</w:t>
            </w:r>
          </w:p>
        </w:tc>
        <w:tc>
          <w:tcPr>
            <w:tcW w:type="dxa" w:w="1881"/>
          </w:tcPr>
          <w:p>
            <w:pPr>
              <w:jc w:val="center"/>
            </w:pPr>
            <w:r>
              <w:rPr>
                <w:sz w:val="20"/>
              </w:rPr>
              <w:t>256</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n_epochs (PPO)</w:t>
            </w:r>
          </w:p>
        </w:tc>
        <w:tc>
          <w:tcPr>
            <w:tcW w:type="dxa" w:w="1881"/>
          </w:tcPr>
          <w:p>
            <w:pPr>
              <w:jc w:val="center"/>
            </w:pPr>
            <w:r>
              <w:rPr>
                <w:sz w:val="20"/>
              </w:rPr>
              <w:t>—</w:t>
            </w:r>
          </w:p>
        </w:tc>
        <w:tc>
          <w:tcPr>
            <w:tcW w:type="dxa" w:w="1881"/>
          </w:tcPr>
          <w:p>
            <w:pPr>
              <w:jc w:val="center"/>
            </w:pPr>
            <w:r>
              <w:rPr>
                <w:sz w:val="20"/>
              </w:rPr>
              <w:t>10</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Clip range (PPO)</w:t>
            </w:r>
          </w:p>
        </w:tc>
        <w:tc>
          <w:tcPr>
            <w:tcW w:type="dxa" w:w="1881"/>
          </w:tcPr>
          <w:p>
            <w:pPr>
              <w:jc w:val="center"/>
            </w:pPr>
            <w:r>
              <w:rPr>
                <w:sz w:val="20"/>
              </w:rPr>
              <w:t>—</w:t>
            </w:r>
          </w:p>
        </w:tc>
        <w:tc>
          <w:tcPr>
            <w:tcW w:type="dxa" w:w="1881"/>
          </w:tcPr>
          <w:p>
            <w:pPr>
              <w:jc w:val="center"/>
            </w:pPr>
            <w:r>
              <w:rPr>
                <w:sz w:val="20"/>
              </w:rPr>
              <w:t>0.2</w:t>
            </w:r>
          </w:p>
        </w:tc>
        <w:tc>
          <w:tcPr>
            <w:tcW w:type="dxa" w:w="1881"/>
          </w:tcPr>
          <w:p>
            <w:pPr>
              <w:jc w:val="center"/>
            </w:pPr>
            <w:r>
              <w:rPr>
                <w:sz w:val="20"/>
              </w:rPr>
              <w:t>—</w:t>
            </w:r>
          </w:p>
        </w:tc>
        <w:tc>
          <w:tcPr>
            <w:tcW w:type="dxa" w:w="1881"/>
          </w:tcPr>
          <w:p>
            <w:pPr>
              <w:jc w:val="center"/>
            </w:pPr>
            <w:r>
              <w:rPr>
                <w:sz w:val="20"/>
              </w:rPr>
              <w:t>—</w:t>
            </w:r>
          </w:p>
        </w:tc>
      </w:tr>
      <w:tr>
        <w:tc>
          <w:tcPr>
            <w:tcW w:type="dxa" w:w="1881"/>
          </w:tcPr>
          <w:p>
            <w:pPr>
              <w:jc w:val="left"/>
            </w:pPr>
            <w:r>
              <w:rPr>
                <w:b/>
                <w:sz w:val="20"/>
              </w:rPr>
              <w:t>γ (descuento)</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0.99</w:t>
            </w:r>
          </w:p>
        </w:tc>
        <w:tc>
          <w:tcPr>
            <w:tcW w:type="dxa" w:w="1881"/>
          </w:tcPr>
          <w:p>
            <w:pPr>
              <w:jc w:val="center"/>
            </w:pPr>
            <w:r>
              <w:rPr>
                <w:sz w:val="20"/>
              </w:rPr>
              <w:t>Todos</w:t>
            </w:r>
          </w:p>
        </w:tc>
      </w:tr>
      <w:tr>
        <w:tc>
          <w:tcPr>
            <w:tcW w:type="dxa" w:w="1881"/>
          </w:tcPr>
          <w:p>
            <w:pPr>
              <w:jc w:val="left"/>
            </w:pPr>
            <w:r>
              <w:rPr>
                <w:b/>
                <w:sz w:val="20"/>
              </w:rPr>
              <w:t>λ GAE</w:t>
            </w:r>
          </w:p>
        </w:tc>
        <w:tc>
          <w:tcPr>
            <w:tcW w:type="dxa" w:w="1881"/>
          </w:tcPr>
          <w:p>
            <w:pPr>
              <w:jc w:val="center"/>
            </w:pPr>
            <w:r>
              <w:rPr>
                <w:sz w:val="20"/>
              </w:rPr>
              <w:t>—</w:t>
            </w:r>
          </w:p>
        </w:tc>
        <w:tc>
          <w:tcPr>
            <w:tcW w:type="dxa" w:w="1881"/>
          </w:tcPr>
          <w:p>
            <w:pPr>
              <w:jc w:val="center"/>
            </w:pPr>
            <w:r>
              <w:rPr>
                <w:sz w:val="20"/>
              </w:rPr>
              <w:t>0.98</w:t>
            </w:r>
          </w:p>
        </w:tc>
        <w:tc>
          <w:tcPr>
            <w:tcW w:type="dxa" w:w="1881"/>
          </w:tcPr>
          <w:p>
            <w:pPr>
              <w:jc w:val="center"/>
            </w:pPr>
            <w:r>
              <w:rPr>
                <w:sz w:val="20"/>
              </w:rPr>
              <w:t>0.95</w:t>
            </w:r>
          </w:p>
        </w:tc>
        <w:tc>
          <w:tcPr>
            <w:tcW w:type="dxa" w:w="1881"/>
          </w:tcPr>
          <w:p>
            <w:pPr>
              <w:jc w:val="center"/>
            </w:pPr>
            <w:r>
              <w:rPr>
                <w:sz w:val="20"/>
              </w:rPr>
              <w:t>—</w:t>
            </w:r>
          </w:p>
        </w:tc>
      </w:tr>
      <w:tr>
        <w:tc>
          <w:tcPr>
            <w:tcW w:type="dxa" w:w="1881"/>
          </w:tcPr>
          <w:p>
            <w:pPr>
              <w:jc w:val="left"/>
            </w:pPr>
            <w:r>
              <w:rPr>
                <w:b/>
                <w:sz w:val="20"/>
              </w:rPr>
              <w:t>Coef. entropía</w:t>
            </w:r>
          </w:p>
        </w:tc>
        <w:tc>
          <w:tcPr>
            <w:tcW w:type="dxa" w:w="1881"/>
          </w:tcPr>
          <w:p>
            <w:pPr>
              <w:jc w:val="center"/>
            </w:pPr>
            <w:r>
              <w:rPr>
                <w:sz w:val="20"/>
              </w:rPr>
              <w:t>automático</w:t>
            </w:r>
          </w:p>
        </w:tc>
        <w:tc>
          <w:tcPr>
            <w:tcW w:type="dxa" w:w="1881"/>
          </w:tcPr>
          <w:p>
            <w:pPr>
              <w:jc w:val="center"/>
            </w:pPr>
            <w:r>
              <w:rPr>
                <w:sz w:val="20"/>
              </w:rPr>
              <w:t>0.01</w:t>
            </w:r>
          </w:p>
        </w:tc>
        <w:tc>
          <w:tcPr>
            <w:tcW w:type="dxa" w:w="1881"/>
          </w:tcPr>
          <w:p>
            <w:pPr>
              <w:jc w:val="center"/>
            </w:pPr>
            <w:r>
              <w:rPr>
                <w:sz w:val="20"/>
              </w:rPr>
              <w:t>0.015</w:t>
            </w:r>
          </w:p>
        </w:tc>
        <w:tc>
          <w:tcPr>
            <w:tcW w:type="dxa" w:w="1881"/>
          </w:tcPr>
          <w:p>
            <w:pPr>
              <w:jc w:val="center"/>
            </w:pPr>
            <w:r>
              <w:rPr>
                <w:sz w:val="20"/>
              </w:rPr>
              <w:t>—</w:t>
            </w:r>
          </w:p>
        </w:tc>
      </w:tr>
      <w:tr>
        <w:tc>
          <w:tcPr>
            <w:tcW w:type="dxa" w:w="1881"/>
          </w:tcPr>
          <w:p>
            <w:pPr>
              <w:jc w:val="left"/>
            </w:pPr>
            <w:r>
              <w:rPr>
                <w:b/>
                <w:sz w:val="20"/>
              </w:rPr>
              <w:t>Episodios</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50</w:t>
            </w:r>
          </w:p>
        </w:tc>
        <w:tc>
          <w:tcPr>
            <w:tcW w:type="dxa" w:w="1881"/>
          </w:tcPr>
          <w:p>
            <w:pPr>
              <w:jc w:val="center"/>
            </w:pPr>
            <w:r>
              <w:rPr>
                <w:sz w:val="20"/>
              </w:rPr>
              <w:t>Todos</w:t>
            </w:r>
          </w:p>
        </w:tc>
      </w:tr>
      <w:tr>
        <w:tc>
          <w:tcPr>
            <w:tcW w:type="dxa" w:w="1881"/>
          </w:tcPr>
          <w:p>
            <w:pPr>
              <w:jc w:val="left"/>
            </w:pPr>
            <w:r>
              <w:rPr>
                <w:b/>
                <w:sz w:val="20"/>
              </w:rPr>
              <w:t>Pasos/episodio</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8 760</w:t>
            </w:r>
          </w:p>
        </w:tc>
        <w:tc>
          <w:tcPr>
            <w:tcW w:type="dxa" w:w="1881"/>
          </w:tcPr>
          <w:p>
            <w:pPr>
              <w:jc w:val="center"/>
            </w:pPr>
            <w:r>
              <w:rPr>
                <w:sz w:val="20"/>
              </w:rPr>
              <w:t>Todos</w:t>
            </w:r>
          </w:p>
        </w:tc>
      </w:tr>
      <w:tr>
        <w:tc>
          <w:tcPr>
            <w:tcW w:type="dxa" w:w="1881"/>
          </w:tcPr>
          <w:p>
            <w:pPr>
              <w:jc w:val="left"/>
            </w:pPr>
            <w:r>
              <w:rPr>
                <w:b/>
                <w:sz w:val="20"/>
              </w:rPr>
              <w:t>Espacio obs.</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394D</w:t>
            </w:r>
          </w:p>
        </w:tc>
        <w:tc>
          <w:tcPr>
            <w:tcW w:type="dxa" w:w="1881"/>
          </w:tcPr>
          <w:p>
            <w:pPr>
              <w:jc w:val="center"/>
            </w:pPr>
            <w:r>
              <w:rPr>
                <w:sz w:val="20"/>
              </w:rPr>
              <w:t>Todos</w:t>
            </w:r>
          </w:p>
        </w:tc>
      </w:tr>
      <w:tr>
        <w:tc>
          <w:tcPr>
            <w:tcW w:type="dxa" w:w="1881"/>
          </w:tcPr>
          <w:p>
            <w:pPr>
              <w:jc w:val="left"/>
            </w:pPr>
            <w:r>
              <w:rPr>
                <w:b/>
                <w:sz w:val="20"/>
              </w:rPr>
              <w:t>Espacio acción</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39D cont.</w:t>
            </w:r>
          </w:p>
        </w:tc>
        <w:tc>
          <w:tcPr>
            <w:tcW w:type="dxa" w:w="1881"/>
          </w:tcPr>
          <w:p>
            <w:pPr>
              <w:jc w:val="center"/>
            </w:pPr>
            <w:r>
              <w:rPr>
                <w:sz w:val="20"/>
              </w:rPr>
              <w:t>Todos</w:t>
            </w:r>
          </w:p>
        </w:tc>
      </w:tr>
    </w:tbl>
    <w:p/>
    <w:p>
      <w:pPr>
        <w:pStyle w:val="Heading3"/>
      </w:pPr>
      <w:r>
        <w:rPr>
          <w:b/>
          <w:sz w:val="24"/>
        </w:rPr>
        <w:t>5.3.2. Métricas de desempeño y comparación directa entre SAC, PPO y A2C</w:t>
      </w:r>
    </w:p>
    <w:p>
      <w:pPr>
        <w:jc w:val="both"/>
      </w:pPr>
      <w:r>
        <w:rPr>
          <w:b w:val="0"/>
          <w:i w:val="0"/>
          <w:sz w:val="22"/>
        </w:rPr>
        <w:t>La Tabla 5.3.2.1 consolida las métricas estadísticas de CO₂ total de control F₂ —emisiones netas del sistema bajo gestión RL en kg CO₂/año— para los 50 episodios de entrenamiento de cada agente. La métrica principal de comparación es F₂ mín (episodio óptimo), complementada por la media, desviación estándar, coeficiente de variación del plateau final (últimos 15 episodios) y el número acumulado de violaciones de restricción de deuda energética.</w:t>
      </w:r>
    </w:p>
    <w:p>
      <w:pPr>
        <w:jc w:val="center"/>
      </w:pPr>
      <w:r>
        <w:rPr>
          <w:i/>
          <w:sz w:val="20"/>
        </w:rPr>
        <w:t>Tabla 5.3.2.1. Métricas de desempeño comparativo SAC vs PPO vs A2C (50 episodios, 8 760 pasos/episodio, resolución horaria anual)</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1F3864"/>
          </w:tcPr>
          <w:p>
            <w:pPr>
              <w:jc w:val="center"/>
            </w:pPr>
            <w:r>
              <w:rPr>
                <w:b/>
                <w:color w:val="FFFFFF"/>
                <w:sz w:val="20"/>
              </w:rPr>
              <w:t>Agente</w:t>
            </w:r>
          </w:p>
        </w:tc>
        <w:tc>
          <w:tcPr>
            <w:tcW w:type="dxa" w:w="1045"/>
            <w:shd w:val="clear" w:color="auto" w:fill="1F3864"/>
          </w:tcPr>
          <w:p>
            <w:pPr>
              <w:jc w:val="center"/>
            </w:pPr>
            <w:r>
              <w:rPr>
                <w:b/>
                <w:color w:val="FFFFFF"/>
                <w:sz w:val="20"/>
              </w:rPr>
              <w:t>F₂ mín</w:t>
              <w:br/>
              <w:t>(kg/año)</w:t>
            </w:r>
          </w:p>
        </w:tc>
        <w:tc>
          <w:tcPr>
            <w:tcW w:type="dxa" w:w="1045"/>
            <w:shd w:val="clear" w:color="auto" w:fill="1F3864"/>
          </w:tcPr>
          <w:p>
            <w:pPr>
              <w:jc w:val="center"/>
            </w:pPr>
            <w:r>
              <w:rPr>
                <w:b/>
                <w:color w:val="FFFFFF"/>
                <w:sz w:val="20"/>
              </w:rPr>
              <w:t>Ep.</w:t>
              <w:br/>
              <w:t>óptimo</w:t>
            </w:r>
          </w:p>
        </w:tc>
        <w:tc>
          <w:tcPr>
            <w:tcW w:type="dxa" w:w="1045"/>
            <w:shd w:val="clear" w:color="auto" w:fill="1F3864"/>
          </w:tcPr>
          <w:p>
            <w:pPr>
              <w:jc w:val="center"/>
            </w:pPr>
            <w:r>
              <w:rPr>
                <w:b/>
                <w:color w:val="FFFFFF"/>
                <w:sz w:val="20"/>
              </w:rPr>
              <w:t>F₂ media</w:t>
              <w:br/>
              <w:t>(kg/año)</w:t>
            </w:r>
          </w:p>
        </w:tc>
        <w:tc>
          <w:tcPr>
            <w:tcW w:type="dxa" w:w="1045"/>
            <w:shd w:val="clear" w:color="auto" w:fill="1F3864"/>
          </w:tcPr>
          <w:p>
            <w:pPr>
              <w:jc w:val="center"/>
            </w:pPr>
            <w:r>
              <w:rPr>
                <w:b/>
                <w:color w:val="FFFFFF"/>
                <w:sz w:val="20"/>
              </w:rPr>
              <w:t>F₂ std</w:t>
              <w:br/>
              <w:t>(kg/año)</w:t>
            </w:r>
          </w:p>
        </w:tc>
        <w:tc>
          <w:tcPr>
            <w:tcW w:type="dxa" w:w="1045"/>
            <w:shd w:val="clear" w:color="auto" w:fill="1F3864"/>
          </w:tcPr>
          <w:p>
            <w:pPr>
              <w:jc w:val="center"/>
            </w:pPr>
            <w:r>
              <w:rPr>
                <w:b/>
                <w:color w:val="FFFFFF"/>
                <w:sz w:val="20"/>
              </w:rPr>
              <w:t>F₂ máx</w:t>
              <w:br/>
              <w:t>(kg/año)</w:t>
            </w:r>
          </w:p>
        </w:tc>
        <w:tc>
          <w:tcPr>
            <w:tcW w:type="dxa" w:w="1045"/>
            <w:shd w:val="clear" w:color="auto" w:fill="1F3864"/>
          </w:tcPr>
          <w:p>
            <w:pPr>
              <w:jc w:val="center"/>
            </w:pPr>
            <w:r>
              <w:rPr>
                <w:b/>
                <w:color w:val="FFFFFF"/>
                <w:sz w:val="20"/>
              </w:rPr>
              <w:t>CV plateau</w:t>
              <w:br/>
              <w:t>(%)</w:t>
            </w:r>
          </w:p>
        </w:tc>
        <w:tc>
          <w:tcPr>
            <w:tcW w:type="dxa" w:w="1045"/>
            <w:shd w:val="clear" w:color="auto" w:fill="1F3864"/>
          </w:tcPr>
          <w:p>
            <w:pPr>
              <w:jc w:val="center"/>
            </w:pPr>
            <w:r>
              <w:rPr>
                <w:b/>
                <w:color w:val="FFFFFF"/>
                <w:sz w:val="20"/>
              </w:rPr>
              <w:t>Violac.</w:t>
              <w:br/>
              <w:t>total</w:t>
            </w:r>
          </w:p>
        </w:tc>
        <w:tc>
          <w:tcPr>
            <w:tcW w:type="dxa" w:w="1045"/>
            <w:shd w:val="clear" w:color="auto" w:fill="1F3864"/>
          </w:tcPr>
          <w:p>
            <w:pPr>
              <w:jc w:val="center"/>
            </w:pPr>
            <w:r>
              <w:rPr>
                <w:b/>
                <w:color w:val="FFFFFF"/>
                <w:sz w:val="20"/>
              </w:rPr>
              <w:t>Tipo</w:t>
            </w:r>
          </w:p>
        </w:tc>
      </w:tr>
      <w:tr>
        <w:tc>
          <w:tcPr>
            <w:tcW w:type="dxa" w:w="1045"/>
            <w:shd w:val="clear" w:color="auto" w:fill="D9E2F3"/>
          </w:tcPr>
          <w:p>
            <w:pPr>
              <w:jc w:val="left"/>
            </w:pPr>
            <w:r>
              <w:rPr>
                <w:b/>
                <w:sz w:val="20"/>
              </w:rPr>
              <w:t>SAC ★</w:t>
            </w:r>
          </w:p>
        </w:tc>
        <w:tc>
          <w:tcPr>
            <w:tcW w:type="dxa" w:w="1045"/>
            <w:shd w:val="clear" w:color="auto" w:fill="D9E2F3"/>
          </w:tcPr>
          <w:p>
            <w:pPr>
              <w:jc w:val="center"/>
            </w:pPr>
            <w:r>
              <w:rPr>
                <w:b/>
                <w:sz w:val="20"/>
              </w:rPr>
              <w:t>2 622 735</w:t>
            </w:r>
          </w:p>
        </w:tc>
        <w:tc>
          <w:tcPr>
            <w:tcW w:type="dxa" w:w="1045"/>
            <w:shd w:val="clear" w:color="auto" w:fill="D9E2F3"/>
          </w:tcPr>
          <w:p>
            <w:pPr>
              <w:jc w:val="center"/>
            </w:pPr>
            <w:r>
              <w:rPr>
                <w:b/>
                <w:sz w:val="20"/>
              </w:rPr>
              <w:t>48</w:t>
            </w:r>
          </w:p>
        </w:tc>
        <w:tc>
          <w:tcPr>
            <w:tcW w:type="dxa" w:w="1045"/>
            <w:shd w:val="clear" w:color="auto" w:fill="D9E2F3"/>
          </w:tcPr>
          <w:p>
            <w:pPr>
              <w:jc w:val="center"/>
            </w:pPr>
            <w:r>
              <w:rPr>
                <w:b/>
                <w:sz w:val="20"/>
              </w:rPr>
              <w:t>2 668 375</w:t>
            </w:r>
          </w:p>
        </w:tc>
        <w:tc>
          <w:tcPr>
            <w:tcW w:type="dxa" w:w="1045"/>
            <w:shd w:val="clear" w:color="auto" w:fill="D9E2F3"/>
          </w:tcPr>
          <w:p>
            <w:pPr>
              <w:jc w:val="center"/>
            </w:pPr>
            <w:r>
              <w:rPr>
                <w:b/>
                <w:sz w:val="20"/>
              </w:rPr>
              <w:t>89 475</w:t>
            </w:r>
          </w:p>
        </w:tc>
        <w:tc>
          <w:tcPr>
            <w:tcW w:type="dxa" w:w="1045"/>
            <w:shd w:val="clear" w:color="auto" w:fill="D9E2F3"/>
          </w:tcPr>
          <w:p>
            <w:pPr>
              <w:jc w:val="center"/>
            </w:pPr>
            <w:r>
              <w:rPr>
                <w:b/>
                <w:sz w:val="20"/>
              </w:rPr>
              <w:t>3 055 514</w:t>
            </w:r>
          </w:p>
        </w:tc>
        <w:tc>
          <w:tcPr>
            <w:tcW w:type="dxa" w:w="1045"/>
            <w:shd w:val="clear" w:color="auto" w:fill="D9E2F3"/>
          </w:tcPr>
          <w:p>
            <w:pPr>
              <w:jc w:val="center"/>
            </w:pPr>
            <w:r>
              <w:rPr>
                <w:b/>
                <w:sz w:val="20"/>
              </w:rPr>
              <w:t>0.058</w:t>
            </w:r>
          </w:p>
        </w:tc>
        <w:tc>
          <w:tcPr>
            <w:tcW w:type="dxa" w:w="1045"/>
            <w:shd w:val="clear" w:color="auto" w:fill="D9E2F3"/>
          </w:tcPr>
          <w:p>
            <w:pPr>
              <w:jc w:val="center"/>
            </w:pPr>
            <w:r>
              <w:rPr>
                <w:b/>
                <w:sz w:val="20"/>
              </w:rPr>
              <w:t>1 029</w:t>
            </w:r>
          </w:p>
        </w:tc>
        <w:tc>
          <w:tcPr>
            <w:tcW w:type="dxa" w:w="1045"/>
            <w:shd w:val="clear" w:color="auto" w:fill="D9E2F3"/>
          </w:tcPr>
          <w:p>
            <w:pPr>
              <w:jc w:val="center"/>
            </w:pPr>
            <w:r>
              <w:rPr>
                <w:b/>
                <w:sz w:val="20"/>
              </w:rPr>
              <w:t>Off-policy</w:t>
            </w:r>
          </w:p>
        </w:tc>
      </w:tr>
      <w:tr>
        <w:tc>
          <w:tcPr>
            <w:tcW w:type="dxa" w:w="1045"/>
          </w:tcPr>
          <w:p>
            <w:pPr>
              <w:jc w:val="left"/>
            </w:pPr>
            <w:r>
              <w:rPr>
                <w:b/>
                <w:sz w:val="20"/>
              </w:rPr>
              <w:t>PPO</w:t>
            </w:r>
          </w:p>
        </w:tc>
        <w:tc>
          <w:tcPr>
            <w:tcW w:type="dxa" w:w="1045"/>
          </w:tcPr>
          <w:p>
            <w:pPr>
              <w:jc w:val="center"/>
            </w:pPr>
            <w:r>
              <w:rPr>
                <w:sz w:val="20"/>
              </w:rPr>
              <w:t>2 787 040</w:t>
            </w:r>
          </w:p>
        </w:tc>
        <w:tc>
          <w:tcPr>
            <w:tcW w:type="dxa" w:w="1045"/>
          </w:tcPr>
          <w:p>
            <w:pPr>
              <w:jc w:val="center"/>
            </w:pPr>
            <w:r>
              <w:rPr>
                <w:sz w:val="20"/>
              </w:rPr>
              <w:t>40</w:t>
            </w:r>
          </w:p>
        </w:tc>
        <w:tc>
          <w:tcPr>
            <w:tcW w:type="dxa" w:w="1045"/>
          </w:tcPr>
          <w:p>
            <w:pPr>
              <w:jc w:val="center"/>
            </w:pPr>
            <w:r>
              <w:rPr>
                <w:sz w:val="20"/>
              </w:rPr>
              <w:t>2 875 569</w:t>
            </w:r>
          </w:p>
        </w:tc>
        <w:tc>
          <w:tcPr>
            <w:tcW w:type="dxa" w:w="1045"/>
          </w:tcPr>
          <w:p>
            <w:pPr>
              <w:jc w:val="center"/>
            </w:pPr>
            <w:r>
              <w:rPr>
                <w:sz w:val="20"/>
              </w:rPr>
              <w:t>113 816</w:t>
            </w:r>
          </w:p>
        </w:tc>
        <w:tc>
          <w:tcPr>
            <w:tcW w:type="dxa" w:w="1045"/>
          </w:tcPr>
          <w:p>
            <w:pPr>
              <w:jc w:val="center"/>
            </w:pPr>
            <w:r>
              <w:rPr>
                <w:sz w:val="20"/>
              </w:rPr>
              <w:t>3 142 944</w:t>
            </w:r>
          </w:p>
        </w:tc>
        <w:tc>
          <w:tcPr>
            <w:tcW w:type="dxa" w:w="1045"/>
          </w:tcPr>
          <w:p>
            <w:pPr>
              <w:jc w:val="center"/>
            </w:pPr>
            <w:r>
              <w:rPr>
                <w:sz w:val="20"/>
              </w:rPr>
              <w:t>0.195</w:t>
            </w:r>
          </w:p>
        </w:tc>
        <w:tc>
          <w:tcPr>
            <w:tcW w:type="dxa" w:w="1045"/>
          </w:tcPr>
          <w:p>
            <w:pPr>
              <w:jc w:val="center"/>
            </w:pPr>
            <w:r>
              <w:rPr>
                <w:sz w:val="20"/>
              </w:rPr>
              <w:t>2 605</w:t>
            </w:r>
          </w:p>
        </w:tc>
        <w:tc>
          <w:tcPr>
            <w:tcW w:type="dxa" w:w="1045"/>
          </w:tcPr>
          <w:p>
            <w:pPr>
              <w:jc w:val="center"/>
            </w:pPr>
            <w:r>
              <w:rPr>
                <w:sz w:val="20"/>
              </w:rPr>
              <w:t>On-policy</w:t>
            </w:r>
          </w:p>
        </w:tc>
      </w:tr>
      <w:tr>
        <w:tc>
          <w:tcPr>
            <w:tcW w:type="dxa" w:w="1045"/>
          </w:tcPr>
          <w:p>
            <w:pPr>
              <w:jc w:val="left"/>
            </w:pPr>
            <w:r>
              <w:rPr>
                <w:b/>
                <w:sz w:val="20"/>
              </w:rPr>
              <w:t>A2C</w:t>
            </w:r>
          </w:p>
        </w:tc>
        <w:tc>
          <w:tcPr>
            <w:tcW w:type="dxa" w:w="1045"/>
          </w:tcPr>
          <w:p>
            <w:pPr>
              <w:jc w:val="center"/>
            </w:pPr>
            <w:r>
              <w:rPr>
                <w:sz w:val="20"/>
              </w:rPr>
              <w:t>2 834 857</w:t>
            </w:r>
          </w:p>
        </w:tc>
        <w:tc>
          <w:tcPr>
            <w:tcW w:type="dxa" w:w="1045"/>
          </w:tcPr>
          <w:p>
            <w:pPr>
              <w:jc w:val="center"/>
            </w:pPr>
            <w:r>
              <w:rPr>
                <w:sz w:val="20"/>
              </w:rPr>
              <w:t>3</w:t>
            </w:r>
          </w:p>
        </w:tc>
        <w:tc>
          <w:tcPr>
            <w:tcW w:type="dxa" w:w="1045"/>
          </w:tcPr>
          <w:p>
            <w:pPr>
              <w:jc w:val="center"/>
            </w:pPr>
            <w:r>
              <w:rPr>
                <w:sz w:val="20"/>
              </w:rPr>
              <w:t>2 845 012</w:t>
            </w:r>
          </w:p>
        </w:tc>
        <w:tc>
          <w:tcPr>
            <w:tcW w:type="dxa" w:w="1045"/>
          </w:tcPr>
          <w:p>
            <w:pPr>
              <w:jc w:val="center"/>
            </w:pPr>
            <w:r>
              <w:rPr>
                <w:sz w:val="20"/>
              </w:rPr>
              <w:t>12 011</w:t>
            </w:r>
          </w:p>
        </w:tc>
        <w:tc>
          <w:tcPr>
            <w:tcW w:type="dxa" w:w="1045"/>
          </w:tcPr>
          <w:p>
            <w:pPr>
              <w:jc w:val="center"/>
            </w:pPr>
            <w:r>
              <w:rPr>
                <w:sz w:val="20"/>
              </w:rPr>
              <w:t>2 922 533</w:t>
            </w:r>
          </w:p>
        </w:tc>
        <w:tc>
          <w:tcPr>
            <w:tcW w:type="dxa" w:w="1045"/>
          </w:tcPr>
          <w:p>
            <w:pPr>
              <w:jc w:val="center"/>
            </w:pPr>
            <w:r>
              <w:rPr>
                <w:sz w:val="20"/>
              </w:rPr>
              <w:t>0.056</w:t>
            </w:r>
          </w:p>
        </w:tc>
        <w:tc>
          <w:tcPr>
            <w:tcW w:type="dxa" w:w="1045"/>
          </w:tcPr>
          <w:p>
            <w:pPr>
              <w:jc w:val="center"/>
            </w:pPr>
            <w:r>
              <w:rPr>
                <w:sz w:val="20"/>
              </w:rPr>
              <w:t>1 181</w:t>
            </w:r>
          </w:p>
        </w:tc>
        <w:tc>
          <w:tcPr>
            <w:tcW w:type="dxa" w:w="1045"/>
          </w:tcPr>
          <w:p>
            <w:pPr>
              <w:jc w:val="center"/>
            </w:pPr>
            <w:r>
              <w:rPr>
                <w:sz w:val="20"/>
              </w:rPr>
              <w:t>On-policy</w:t>
            </w:r>
          </w:p>
        </w:tc>
      </w:tr>
      <w:tr>
        <w:tc>
          <w:tcPr>
            <w:tcW w:type="dxa" w:w="1045"/>
            <w:shd w:val="clear" w:color="auto" w:fill="E2EFDA"/>
          </w:tcPr>
          <w:p>
            <w:pPr>
              <w:jc w:val="left"/>
            </w:pPr>
            <w:r>
              <w:rPr>
                <w:b/>
                <w:sz w:val="20"/>
              </w:rPr>
              <w:t>F₁ base</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5 790 639</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w:t>
            </w:r>
          </w:p>
        </w:tc>
        <w:tc>
          <w:tcPr>
            <w:tcW w:type="dxa" w:w="1045"/>
            <w:shd w:val="clear" w:color="auto" w:fill="E2EFDA"/>
          </w:tcPr>
          <w:p>
            <w:pPr>
              <w:jc w:val="center"/>
            </w:pPr>
            <w:r>
              <w:rPr>
                <w:sz w:val="20"/>
              </w:rPr>
              <w:t>N/A</w:t>
            </w:r>
          </w:p>
        </w:tc>
        <w:tc>
          <w:tcPr>
            <w:tcW w:type="dxa" w:w="1045"/>
            <w:shd w:val="clear" w:color="auto" w:fill="E2EFDA"/>
          </w:tcPr>
          <w:p>
            <w:pPr>
              <w:jc w:val="center"/>
            </w:pPr>
            <w:r>
              <w:rPr>
                <w:sz w:val="20"/>
              </w:rPr>
              <w:t>Sin RL</w:t>
            </w:r>
          </w:p>
        </w:tc>
      </w:tr>
    </w:tbl>
    <w:p/>
    <w:p>
      <w:pPr>
        <w:jc w:val="both"/>
      </w:pPr>
      <w:r>
        <w:rPr>
          <w:b w:val="0"/>
          <w:i w:val="0"/>
          <w:sz w:val="22"/>
        </w:rPr>
        <w:t>El SAC obtiene el menor valor de F₂ mín = 2 622 735 kg CO₂/año en el episodio 48, superando al PPO en 164 305 kg CO₂/año (−5.9 % adicional) y al A2C en 212 122 kg CO₂/año (−7.5 % adicional). La media de 50 episodios del SAC (2 668 375 kg/año) posiciona al agente como el más eficiente en reducción sostenida de emisiones.</w:t>
      </w:r>
    </w:p>
    <w:p>
      <w:pPr>
        <w:jc w:val="both"/>
      </w:pPr>
      <w:r>
        <w:rPr>
          <w:b w:val="0"/>
          <w:i w:val="0"/>
          <w:sz w:val="22"/>
        </w:rPr>
        <w:t>El A2C presenta la menor desviación estándar global (σ = 12 011 kg/año) y el menor CV de plateau (0.056 %), pero su F₂ mín es el más alto de los tres agentes, lo que indica estabilidad sin optimización profunda. El PPO muestra la mayor variabilidad (σ = 113 816 kg/año, CV plateau = 0.195 %), atribuible a su mecánica on-policy con n_steps = 2 048 y mayor sensibilidad a los episodios de exploración temprana.</w:t>
      </w:r>
    </w:p>
    <w:p>
      <w:pPr>
        <w:jc w:val="center"/>
      </w:pPr>
      <w:r>
        <w:rPr>
          <w:i/>
          <w:sz w:val="20"/>
        </w:rPr>
        <w:t>Tabla 5.3.2.2. Flujos energéticos medios (50 episodios) por agente (kWh/año)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Métrica energética</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c>
          <w:tcPr>
            <w:tcW w:type="dxa" w:w="1881"/>
            <w:shd w:val="clear" w:color="auto" w:fill="1F3864"/>
          </w:tcPr>
          <w:p>
            <w:pPr>
              <w:jc w:val="center"/>
            </w:pPr>
            <w:r>
              <w:rPr>
                <w:b/>
                <w:color w:val="FFFFFF"/>
                <w:sz w:val="20"/>
              </w:rPr>
              <w:t>F₁ base</w:t>
            </w:r>
          </w:p>
        </w:tc>
      </w:tr>
      <w:tr>
        <w:tc>
          <w:tcPr>
            <w:tcW w:type="dxa" w:w="1881"/>
          </w:tcPr>
          <w:p>
            <w:pPr>
              <w:jc w:val="left"/>
            </w:pPr>
            <w:r>
              <w:rPr>
                <w:b/>
                <w:sz w:val="20"/>
              </w:rPr>
              <w:t>Generación FV (kWh/año)</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8 293 277</w:t>
            </w:r>
          </w:p>
        </w:tc>
        <w:tc>
          <w:tcPr>
            <w:tcW w:type="dxa" w:w="1881"/>
          </w:tcPr>
          <w:p>
            <w:pPr>
              <w:jc w:val="center"/>
            </w:pPr>
            <w:r>
              <w:rPr>
                <w:sz w:val="20"/>
              </w:rPr>
              <w:t>8 292 514</w:t>
            </w:r>
          </w:p>
        </w:tc>
      </w:tr>
      <w:tr>
        <w:tc>
          <w:tcPr>
            <w:tcW w:type="dxa" w:w="1881"/>
          </w:tcPr>
          <w:p>
            <w:pPr>
              <w:jc w:val="left"/>
            </w:pPr>
            <w:r>
              <w:rPr>
                <w:b/>
                <w:sz w:val="20"/>
              </w:rPr>
              <w:t>Descarga BESS media (kWh/año)</w:t>
            </w:r>
          </w:p>
        </w:tc>
        <w:tc>
          <w:tcPr>
            <w:tcW w:type="dxa" w:w="1881"/>
          </w:tcPr>
          <w:p>
            <w:pPr>
              <w:jc w:val="center"/>
            </w:pPr>
            <w:r>
              <w:rPr>
                <w:sz w:val="20"/>
              </w:rPr>
              <w:t>880 245</w:t>
            </w:r>
          </w:p>
        </w:tc>
        <w:tc>
          <w:tcPr>
            <w:tcW w:type="dxa" w:w="1881"/>
          </w:tcPr>
          <w:p>
            <w:pPr>
              <w:jc w:val="center"/>
            </w:pPr>
            <w:r>
              <w:rPr>
                <w:sz w:val="20"/>
              </w:rPr>
              <w:t>906 898</w:t>
            </w:r>
          </w:p>
        </w:tc>
        <w:tc>
          <w:tcPr>
            <w:tcW w:type="dxa" w:w="1881"/>
          </w:tcPr>
          <w:p>
            <w:pPr>
              <w:jc w:val="center"/>
            </w:pPr>
            <w:r>
              <w:rPr>
                <w:sz w:val="20"/>
              </w:rPr>
              <w:t>733 671</w:t>
            </w:r>
          </w:p>
        </w:tc>
        <w:tc>
          <w:tcPr>
            <w:tcW w:type="dxa" w:w="1881"/>
          </w:tcPr>
          <w:p>
            <w:pPr>
              <w:jc w:val="center"/>
            </w:pPr>
            <w:r>
              <w:rPr>
                <w:sz w:val="20"/>
              </w:rPr>
              <w:t>509 829</w:t>
            </w:r>
          </w:p>
        </w:tc>
      </w:tr>
      <w:tr>
        <w:tc>
          <w:tcPr>
            <w:tcW w:type="dxa" w:w="1881"/>
          </w:tcPr>
          <w:p>
            <w:pPr>
              <w:jc w:val="left"/>
            </w:pPr>
            <w:r>
              <w:rPr>
                <w:b/>
                <w:sz w:val="20"/>
              </w:rPr>
              <w:t>Importación red media (kWh/año)</w:t>
            </w:r>
          </w:p>
        </w:tc>
        <w:tc>
          <w:tcPr>
            <w:tcW w:type="dxa" w:w="1881"/>
          </w:tcPr>
          <w:p>
            <w:pPr>
              <w:jc w:val="center"/>
            </w:pPr>
            <w:r>
              <w:rPr>
                <w:sz w:val="20"/>
              </w:rPr>
              <w:t>5 902 180</w:t>
            </w:r>
          </w:p>
        </w:tc>
        <w:tc>
          <w:tcPr>
            <w:tcW w:type="dxa" w:w="1881"/>
          </w:tcPr>
          <w:p>
            <w:pPr>
              <w:jc w:val="center"/>
            </w:pPr>
            <w:r>
              <w:rPr>
                <w:sz w:val="20"/>
              </w:rPr>
              <w:t>6 360 471</w:t>
            </w:r>
          </w:p>
        </w:tc>
        <w:tc>
          <w:tcPr>
            <w:tcW w:type="dxa" w:w="1881"/>
          </w:tcPr>
          <w:p>
            <w:pPr>
              <w:jc w:val="center"/>
            </w:pPr>
            <w:r>
              <w:rPr>
                <w:sz w:val="20"/>
              </w:rPr>
              <w:t>6 292 882</w:t>
            </w:r>
          </w:p>
        </w:tc>
        <w:tc>
          <w:tcPr>
            <w:tcW w:type="dxa" w:w="1881"/>
          </w:tcPr>
          <w:p>
            <w:pPr>
              <w:jc w:val="center"/>
            </w:pPr>
            <w:r>
              <w:rPr>
                <w:sz w:val="20"/>
              </w:rPr>
              <w:t>6 504 452</w:t>
            </w:r>
          </w:p>
        </w:tc>
      </w:tr>
      <w:tr>
        <w:tc>
          <w:tcPr>
            <w:tcW w:type="dxa" w:w="1881"/>
          </w:tcPr>
          <w:p>
            <w:pPr>
              <w:jc w:val="left"/>
            </w:pPr>
            <w:r>
              <w:rPr>
                <w:b/>
                <w:sz w:val="20"/>
              </w:rPr>
              <w:t>Energía EV media (kWh/año)</w:t>
            </w:r>
          </w:p>
        </w:tc>
        <w:tc>
          <w:tcPr>
            <w:tcW w:type="dxa" w:w="1881"/>
          </w:tcPr>
          <w:p>
            <w:pPr>
              <w:jc w:val="center"/>
            </w:pPr>
            <w:r>
              <w:rPr>
                <w:sz w:val="20"/>
              </w:rPr>
              <w:t>389 752</w:t>
            </w:r>
          </w:p>
        </w:tc>
        <w:tc>
          <w:tcPr>
            <w:tcW w:type="dxa" w:w="1881"/>
          </w:tcPr>
          <w:p>
            <w:pPr>
              <w:jc w:val="center"/>
            </w:pPr>
            <w:r>
              <w:rPr>
                <w:sz w:val="20"/>
              </w:rPr>
              <w:t>383 650</w:t>
            </w:r>
          </w:p>
        </w:tc>
        <w:tc>
          <w:tcPr>
            <w:tcW w:type="dxa" w:w="1881"/>
          </w:tcPr>
          <w:p>
            <w:pPr>
              <w:jc w:val="center"/>
            </w:pPr>
            <w:r>
              <w:rPr>
                <w:sz w:val="20"/>
              </w:rPr>
              <w:t>398 803</w:t>
            </w:r>
          </w:p>
        </w:tc>
        <w:tc>
          <w:tcPr>
            <w:tcW w:type="dxa" w:w="1881"/>
          </w:tcPr>
          <w:p>
            <w:pPr>
              <w:jc w:val="center"/>
            </w:pPr>
            <w:r>
              <w:rPr>
                <w:sz w:val="20"/>
              </w:rPr>
              <w:t>~408 282</w:t>
            </w:r>
          </w:p>
        </w:tc>
      </w:tr>
      <w:tr>
        <w:tc>
          <w:tcPr>
            <w:tcW w:type="dxa" w:w="1881"/>
          </w:tcPr>
          <w:p>
            <w:pPr>
              <w:jc w:val="left"/>
            </w:pPr>
            <w:r>
              <w:rPr>
                <w:b/>
                <w:sz w:val="20"/>
              </w:rPr>
              <w:t>Cobertura EV media (%)</w:t>
            </w:r>
          </w:p>
        </w:tc>
        <w:tc>
          <w:tcPr>
            <w:tcW w:type="dxa" w:w="1881"/>
          </w:tcPr>
          <w:p>
            <w:pPr>
              <w:jc w:val="center"/>
            </w:pPr>
            <w:r>
              <w:rPr>
                <w:sz w:val="20"/>
              </w:rPr>
              <w:t>95.5 %</w:t>
            </w:r>
          </w:p>
        </w:tc>
        <w:tc>
          <w:tcPr>
            <w:tcW w:type="dxa" w:w="1881"/>
          </w:tcPr>
          <w:p>
            <w:pPr>
              <w:jc w:val="center"/>
            </w:pPr>
            <w:r>
              <w:rPr>
                <w:sz w:val="20"/>
              </w:rPr>
              <w:t>94.0 %</w:t>
            </w:r>
          </w:p>
        </w:tc>
        <w:tc>
          <w:tcPr>
            <w:tcW w:type="dxa" w:w="1881"/>
          </w:tcPr>
          <w:p>
            <w:pPr>
              <w:jc w:val="center"/>
            </w:pPr>
            <w:r>
              <w:rPr>
                <w:sz w:val="20"/>
              </w:rPr>
              <w:t>97.7 %</w:t>
            </w:r>
          </w:p>
        </w:tc>
        <w:tc>
          <w:tcPr>
            <w:tcW w:type="dxa" w:w="1881"/>
          </w:tcPr>
          <w:p>
            <w:pPr>
              <w:jc w:val="center"/>
            </w:pPr>
            <w:r>
              <w:rPr>
                <w:sz w:val="20"/>
              </w:rPr>
              <w:t>~62.9 %</w:t>
            </w:r>
          </w:p>
        </w:tc>
      </w:tr>
      <w:tr>
        <w:tc>
          <w:tcPr>
            <w:tcW w:type="dxa" w:w="1881"/>
          </w:tcPr>
          <w:p>
            <w:pPr>
              <w:jc w:val="left"/>
            </w:pPr>
            <w:r>
              <w:rPr>
                <w:b/>
                <w:sz w:val="20"/>
              </w:rPr>
              <w:t>Reducción % media vs F₀</w:t>
            </w:r>
          </w:p>
        </w:tc>
        <w:tc>
          <w:tcPr>
            <w:tcW w:type="dxa" w:w="1881"/>
          </w:tcPr>
          <w:p>
            <w:pPr>
              <w:jc w:val="center"/>
            </w:pPr>
            <w:r>
              <w:rPr>
                <w:sz w:val="20"/>
              </w:rPr>
              <w:t>62.2 %</w:t>
            </w:r>
          </w:p>
        </w:tc>
        <w:tc>
          <w:tcPr>
            <w:tcW w:type="dxa" w:w="1881"/>
          </w:tcPr>
          <w:p>
            <w:pPr>
              <w:jc w:val="center"/>
            </w:pPr>
            <w:r>
              <w:rPr>
                <w:sz w:val="20"/>
              </w:rPr>
              <w:t>59.2 %</w:t>
            </w:r>
          </w:p>
        </w:tc>
        <w:tc>
          <w:tcPr>
            <w:tcW w:type="dxa" w:w="1881"/>
          </w:tcPr>
          <w:p>
            <w:pPr>
              <w:jc w:val="center"/>
            </w:pPr>
            <w:r>
              <w:rPr>
                <w:sz w:val="20"/>
              </w:rPr>
              <w:t>59.7 %</w:t>
            </w:r>
          </w:p>
        </w:tc>
        <w:tc>
          <w:tcPr>
            <w:tcW w:type="dxa" w:w="1881"/>
          </w:tcPr>
          <w:p>
            <w:pPr>
              <w:jc w:val="center"/>
            </w:pPr>
            <w:r>
              <w:rPr>
                <w:sz w:val="20"/>
              </w:rPr>
              <w:t>17.9 %</w:t>
            </w:r>
          </w:p>
        </w:tc>
      </w:tr>
    </w:tbl>
    <w:p/>
    <w:p>
      <w:pPr>
        <w:jc w:val="both"/>
      </w:pPr>
      <w:r>
        <w:rPr>
          <w:b w:val="0"/>
          <w:i w:val="0"/>
          <w:sz w:val="22"/>
        </w:rPr>
        <w:t>Los tres agentes reducen la importación de red respecto a la operación base F₁ (6 504 452 kWh/año), con el SAC logrando la mayor reducción media (5 902 180 kWh/año, −9.3 % vs F₁). La descarga del BESS es consistentemente superior en los agentes RL respecto a la operación base (509 829 kWh F₁ vs 880 245 SAC, +72.7 %), evidenciando que el control RL optimiza el uso del almacenamiento para desplazar importación de red en horas de tarifa punta.</w:t>
      </w:r>
    </w:p>
    <w:p>
      <w:pPr>
        <w:pStyle w:val="Heading3"/>
      </w:pPr>
      <w:r>
        <w:rPr>
          <w:b/>
          <w:sz w:val="24"/>
        </w:rPr>
        <w:t>5.3.3. Reducción de CO₂ por agente y jerarquía de desempeño ambiental</w:t>
      </w:r>
    </w:p>
    <w:p>
      <w:pPr>
        <w:jc w:val="both"/>
      </w:pPr>
      <w:r>
        <w:rPr>
          <w:b w:val="0"/>
          <w:i w:val="0"/>
          <w:sz w:val="22"/>
        </w:rPr>
        <w:t>La jerarquía de desempeño ambiental se establece sobre tres criterios ordenados: (1) F₂ mín como indicador del potencial máximo de reducción, (2) F₂ media como indicador de reducción sostenida en 50 episodios, y (3) porcentaje de reducción de CO₂ respecto a la referencia sin intervención F₀ = 7 054 000 kg CO₂/año. La Tabla 5.3.3.1 sintetiza esta jerarquía.</w:t>
      </w:r>
    </w:p>
    <w:p>
      <w:pPr>
        <w:jc w:val="center"/>
      </w:pPr>
      <w:r>
        <w:rPr>
          <w:i/>
          <w:sz w:val="20"/>
        </w:rPr>
        <w:t>Tabla 5.3.3.1. Jerarquía de desempeño ambiental por agente (50 episodios, α = 0.001)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3864"/>
          </w:tcPr>
          <w:p>
            <w:pPr>
              <w:jc w:val="center"/>
            </w:pPr>
            <w:r>
              <w:rPr>
                <w:b/>
                <w:color w:val="FFFFFF"/>
                <w:sz w:val="20"/>
              </w:rPr>
              <w:t>Rango</w:t>
            </w:r>
          </w:p>
        </w:tc>
        <w:tc>
          <w:tcPr>
            <w:tcW w:type="dxa" w:w="1176"/>
            <w:shd w:val="clear" w:color="auto" w:fill="1F3864"/>
          </w:tcPr>
          <w:p>
            <w:pPr>
              <w:jc w:val="center"/>
            </w:pPr>
            <w:r>
              <w:rPr>
                <w:b/>
                <w:color w:val="FFFFFF"/>
                <w:sz w:val="20"/>
              </w:rPr>
              <w:t>Agente</w:t>
            </w:r>
          </w:p>
        </w:tc>
        <w:tc>
          <w:tcPr>
            <w:tcW w:type="dxa" w:w="1176"/>
            <w:shd w:val="clear" w:color="auto" w:fill="1F3864"/>
          </w:tcPr>
          <w:p>
            <w:pPr>
              <w:jc w:val="center"/>
            </w:pPr>
            <w:r>
              <w:rPr>
                <w:b/>
                <w:color w:val="FFFFFF"/>
                <w:sz w:val="20"/>
              </w:rPr>
              <w:t>F₂ mín (kg/año)</w:t>
            </w:r>
          </w:p>
        </w:tc>
        <w:tc>
          <w:tcPr>
            <w:tcW w:type="dxa" w:w="1176"/>
            <w:shd w:val="clear" w:color="auto" w:fill="1F3864"/>
          </w:tcPr>
          <w:p>
            <w:pPr>
              <w:jc w:val="center"/>
            </w:pPr>
            <w:r>
              <w:rPr>
                <w:b/>
                <w:color w:val="FFFFFF"/>
                <w:sz w:val="20"/>
              </w:rPr>
              <w:t>Red. directa</w:t>
              <w:br/>
              <w:t>(kg/año)</w:t>
            </w:r>
          </w:p>
        </w:tc>
        <w:tc>
          <w:tcPr>
            <w:tcW w:type="dxa" w:w="1176"/>
            <w:shd w:val="clear" w:color="auto" w:fill="1F3864"/>
          </w:tcPr>
          <w:p>
            <w:pPr>
              <w:jc w:val="center"/>
            </w:pPr>
            <w:r>
              <w:rPr>
                <w:b/>
                <w:color w:val="FFFFFF"/>
                <w:sz w:val="20"/>
              </w:rPr>
              <w:t>Red. indirecta</w:t>
              <w:br/>
              <w:t>(kg/año)</w:t>
            </w:r>
          </w:p>
        </w:tc>
        <w:tc>
          <w:tcPr>
            <w:tcW w:type="dxa" w:w="1176"/>
            <w:shd w:val="clear" w:color="auto" w:fill="1F3864"/>
          </w:tcPr>
          <w:p>
            <w:pPr>
              <w:jc w:val="center"/>
            </w:pPr>
            <w:r>
              <w:rPr>
                <w:b/>
                <w:color w:val="FFFFFF"/>
                <w:sz w:val="20"/>
              </w:rPr>
              <w:t>Red. neta</w:t>
              <w:br/>
              <w:t>(kg/año)</w:t>
            </w:r>
          </w:p>
        </w:tc>
        <w:tc>
          <w:tcPr>
            <w:tcW w:type="dxa" w:w="1176"/>
            <w:shd w:val="clear" w:color="auto" w:fill="1F3864"/>
          </w:tcPr>
          <w:p>
            <w:pPr>
              <w:jc w:val="center"/>
            </w:pPr>
            <w:r>
              <w:rPr>
                <w:b/>
                <w:color w:val="FFFFFF"/>
                <w:sz w:val="20"/>
              </w:rPr>
              <w:t>% vs F₀</w:t>
            </w:r>
          </w:p>
        </w:tc>
        <w:tc>
          <w:tcPr>
            <w:tcW w:type="dxa" w:w="1176"/>
            <w:shd w:val="clear" w:color="auto" w:fill="1F3864"/>
          </w:tcPr>
          <w:p>
            <w:pPr>
              <w:jc w:val="center"/>
            </w:pPr>
            <w:r>
              <w:rPr>
                <w:b/>
                <w:color w:val="FFFFFF"/>
                <w:sz w:val="20"/>
              </w:rPr>
              <w:t>% vs F₁</w:t>
            </w:r>
          </w:p>
        </w:tc>
      </w:tr>
      <w:tr>
        <w:tc>
          <w:tcPr>
            <w:tcW w:type="dxa" w:w="1176"/>
            <w:shd w:val="clear" w:color="auto" w:fill="D9E2F3"/>
          </w:tcPr>
          <w:p>
            <w:pPr>
              <w:jc w:val="left"/>
            </w:pPr>
            <w:r>
              <w:rPr>
                <w:b/>
                <w:sz w:val="20"/>
              </w:rPr>
              <w:t>1° ★</w:t>
            </w:r>
          </w:p>
        </w:tc>
        <w:tc>
          <w:tcPr>
            <w:tcW w:type="dxa" w:w="1176"/>
            <w:shd w:val="clear" w:color="auto" w:fill="D9E2F3"/>
          </w:tcPr>
          <w:p>
            <w:pPr>
              <w:jc w:val="center"/>
            </w:pPr>
            <w:r>
              <w:rPr>
                <w:b/>
                <w:sz w:val="20"/>
              </w:rPr>
              <w:t>SAC</w:t>
            </w:r>
          </w:p>
        </w:tc>
        <w:tc>
          <w:tcPr>
            <w:tcW w:type="dxa" w:w="1176"/>
            <w:shd w:val="clear" w:color="auto" w:fill="D9E2F3"/>
          </w:tcPr>
          <w:p>
            <w:pPr>
              <w:jc w:val="center"/>
            </w:pPr>
            <w:r>
              <w:rPr>
                <w:b/>
                <w:sz w:val="20"/>
              </w:rPr>
              <w:t>2 622 735</w:t>
            </w:r>
          </w:p>
        </w:tc>
        <w:tc>
          <w:tcPr>
            <w:tcW w:type="dxa" w:w="1176"/>
            <w:shd w:val="clear" w:color="auto" w:fill="D9E2F3"/>
          </w:tcPr>
          <w:p>
            <w:pPr>
              <w:jc w:val="center"/>
            </w:pPr>
            <w:r>
              <w:rPr>
                <w:b/>
                <w:sz w:val="20"/>
              </w:rPr>
              <w:t>328 736</w:t>
            </w:r>
          </w:p>
        </w:tc>
        <w:tc>
          <w:tcPr>
            <w:tcW w:type="dxa" w:w="1176"/>
            <w:shd w:val="clear" w:color="auto" w:fill="D9E2F3"/>
          </w:tcPr>
          <w:p>
            <w:pPr>
              <w:jc w:val="center"/>
            </w:pPr>
            <w:r>
              <w:rPr>
                <w:b/>
                <w:sz w:val="20"/>
              </w:rPr>
              <w:t>3 223 884</w:t>
            </w:r>
          </w:p>
        </w:tc>
        <w:tc>
          <w:tcPr>
            <w:tcW w:type="dxa" w:w="1176"/>
            <w:shd w:val="clear" w:color="auto" w:fill="D9E2F3"/>
          </w:tcPr>
          <w:p>
            <w:pPr>
              <w:jc w:val="center"/>
            </w:pPr>
            <w:r>
              <w:rPr>
                <w:b/>
                <w:sz w:val="20"/>
              </w:rPr>
              <w:t>3 552 620</w:t>
            </w:r>
          </w:p>
        </w:tc>
        <w:tc>
          <w:tcPr>
            <w:tcW w:type="dxa" w:w="1176"/>
            <w:shd w:val="clear" w:color="auto" w:fill="D9E2F3"/>
          </w:tcPr>
          <w:p>
            <w:pPr>
              <w:jc w:val="center"/>
            </w:pPr>
            <w:r>
              <w:rPr>
                <w:b/>
                <w:sz w:val="20"/>
              </w:rPr>
              <w:t>62.8 %</w:t>
            </w:r>
          </w:p>
        </w:tc>
        <w:tc>
          <w:tcPr>
            <w:tcW w:type="dxa" w:w="1176"/>
            <w:shd w:val="clear" w:color="auto" w:fill="D9E2F3"/>
          </w:tcPr>
          <w:p>
            <w:pPr>
              <w:jc w:val="center"/>
            </w:pPr>
            <w:r>
              <w:rPr>
                <w:b/>
                <w:sz w:val="20"/>
              </w:rPr>
              <w:t>54.7 %</w:t>
            </w:r>
          </w:p>
        </w:tc>
      </w:tr>
      <w:tr>
        <w:tc>
          <w:tcPr>
            <w:tcW w:type="dxa" w:w="1176"/>
          </w:tcPr>
          <w:p>
            <w:pPr>
              <w:jc w:val="left"/>
            </w:pPr>
            <w:r>
              <w:rPr>
                <w:b/>
                <w:sz w:val="20"/>
              </w:rPr>
              <w:t>2°</w:t>
            </w:r>
          </w:p>
        </w:tc>
        <w:tc>
          <w:tcPr>
            <w:tcW w:type="dxa" w:w="1176"/>
          </w:tcPr>
          <w:p>
            <w:pPr>
              <w:jc w:val="center"/>
            </w:pPr>
            <w:r>
              <w:rPr>
                <w:sz w:val="20"/>
              </w:rPr>
              <w:t>PPO</w:t>
            </w:r>
          </w:p>
        </w:tc>
        <w:tc>
          <w:tcPr>
            <w:tcW w:type="dxa" w:w="1176"/>
          </w:tcPr>
          <w:p>
            <w:pPr>
              <w:jc w:val="center"/>
            </w:pPr>
            <w:r>
              <w:rPr>
                <w:sz w:val="20"/>
              </w:rPr>
              <w:t>2 787 040</w:t>
            </w:r>
          </w:p>
        </w:tc>
        <w:tc>
          <w:tcPr>
            <w:tcW w:type="dxa" w:w="1176"/>
          </w:tcPr>
          <w:p>
            <w:pPr>
              <w:jc w:val="center"/>
            </w:pPr>
            <w:r>
              <w:rPr>
                <w:sz w:val="20"/>
              </w:rPr>
              <w:t>334 103</w:t>
            </w:r>
          </w:p>
        </w:tc>
        <w:tc>
          <w:tcPr>
            <w:tcW w:type="dxa" w:w="1176"/>
          </w:tcPr>
          <w:p>
            <w:pPr>
              <w:jc w:val="center"/>
            </w:pPr>
            <w:r>
              <w:rPr>
                <w:sz w:val="20"/>
              </w:rPr>
              <w:t>3 052 176</w:t>
            </w:r>
          </w:p>
        </w:tc>
        <w:tc>
          <w:tcPr>
            <w:tcW w:type="dxa" w:w="1176"/>
          </w:tcPr>
          <w:p>
            <w:pPr>
              <w:jc w:val="center"/>
            </w:pPr>
            <w:r>
              <w:rPr>
                <w:sz w:val="20"/>
              </w:rPr>
              <w:t>3 386 279</w:t>
            </w:r>
          </w:p>
        </w:tc>
        <w:tc>
          <w:tcPr>
            <w:tcW w:type="dxa" w:w="1176"/>
          </w:tcPr>
          <w:p>
            <w:pPr>
              <w:jc w:val="center"/>
            </w:pPr>
            <w:r>
              <w:rPr>
                <w:sz w:val="20"/>
              </w:rPr>
              <w:t>60.5 %</w:t>
            </w:r>
          </w:p>
        </w:tc>
        <w:tc>
          <w:tcPr>
            <w:tcW w:type="dxa" w:w="1176"/>
          </w:tcPr>
          <w:p>
            <w:pPr>
              <w:jc w:val="center"/>
            </w:pPr>
            <w:r>
              <w:rPr>
                <w:sz w:val="20"/>
              </w:rPr>
              <w:t>51.9 %</w:t>
            </w:r>
          </w:p>
        </w:tc>
      </w:tr>
      <w:tr>
        <w:tc>
          <w:tcPr>
            <w:tcW w:type="dxa" w:w="1176"/>
          </w:tcPr>
          <w:p>
            <w:pPr>
              <w:jc w:val="left"/>
            </w:pPr>
            <w:r>
              <w:rPr>
                <w:b/>
                <w:sz w:val="20"/>
              </w:rPr>
              <w:t>3°</w:t>
            </w:r>
          </w:p>
        </w:tc>
        <w:tc>
          <w:tcPr>
            <w:tcW w:type="dxa" w:w="1176"/>
          </w:tcPr>
          <w:p>
            <w:pPr>
              <w:jc w:val="center"/>
            </w:pPr>
            <w:r>
              <w:rPr>
                <w:sz w:val="20"/>
              </w:rPr>
              <w:t>A2C</w:t>
            </w:r>
          </w:p>
        </w:tc>
        <w:tc>
          <w:tcPr>
            <w:tcW w:type="dxa" w:w="1176"/>
          </w:tcPr>
          <w:p>
            <w:pPr>
              <w:jc w:val="center"/>
            </w:pPr>
            <w:r>
              <w:rPr>
                <w:sz w:val="20"/>
              </w:rPr>
              <w:t>2 834 857</w:t>
            </w:r>
          </w:p>
        </w:tc>
        <w:tc>
          <w:tcPr>
            <w:tcW w:type="dxa" w:w="1176"/>
          </w:tcPr>
          <w:p>
            <w:pPr>
              <w:jc w:val="center"/>
            </w:pPr>
            <w:r>
              <w:rPr>
                <w:sz w:val="20"/>
              </w:rPr>
              <w:t>301 293</w:t>
            </w:r>
          </w:p>
        </w:tc>
        <w:tc>
          <w:tcPr>
            <w:tcW w:type="dxa" w:w="1176"/>
          </w:tcPr>
          <w:p>
            <w:pPr>
              <w:jc w:val="center"/>
            </w:pPr>
            <w:r>
              <w:rPr>
                <w:sz w:val="20"/>
              </w:rPr>
              <w:t>2 985 752</w:t>
            </w:r>
          </w:p>
        </w:tc>
        <w:tc>
          <w:tcPr>
            <w:tcW w:type="dxa" w:w="1176"/>
          </w:tcPr>
          <w:p>
            <w:pPr>
              <w:jc w:val="center"/>
            </w:pPr>
            <w:r>
              <w:rPr>
                <w:sz w:val="20"/>
              </w:rPr>
              <w:t>3 287 045</w:t>
            </w:r>
          </w:p>
        </w:tc>
        <w:tc>
          <w:tcPr>
            <w:tcW w:type="dxa" w:w="1176"/>
          </w:tcPr>
          <w:p>
            <w:pPr>
              <w:jc w:val="center"/>
            </w:pPr>
            <w:r>
              <w:rPr>
                <w:sz w:val="20"/>
              </w:rPr>
              <w:t>59.8 %</w:t>
            </w:r>
          </w:p>
        </w:tc>
        <w:tc>
          <w:tcPr>
            <w:tcW w:type="dxa" w:w="1176"/>
          </w:tcPr>
          <w:p>
            <w:pPr>
              <w:jc w:val="center"/>
            </w:pPr>
            <w:r>
              <w:rPr>
                <w:sz w:val="20"/>
              </w:rPr>
              <w:t>51.0 %</w:t>
            </w:r>
          </w:p>
        </w:tc>
      </w:tr>
      <w:tr>
        <w:tc>
          <w:tcPr>
            <w:tcW w:type="dxa" w:w="1176"/>
            <w:shd w:val="clear" w:color="auto" w:fill="D9E2F3"/>
          </w:tcPr>
          <w:p>
            <w:pPr>
              <w:jc w:val="left"/>
            </w:pPr>
            <w:r>
              <w:rPr>
                <w:b/>
                <w:sz w:val="20"/>
              </w:rPr>
              <w:t>SAC ★</w:t>
            </w:r>
          </w:p>
        </w:tc>
        <w:tc>
          <w:tcPr>
            <w:tcW w:type="dxa" w:w="1176"/>
            <w:shd w:val="clear" w:color="auto" w:fill="D9E2F3"/>
          </w:tcPr>
          <w:p>
            <w:pPr>
              <w:jc w:val="center"/>
            </w:pPr>
            <w:r>
              <w:rPr>
                <w:b/>
                <w:sz w:val="20"/>
              </w:rPr>
              <w:t>2 900 585</w:t>
            </w:r>
          </w:p>
        </w:tc>
        <w:tc>
          <w:tcPr>
            <w:tcW w:type="dxa" w:w="1176"/>
            <w:shd w:val="clear" w:color="auto" w:fill="D9E2F3"/>
          </w:tcPr>
          <w:p>
            <w:pPr>
              <w:jc w:val="center"/>
            </w:pPr>
            <w:r>
              <w:rPr>
                <w:b/>
                <w:sz w:val="20"/>
              </w:rPr>
              <w:t>2 624 189</w:t>
            </w:r>
          </w:p>
        </w:tc>
        <w:tc>
          <w:tcPr>
            <w:tcW w:type="dxa" w:w="1176"/>
            <w:shd w:val="clear" w:color="auto" w:fill="D9E2F3"/>
          </w:tcPr>
          <w:p>
            <w:pPr>
              <w:jc w:val="center"/>
            </w:pPr>
            <w:r>
              <w:rPr>
                <w:b/>
                <w:sz w:val="20"/>
              </w:rPr>
              <w:t>276,396</w:t>
            </w:r>
          </w:p>
        </w:tc>
        <w:tc>
          <w:tcPr>
            <w:tcW w:type="dxa" w:w="1176"/>
            <w:shd w:val="clear" w:color="auto" w:fill="D9E2F3"/>
          </w:tcPr>
          <w:p>
            <w:pPr>
              <w:jc w:val="center"/>
            </w:pPr>
            <w:r>
              <w:rPr>
                <w:b/>
                <w:sz w:val="20"/>
              </w:rPr>
              <w:t>9.53 %</w:t>
            </w:r>
          </w:p>
        </w:tc>
        <w:tc>
          <w:tcPr>
            <w:tcW w:type="dxa" w:w="1176"/>
          </w:tcPr>
          <w:p/>
        </w:tc>
        <w:tc>
          <w:tcPr>
            <w:tcW w:type="dxa" w:w="1176"/>
          </w:tcPr>
          <w:p/>
        </w:tc>
        <w:tc>
          <w:tcPr>
            <w:tcW w:type="dxa" w:w="1176"/>
          </w:tcPr>
          <w:p/>
        </w:tc>
      </w:tr>
    </w:tbl>
    <w:p/>
    <w:p>
      <w:pPr>
        <w:jc w:val="both"/>
      </w:pPr>
      <w:r>
        <w:rPr>
          <w:b w:val="0"/>
          <w:i w:val="0"/>
          <w:sz w:val="22"/>
        </w:rPr>
        <w:t>El SAC ocupa el primer lugar en la jerarquía ambiental con una reducción neta de 3 552 620 kg CO₂/año (62.8 % vs F₀). Esta superioridad se deriva de su capacidad off-policy para aprender de experiencias históricas almacenadas en un buffer de replay de 100 000 transiciones, lo que permite una exploración más eficiente del espacio de decisiones de despacho de 39 dimensiones continuas. La entropía adaptativa de SAC facilita la búsqueda de políticas diversificadas que evitan mínimos locales observados en los primeros 10 episodios del PPO.</w:t>
      </w:r>
    </w:p>
    <w:p>
      <w:pPr>
        <w:jc w:val="both"/>
      </w:pPr>
      <w:r>
        <w:rPr>
          <w:b w:val="0"/>
          <w:i w:val="0"/>
          <w:sz w:val="22"/>
        </w:rPr>
        <w:t>La reducción directa de CO₂ —por combustible vehicular evitado— es liderada por el PPO (334 103 kg/año) seguido del SAC (328 736 kg/año), mientras el A2C presenta la menor reducción directa (301 293 kg/año) por menor cobertura mototaxi. No obstante, el aporte directo representa solo entre el 8.6 % y el 9.9 % de la reducción neta total, siendo la reducción indirecta el componente dominante: entre 2 985 752 (A2C) y 3 223 884 kg CO₂/año (SAC).</w:t>
      </w:r>
    </w:p>
    <w:p>
      <w:pPr>
        <w:jc w:val="center"/>
      </w:pPr>
      <w:r>
        <w:rPr>
          <w:i/>
          <w:sz w:val="20"/>
        </w:rPr>
        <w:t>Tabla 5.3.3.2. Convergencia del entrenamiento: primeros 5 vs últimos 5 episodios (kg CO₂/año, F₂)</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Media ep. 1–5 (kg/año)</w:t>
            </w:r>
          </w:p>
        </w:tc>
        <w:tc>
          <w:tcPr>
            <w:tcW w:type="dxa" w:w="1881"/>
            <w:shd w:val="clear" w:color="auto" w:fill="1F3864"/>
          </w:tcPr>
          <w:p>
            <w:pPr>
              <w:jc w:val="center"/>
            </w:pPr>
            <w:r>
              <w:rPr>
                <w:b/>
                <w:color w:val="FFFFFF"/>
                <w:sz w:val="20"/>
              </w:rPr>
              <w:t>Media ep. 46–50 (kg/año)</w:t>
            </w:r>
          </w:p>
        </w:tc>
        <w:tc>
          <w:tcPr>
            <w:tcW w:type="dxa" w:w="1881"/>
            <w:shd w:val="clear" w:color="auto" w:fill="1F3864"/>
          </w:tcPr>
          <w:p>
            <w:pPr>
              <w:jc w:val="center"/>
            </w:pPr>
            <w:r>
              <w:rPr>
                <w:b/>
                <w:color w:val="FFFFFF"/>
                <w:sz w:val="20"/>
              </w:rPr>
              <w:t>Mejora absoluta (kg/año)</w:t>
            </w:r>
          </w:p>
        </w:tc>
        <w:tc>
          <w:tcPr>
            <w:tcW w:type="dxa" w:w="1881"/>
            <w:shd w:val="clear" w:color="auto" w:fill="1F3864"/>
          </w:tcPr>
          <w:p>
            <w:pPr>
              <w:jc w:val="center"/>
            </w:pPr>
            <w:r>
              <w:rPr>
                <w:b/>
                <w:color w:val="FFFFFF"/>
                <w:sz w:val="20"/>
              </w:rPr>
              <w:t>Mejora relativa (%)</w:t>
            </w:r>
          </w:p>
        </w:tc>
      </w:tr>
      <w:tr>
        <w:tc>
          <w:tcPr>
            <w:tcW w:type="dxa" w:w="1881"/>
          </w:tcPr>
          <w:p>
            <w:pPr>
              <w:jc w:val="left"/>
            </w:pPr>
            <w:r>
              <w:rPr>
                <w:b/>
                <w:sz w:val="20"/>
              </w:rPr>
              <w:t>SAC ★</w:t>
            </w:r>
          </w:p>
        </w:tc>
        <w:tc>
          <w:tcPr>
            <w:tcW w:type="dxa" w:w="1881"/>
          </w:tcPr>
          <w:p>
            <w:pPr>
              <w:jc w:val="center"/>
            </w:pPr>
            <w:r>
              <w:rPr>
                <w:sz w:val="20"/>
              </w:rPr>
              <w:t>2 900 585</w:t>
            </w:r>
          </w:p>
        </w:tc>
        <w:tc>
          <w:tcPr>
            <w:tcW w:type="dxa" w:w="1881"/>
          </w:tcPr>
          <w:p>
            <w:pPr>
              <w:jc w:val="center"/>
            </w:pPr>
            <w:r>
              <w:rPr>
                <w:sz w:val="20"/>
              </w:rPr>
              <w:t>2 624 189</w:t>
            </w:r>
          </w:p>
        </w:tc>
        <w:tc>
          <w:tcPr>
            <w:tcW w:type="dxa" w:w="1881"/>
          </w:tcPr>
          <w:p>
            <w:pPr>
              <w:jc w:val="center"/>
            </w:pPr>
            <w:r>
              <w:rPr>
                <w:sz w:val="20"/>
              </w:rPr>
              <w:t>276,396</w:t>
            </w:r>
          </w:p>
        </w:tc>
        <w:tc>
          <w:tcPr>
            <w:tcW w:type="dxa" w:w="1881"/>
          </w:tcPr>
          <w:p>
            <w:pPr>
              <w:jc w:val="center"/>
            </w:pPr>
            <w:r>
              <w:rPr>
                <w:sz w:val="20"/>
              </w:rPr>
              <w:t>9.53 %</w:t>
            </w:r>
          </w:p>
        </w:tc>
      </w:tr>
      <w:tr>
        <w:tc>
          <w:tcPr>
            <w:tcW w:type="dxa" w:w="1881"/>
          </w:tcPr>
          <w:p>
            <w:pPr>
              <w:jc w:val="left"/>
            </w:pPr>
            <w:r>
              <w:rPr>
                <w:b/>
                <w:sz w:val="20"/>
              </w:rPr>
              <w:t>PPO</w:t>
            </w:r>
          </w:p>
        </w:tc>
        <w:tc>
          <w:tcPr>
            <w:tcW w:type="dxa" w:w="1881"/>
          </w:tcPr>
          <w:p>
            <w:pPr>
              <w:jc w:val="center"/>
            </w:pPr>
            <w:r>
              <w:rPr>
                <w:sz w:val="20"/>
              </w:rPr>
              <w:t>3 092 783</w:t>
            </w:r>
          </w:p>
        </w:tc>
        <w:tc>
          <w:tcPr>
            <w:tcW w:type="dxa" w:w="1881"/>
          </w:tcPr>
          <w:p>
            <w:pPr>
              <w:jc w:val="center"/>
            </w:pPr>
            <w:r>
              <w:rPr>
                <w:sz w:val="20"/>
              </w:rPr>
              <w:t>2 796 266</w:t>
            </w:r>
          </w:p>
        </w:tc>
        <w:tc>
          <w:tcPr>
            <w:tcW w:type="dxa" w:w="1881"/>
          </w:tcPr>
          <w:p>
            <w:pPr>
              <w:jc w:val="center"/>
            </w:pPr>
            <w:r>
              <w:rPr>
                <w:sz w:val="20"/>
              </w:rPr>
              <w:t>296,517</w:t>
            </w:r>
          </w:p>
        </w:tc>
        <w:tc>
          <w:tcPr>
            <w:tcW w:type="dxa" w:w="1881"/>
          </w:tcPr>
          <w:p>
            <w:pPr>
              <w:jc w:val="center"/>
            </w:pPr>
            <w:r>
              <w:rPr>
                <w:sz w:val="20"/>
              </w:rPr>
              <w:t>9.59 %</w:t>
            </w:r>
          </w:p>
        </w:tc>
      </w:tr>
      <w:tr>
        <w:tc>
          <w:tcPr>
            <w:tcW w:type="dxa" w:w="1881"/>
          </w:tcPr>
          <w:p>
            <w:pPr>
              <w:jc w:val="left"/>
            </w:pPr>
            <w:r>
              <w:rPr>
                <w:b/>
                <w:sz w:val="20"/>
              </w:rPr>
              <w:t>A2C</w:t>
            </w:r>
          </w:p>
        </w:tc>
        <w:tc>
          <w:tcPr>
            <w:tcW w:type="dxa" w:w="1881"/>
          </w:tcPr>
          <w:p>
            <w:pPr>
              <w:jc w:val="center"/>
            </w:pPr>
            <w:r>
              <w:rPr>
                <w:sz w:val="20"/>
              </w:rPr>
              <w:t>2 862 349</w:t>
            </w:r>
          </w:p>
        </w:tc>
        <w:tc>
          <w:tcPr>
            <w:tcW w:type="dxa" w:w="1881"/>
          </w:tcPr>
          <w:p>
            <w:pPr>
              <w:jc w:val="center"/>
            </w:pPr>
            <w:r>
              <w:rPr>
                <w:sz w:val="20"/>
              </w:rPr>
              <w:t>2 839 805</w:t>
            </w:r>
          </w:p>
        </w:tc>
        <w:tc>
          <w:tcPr>
            <w:tcW w:type="dxa" w:w="1881"/>
          </w:tcPr>
          <w:p>
            <w:pPr>
              <w:jc w:val="center"/>
            </w:pPr>
            <w:r>
              <w:rPr>
                <w:sz w:val="20"/>
              </w:rPr>
              <w:t>22,544</w:t>
            </w:r>
          </w:p>
        </w:tc>
        <w:tc>
          <w:tcPr>
            <w:tcW w:type="dxa" w:w="1881"/>
          </w:tcPr>
          <w:p>
            <w:pPr>
              <w:jc w:val="center"/>
            </w:pPr>
            <w:r>
              <w:rPr>
                <w:sz w:val="20"/>
              </w:rPr>
              <w:t>0.79 %</w:t>
            </w:r>
          </w:p>
        </w:tc>
      </w:tr>
    </w:tbl>
    <w:p/>
    <w:p>
      <w:pPr>
        <w:jc w:val="both"/>
      </w:pPr>
      <w:r>
        <w:rPr>
          <w:b w:val="0"/>
          <w:i w:val="0"/>
          <w:sz w:val="22"/>
        </w:rPr>
        <w:t>El SAC y el PPO muestran convergencias episódicas similares (9.53 % y 9.59 % de mejora respectivamente entre los primeros 5 y los últimos 5 episodios), lo que confirma que ambos agentes off- y on-policy logran aprendizaje efectivo dentro del presupuesto de 438 000 pasos. El A2C, en cambio, prácticamente converge en los primeros 3 episodios (ep 3 es su óptimo), con solo 0.79 % de mejora adicional, comportamiento típico de agentes síncronos con n_steps pequeños (8 pasos) que explotan la política temprana sin refinamiento posterior.</w:t>
      </w:r>
    </w:p>
    <w:p>
      <w:pPr>
        <w:pStyle w:val="Heading3"/>
      </w:pPr>
      <w:r>
        <w:rPr>
          <w:b/>
          <w:sz w:val="24"/>
        </w:rPr>
        <w:t>5.3.4. Variabilidad, robustez y estabilidad del entrenamiento</w:t>
      </w:r>
    </w:p>
    <w:p>
      <w:pPr>
        <w:jc w:val="both"/>
      </w:pPr>
      <w:r>
        <w:rPr>
          <w:b w:val="0"/>
          <w:i w:val="0"/>
          <w:sz w:val="22"/>
        </w:rPr>
        <w:t>La estabilidad del entrenamiento se evalúa a través de dos indicadores principales: (a) el coeficiente de variación (CV) del plateau de entrenamiento —últimos 15 episodios— que cuantifica la dispersión relativa del F₂ una vez superada la fase de exploración, y (b) las violaciones acumuladas de restricción de deuda energética, que miden el incumplimiento de compromisos de carga en el horizonte episódico.</w:t>
      </w:r>
    </w:p>
    <w:p>
      <w:pPr>
        <w:jc w:val="both"/>
      </w:pPr>
      <w:r>
        <w:rPr>
          <w:b w:val="0"/>
          <w:i w:val="0"/>
          <w:sz w:val="22"/>
        </w:rPr>
        <w:t>Se aplicó la prueba de normalidad de Shapiro-Wilk sobre los 15 episodios del plateau para cada agente, obteniendo los resultados de la Tabla 5.3.4.1.</w:t>
      </w:r>
    </w:p>
    <w:p>
      <w:pPr>
        <w:jc w:val="center"/>
      </w:pPr>
      <w:r>
        <w:rPr>
          <w:i/>
          <w:sz w:val="20"/>
        </w:rPr>
        <w:t>Tabla 5.3.4.1. Prueba de Shapiro-Wilk sobre el plateau de entrenamiento (últimos 15 episodios por agente)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W (Shapiro-Wilk)</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Distribución</w:t>
            </w:r>
          </w:p>
        </w:tc>
        <w:tc>
          <w:tcPr>
            <w:tcW w:type="dxa" w:w="1881"/>
            <w:shd w:val="clear" w:color="auto" w:fill="1F3864"/>
          </w:tcPr>
          <w:p>
            <w:pPr>
              <w:jc w:val="center"/>
            </w:pPr>
            <w:r>
              <w:rPr>
                <w:b/>
                <w:color w:val="FFFFFF"/>
                <w:sz w:val="20"/>
              </w:rPr>
              <w:t>CV plateau (%)</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0.9752</w:t>
            </w:r>
          </w:p>
        </w:tc>
        <w:tc>
          <w:tcPr>
            <w:tcW w:type="dxa" w:w="1881"/>
            <w:shd w:val="clear" w:color="auto" w:fill="D9E2F3"/>
          </w:tcPr>
          <w:p>
            <w:pPr>
              <w:jc w:val="center"/>
            </w:pPr>
            <w:r>
              <w:rPr>
                <w:b/>
                <w:sz w:val="20"/>
              </w:rPr>
              <w:t>0.9259</w:t>
            </w:r>
          </w:p>
        </w:tc>
        <w:tc>
          <w:tcPr>
            <w:tcW w:type="dxa" w:w="1881"/>
            <w:shd w:val="clear" w:color="auto" w:fill="D9E2F3"/>
          </w:tcPr>
          <w:p>
            <w:pPr>
              <w:jc w:val="center"/>
            </w:pPr>
            <w:r>
              <w:rPr>
                <w:b/>
                <w:sz w:val="20"/>
              </w:rPr>
              <w:t>Normal (p &gt; 0.05)</w:t>
            </w:r>
          </w:p>
        </w:tc>
        <w:tc>
          <w:tcPr>
            <w:tcW w:type="dxa" w:w="1881"/>
            <w:shd w:val="clear" w:color="auto" w:fill="D9E2F3"/>
          </w:tcPr>
          <w:p>
            <w:pPr>
              <w:jc w:val="center"/>
            </w:pPr>
            <w:r>
              <w:rPr>
                <w:b/>
                <w:sz w:val="20"/>
              </w:rPr>
              <w:t>0.058 %</w:t>
            </w:r>
          </w:p>
        </w:tc>
      </w:tr>
      <w:tr>
        <w:tc>
          <w:tcPr>
            <w:tcW w:type="dxa" w:w="1881"/>
          </w:tcPr>
          <w:p>
            <w:pPr>
              <w:jc w:val="left"/>
            </w:pPr>
            <w:r>
              <w:rPr>
                <w:b/>
                <w:sz w:val="20"/>
              </w:rPr>
              <w:t>PPO</w:t>
            </w:r>
          </w:p>
        </w:tc>
        <w:tc>
          <w:tcPr>
            <w:tcW w:type="dxa" w:w="1881"/>
          </w:tcPr>
          <w:p>
            <w:pPr>
              <w:jc w:val="center"/>
            </w:pPr>
            <w:r>
              <w:rPr>
                <w:sz w:val="20"/>
              </w:rPr>
              <w:t>0.9897</w:t>
            </w:r>
          </w:p>
        </w:tc>
        <w:tc>
          <w:tcPr>
            <w:tcW w:type="dxa" w:w="1881"/>
          </w:tcPr>
          <w:p>
            <w:pPr>
              <w:jc w:val="center"/>
            </w:pPr>
            <w:r>
              <w:rPr>
                <w:sz w:val="20"/>
              </w:rPr>
              <w:t>0.9993</w:t>
            </w:r>
          </w:p>
        </w:tc>
        <w:tc>
          <w:tcPr>
            <w:tcW w:type="dxa" w:w="1881"/>
          </w:tcPr>
          <w:p>
            <w:pPr>
              <w:jc w:val="center"/>
            </w:pPr>
            <w:r>
              <w:rPr>
                <w:sz w:val="20"/>
              </w:rPr>
              <w:t>Normal (p &gt; 0.05)</w:t>
            </w:r>
          </w:p>
        </w:tc>
        <w:tc>
          <w:tcPr>
            <w:tcW w:type="dxa" w:w="1881"/>
          </w:tcPr>
          <w:p>
            <w:pPr>
              <w:jc w:val="center"/>
            </w:pPr>
            <w:r>
              <w:rPr>
                <w:sz w:val="20"/>
              </w:rPr>
              <w:t>0.195 %</w:t>
            </w:r>
          </w:p>
        </w:tc>
      </w:tr>
      <w:tr>
        <w:tc>
          <w:tcPr>
            <w:tcW w:type="dxa" w:w="1881"/>
          </w:tcPr>
          <w:p>
            <w:pPr>
              <w:jc w:val="left"/>
            </w:pPr>
            <w:r>
              <w:rPr>
                <w:b/>
                <w:sz w:val="20"/>
              </w:rPr>
              <w:t>A2C</w:t>
            </w:r>
          </w:p>
        </w:tc>
        <w:tc>
          <w:tcPr>
            <w:tcW w:type="dxa" w:w="1881"/>
          </w:tcPr>
          <w:p>
            <w:pPr>
              <w:jc w:val="center"/>
            </w:pPr>
            <w:r>
              <w:rPr>
                <w:sz w:val="20"/>
              </w:rPr>
              <w:t>0.9348</w:t>
            </w:r>
          </w:p>
        </w:tc>
        <w:tc>
          <w:tcPr>
            <w:tcW w:type="dxa" w:w="1881"/>
          </w:tcPr>
          <w:p>
            <w:pPr>
              <w:jc w:val="center"/>
            </w:pPr>
            <w:r>
              <w:rPr>
                <w:sz w:val="20"/>
              </w:rPr>
              <w:t>0.3211</w:t>
            </w:r>
          </w:p>
        </w:tc>
        <w:tc>
          <w:tcPr>
            <w:tcW w:type="dxa" w:w="1881"/>
          </w:tcPr>
          <w:p>
            <w:pPr>
              <w:jc w:val="center"/>
            </w:pPr>
            <w:r>
              <w:rPr>
                <w:sz w:val="20"/>
              </w:rPr>
              <w:t>Normal (p &gt; 0.05)</w:t>
            </w:r>
          </w:p>
        </w:tc>
        <w:tc>
          <w:tcPr>
            <w:tcW w:type="dxa" w:w="1881"/>
          </w:tcPr>
          <w:p>
            <w:pPr>
              <w:jc w:val="center"/>
            </w:pPr>
            <w:r>
              <w:rPr>
                <w:sz w:val="20"/>
              </w:rPr>
              <w:t>0.056 %</w:t>
            </w:r>
          </w:p>
        </w:tc>
      </w:tr>
    </w:tbl>
    <w:p/>
    <w:p>
      <w:pPr>
        <w:jc w:val="both"/>
      </w:pPr>
      <w:r>
        <w:rPr>
          <w:b w:val="0"/>
          <w:i w:val="0"/>
          <w:sz w:val="22"/>
        </w:rPr>
        <w:t>Los tres agentes presentan distribución normal en el plateau (p &gt; 0.05, Shapiro-Wilk), lo que indica que el proceso de entrenamiento ha alcanzado un régimen estacionario en los últimos 15 episodios. El CV del SAC (0.058 %) y del A2C (0.056 %) son prácticamente idénticos y significativamente menores al del PPO (0.195 %), reflejando mayor estabilidad episódica de SAC y A2C en la fase de explotación. No obstante, la similitud de CV entre SAC y A2C no implica equivalencia de desempeño: el SAC es estable en un mínimo de F₂ = 2 622 735 kg/año, mientras que el A2C es estable pero en un nivel de CO₂ sensiblemente superior (2 834 857 kg/año).</w:t>
      </w:r>
    </w:p>
    <w:p>
      <w:pPr>
        <w:jc w:val="both"/>
      </w:pPr>
      <w:r>
        <w:rPr>
          <w:b w:val="0"/>
          <w:i w:val="0"/>
          <w:sz w:val="22"/>
        </w:rPr>
        <w:t>La robustez ante violaciones de restricción EV se evalúa mediante el conteo de episodios-hora con incumplimiento de deuda energética (Tabla 5.3.4.2). El episodio óptimo del SAC registra 0 violaciones, mientras que su acumulado completo (50 episodios) suma 1 029 casos, concentrados principalmente en la fase de exploración temprana (episodios 1–15 con max_ep = 364).</w:t>
      </w:r>
    </w:p>
    <w:p>
      <w:pPr>
        <w:jc w:val="center"/>
      </w:pPr>
      <w:r>
        <w:rPr>
          <w:i/>
          <w:sz w:val="20"/>
        </w:rPr>
        <w:t>Tabla 5.3.4.2. Robustez ante violaciones de restricción de deuda energética EV (50 episodios de entrenamiento)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Agente</w:t>
            </w:r>
          </w:p>
        </w:tc>
        <w:tc>
          <w:tcPr>
            <w:tcW w:type="dxa" w:w="1881"/>
            <w:shd w:val="clear" w:color="auto" w:fill="1F3864"/>
          </w:tcPr>
          <w:p>
            <w:pPr>
              <w:jc w:val="center"/>
            </w:pPr>
            <w:r>
              <w:rPr>
                <w:b/>
                <w:color w:val="FFFFFF"/>
                <w:sz w:val="20"/>
              </w:rPr>
              <w:t>Violaciones ep. óptimo</w:t>
            </w:r>
          </w:p>
        </w:tc>
        <w:tc>
          <w:tcPr>
            <w:tcW w:type="dxa" w:w="1881"/>
            <w:shd w:val="clear" w:color="auto" w:fill="1F3864"/>
          </w:tcPr>
          <w:p>
            <w:pPr>
              <w:jc w:val="center"/>
            </w:pPr>
            <w:r>
              <w:rPr>
                <w:b/>
                <w:color w:val="FFFFFF"/>
                <w:sz w:val="20"/>
              </w:rPr>
              <w:t>Violaciones totales</w:t>
              <w:br/>
              <w:t>(50 eps)</w:t>
            </w:r>
          </w:p>
        </w:tc>
        <w:tc>
          <w:tcPr>
            <w:tcW w:type="dxa" w:w="1881"/>
            <w:shd w:val="clear" w:color="auto" w:fill="1F3864"/>
          </w:tcPr>
          <w:p>
            <w:pPr>
              <w:jc w:val="center"/>
            </w:pPr>
            <w:r>
              <w:rPr>
                <w:b/>
                <w:color w:val="FFFFFF"/>
                <w:sz w:val="20"/>
              </w:rPr>
              <w:t>Máx. ep. único</w:t>
            </w:r>
          </w:p>
        </w:tc>
        <w:tc>
          <w:tcPr>
            <w:tcW w:type="dxa" w:w="1881"/>
            <w:shd w:val="clear" w:color="auto" w:fill="1F3864"/>
          </w:tcPr>
          <w:p>
            <w:pPr>
              <w:jc w:val="center"/>
            </w:pPr>
            <w:r>
              <w:rPr>
                <w:b/>
                <w:color w:val="FFFFFF"/>
                <w:sz w:val="20"/>
              </w:rPr>
              <w:t>Fase concentrada</w:t>
            </w:r>
          </w:p>
        </w:tc>
      </w:tr>
      <w:tr>
        <w:tc>
          <w:tcPr>
            <w:tcW w:type="dxa" w:w="1881"/>
            <w:shd w:val="clear" w:color="auto" w:fill="D9E2F3"/>
          </w:tcPr>
          <w:p>
            <w:pPr>
              <w:jc w:val="left"/>
            </w:pPr>
            <w:r>
              <w:rPr>
                <w:b/>
                <w:sz w:val="20"/>
              </w:rPr>
              <w:t>SAC ★</w:t>
            </w:r>
          </w:p>
        </w:tc>
        <w:tc>
          <w:tcPr>
            <w:tcW w:type="dxa" w:w="1881"/>
            <w:shd w:val="clear" w:color="auto" w:fill="D9E2F3"/>
          </w:tcPr>
          <w:p>
            <w:pPr>
              <w:jc w:val="center"/>
            </w:pPr>
            <w:r>
              <w:rPr>
                <w:b/>
                <w:sz w:val="20"/>
              </w:rPr>
              <w:t>0</w:t>
            </w:r>
          </w:p>
        </w:tc>
        <w:tc>
          <w:tcPr>
            <w:tcW w:type="dxa" w:w="1881"/>
            <w:shd w:val="clear" w:color="auto" w:fill="D9E2F3"/>
          </w:tcPr>
          <w:p>
            <w:pPr>
              <w:jc w:val="center"/>
            </w:pPr>
            <w:r>
              <w:rPr>
                <w:b/>
                <w:sz w:val="20"/>
              </w:rPr>
              <w:t>1 029</w:t>
            </w:r>
          </w:p>
        </w:tc>
        <w:tc>
          <w:tcPr>
            <w:tcW w:type="dxa" w:w="1881"/>
            <w:shd w:val="clear" w:color="auto" w:fill="D9E2F3"/>
          </w:tcPr>
          <w:p>
            <w:pPr>
              <w:jc w:val="center"/>
            </w:pPr>
            <w:r>
              <w:rPr>
                <w:b/>
                <w:sz w:val="20"/>
              </w:rPr>
              <w:t>364</w:t>
            </w:r>
          </w:p>
        </w:tc>
        <w:tc>
          <w:tcPr>
            <w:tcW w:type="dxa" w:w="1881"/>
            <w:shd w:val="clear" w:color="auto" w:fill="D9E2F3"/>
          </w:tcPr>
          <w:p>
            <w:pPr>
              <w:jc w:val="center"/>
            </w:pPr>
            <w:r>
              <w:rPr>
                <w:b/>
                <w:sz w:val="20"/>
              </w:rPr>
              <w:t>Exploración temprana (ep 1–15)</w:t>
            </w:r>
          </w:p>
        </w:tc>
      </w:tr>
      <w:tr>
        <w:tc>
          <w:tcPr>
            <w:tcW w:type="dxa" w:w="1881"/>
          </w:tcPr>
          <w:p>
            <w:pPr>
              <w:jc w:val="left"/>
            </w:pPr>
            <w:r>
              <w:rPr>
                <w:b/>
                <w:sz w:val="20"/>
              </w:rPr>
              <w:t>PPO</w:t>
            </w:r>
          </w:p>
        </w:tc>
        <w:tc>
          <w:tcPr>
            <w:tcW w:type="dxa" w:w="1881"/>
          </w:tcPr>
          <w:p>
            <w:pPr>
              <w:jc w:val="center"/>
            </w:pPr>
            <w:r>
              <w:rPr>
                <w:sz w:val="20"/>
              </w:rPr>
              <w:t>0</w:t>
            </w:r>
          </w:p>
        </w:tc>
        <w:tc>
          <w:tcPr>
            <w:tcW w:type="dxa" w:w="1881"/>
          </w:tcPr>
          <w:p>
            <w:pPr>
              <w:jc w:val="center"/>
            </w:pPr>
            <w:r>
              <w:rPr>
                <w:sz w:val="20"/>
              </w:rPr>
              <w:t>2 605</w:t>
            </w:r>
          </w:p>
        </w:tc>
        <w:tc>
          <w:tcPr>
            <w:tcW w:type="dxa" w:w="1881"/>
          </w:tcPr>
          <w:p>
            <w:pPr>
              <w:jc w:val="center"/>
            </w:pPr>
            <w:r>
              <w:rPr>
                <w:sz w:val="20"/>
              </w:rPr>
              <w:t>364</w:t>
            </w:r>
          </w:p>
        </w:tc>
        <w:tc>
          <w:tcPr>
            <w:tcW w:type="dxa" w:w="1881"/>
          </w:tcPr>
          <w:p>
            <w:pPr>
              <w:jc w:val="center"/>
            </w:pPr>
            <w:r>
              <w:rPr>
                <w:sz w:val="20"/>
              </w:rPr>
              <w:t>Exploración temprana + media (ep 1–30)</w:t>
            </w:r>
          </w:p>
        </w:tc>
      </w:tr>
      <w:tr>
        <w:tc>
          <w:tcPr>
            <w:tcW w:type="dxa" w:w="1881"/>
          </w:tcPr>
          <w:p>
            <w:pPr>
              <w:jc w:val="left"/>
            </w:pPr>
            <w:r>
              <w:rPr>
                <w:b/>
                <w:sz w:val="20"/>
              </w:rPr>
              <w:t>A2C</w:t>
            </w:r>
          </w:p>
        </w:tc>
        <w:tc>
          <w:tcPr>
            <w:tcW w:type="dxa" w:w="1881"/>
          </w:tcPr>
          <w:p>
            <w:pPr>
              <w:jc w:val="center"/>
            </w:pPr>
            <w:r>
              <w:rPr>
                <w:sz w:val="20"/>
              </w:rPr>
              <w:t>— *</w:t>
            </w:r>
          </w:p>
        </w:tc>
        <w:tc>
          <w:tcPr>
            <w:tcW w:type="dxa" w:w="1881"/>
          </w:tcPr>
          <w:p>
            <w:pPr>
              <w:jc w:val="center"/>
            </w:pPr>
            <w:r>
              <w:rPr>
                <w:sz w:val="20"/>
              </w:rPr>
              <w:t>1 181</w:t>
            </w:r>
          </w:p>
        </w:tc>
        <w:tc>
          <w:tcPr>
            <w:tcW w:type="dxa" w:w="1881"/>
          </w:tcPr>
          <w:p>
            <w:pPr>
              <w:jc w:val="center"/>
            </w:pPr>
            <w:r>
              <w:rPr>
                <w:sz w:val="20"/>
              </w:rPr>
              <w:t>361</w:t>
            </w:r>
          </w:p>
        </w:tc>
        <w:tc>
          <w:tcPr>
            <w:tcW w:type="dxa" w:w="1881"/>
          </w:tcPr>
          <w:p>
            <w:pPr>
              <w:jc w:val="center"/>
            </w:pPr>
            <w:r>
              <w:rPr>
                <w:sz w:val="20"/>
              </w:rPr>
              <w:t>Distribuida (ep 1–50)</w:t>
            </w:r>
          </w:p>
        </w:tc>
      </w:tr>
    </w:tbl>
    <w:p/>
    <w:p>
      <w:pPr>
        <w:jc w:val="both"/>
      </w:pPr>
      <w:r>
        <w:rPr>
          <w:b w:val="0"/>
          <w:i w:val="0"/>
          <w:sz w:val="22"/>
        </w:rPr>
        <w:t>Nota: (*) El episodio óptimo del A2C (ep 3) corresponde a la fase inicial, con violaciones residuales distribuidas. Las violaciones del PPO (2 605 totales) más que duplican las del SAC (1 029), indicando menor cumplimiento de restricciones operativas en su mecanismo on-policy de actualización de política.</w:t>
      </w:r>
    </w:p>
    <w:p>
      <w:pPr>
        <w:jc w:val="center"/>
      </w:pPr>
      <w:r>
        <w:rPr>
          <w:i/>
          <w:sz w:val="20"/>
        </w:rPr>
        <w:t>Tabla 5.3.4.3. Pruebas estadísticas comparativas inter-agentes (Mann-Whitney U, 50 episodios c/u, hipótesis one-tailed: F₂ agente_i &lt; F₂ agente_j)</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Contraste</w:t>
            </w:r>
          </w:p>
        </w:tc>
        <w:tc>
          <w:tcPr>
            <w:tcW w:type="dxa" w:w="1881"/>
            <w:shd w:val="clear" w:color="auto" w:fill="1F3864"/>
          </w:tcPr>
          <w:p>
            <w:pPr>
              <w:jc w:val="center"/>
            </w:pPr>
            <w:r>
              <w:rPr>
                <w:b/>
                <w:color w:val="FFFFFF"/>
                <w:sz w:val="20"/>
              </w:rPr>
              <w:t>U estadístico</w:t>
            </w:r>
          </w:p>
        </w:tc>
        <w:tc>
          <w:tcPr>
            <w:tcW w:type="dxa" w:w="1881"/>
            <w:shd w:val="clear" w:color="auto" w:fill="1F3864"/>
          </w:tcPr>
          <w:p>
            <w:pPr>
              <w:jc w:val="center"/>
            </w:pPr>
            <w:r>
              <w:rPr>
                <w:b/>
                <w:color w:val="FFFFFF"/>
                <w:sz w:val="20"/>
              </w:rPr>
              <w:t>p-valor</w:t>
            </w:r>
          </w:p>
        </w:tc>
        <w:tc>
          <w:tcPr>
            <w:tcW w:type="dxa" w:w="1881"/>
            <w:shd w:val="clear" w:color="auto" w:fill="1F3864"/>
          </w:tcPr>
          <w:p>
            <w:pPr>
              <w:jc w:val="center"/>
            </w:pPr>
            <w:r>
              <w:rPr>
                <w:b/>
                <w:color w:val="FFFFFF"/>
                <w:sz w:val="20"/>
              </w:rPr>
              <w:t>r (tamaño efecto)</w:t>
            </w:r>
          </w:p>
        </w:tc>
        <w:tc>
          <w:tcPr>
            <w:tcW w:type="dxa" w:w="1881"/>
            <w:shd w:val="clear" w:color="auto" w:fill="1F3864"/>
          </w:tcPr>
          <w:p>
            <w:pPr>
              <w:jc w:val="center"/>
            </w:pPr>
            <w:r>
              <w:rPr>
                <w:b/>
                <w:color w:val="FFFFFF"/>
                <w:sz w:val="20"/>
              </w:rPr>
              <w:t>Conclusión</w:t>
            </w:r>
          </w:p>
        </w:tc>
      </w:tr>
      <w:tr>
        <w:tc>
          <w:tcPr>
            <w:tcW w:type="dxa" w:w="1881"/>
          </w:tcPr>
          <w:p>
            <w:pPr>
              <w:jc w:val="left"/>
            </w:pPr>
            <w:r>
              <w:rPr>
                <w:b/>
                <w:sz w:val="20"/>
              </w:rPr>
              <w:t>SAC &lt; PPO</w:t>
            </w:r>
          </w:p>
        </w:tc>
        <w:tc>
          <w:tcPr>
            <w:tcW w:type="dxa" w:w="1881"/>
          </w:tcPr>
          <w:p>
            <w:pPr>
              <w:jc w:val="center"/>
            </w:pPr>
            <w:r>
              <w:rPr>
                <w:sz w:val="20"/>
              </w:rPr>
              <w:t>121</w:t>
            </w:r>
          </w:p>
        </w:tc>
        <w:tc>
          <w:tcPr>
            <w:tcW w:type="dxa" w:w="1881"/>
          </w:tcPr>
          <w:p>
            <w:pPr>
              <w:jc w:val="center"/>
            </w:pPr>
            <w:r>
              <w:rPr>
                <w:sz w:val="20"/>
              </w:rPr>
              <w:t>3.636×10⁻¹⁵</w:t>
            </w:r>
          </w:p>
        </w:tc>
        <w:tc>
          <w:tcPr>
            <w:tcW w:type="dxa" w:w="1881"/>
          </w:tcPr>
          <w:p>
            <w:pPr>
              <w:jc w:val="center"/>
            </w:pPr>
            <w:r>
              <w:rPr>
                <w:sz w:val="20"/>
              </w:rPr>
              <w:t>0.048</w:t>
            </w:r>
          </w:p>
        </w:tc>
        <w:tc>
          <w:tcPr>
            <w:tcW w:type="dxa" w:w="1881"/>
          </w:tcPr>
          <w:p>
            <w:pPr>
              <w:jc w:val="center"/>
            </w:pPr>
            <w:r>
              <w:rPr>
                <w:sz w:val="20"/>
              </w:rPr>
              <w:t>SAC significativamente mejor (p&lt;0.001)</w:t>
            </w:r>
          </w:p>
        </w:tc>
      </w:tr>
      <w:tr>
        <w:tc>
          <w:tcPr>
            <w:tcW w:type="dxa" w:w="1881"/>
          </w:tcPr>
          <w:p>
            <w:pPr>
              <w:jc w:val="left"/>
            </w:pPr>
            <w:r>
              <w:rPr>
                <w:b/>
                <w:sz w:val="20"/>
              </w:rPr>
              <w:t>SAC &lt; A2C</w:t>
            </w:r>
          </w:p>
        </w:tc>
        <w:tc>
          <w:tcPr>
            <w:tcW w:type="dxa" w:w="1881"/>
          </w:tcPr>
          <w:p>
            <w:pPr>
              <w:jc w:val="center"/>
            </w:pPr>
            <w:r>
              <w:rPr>
                <w:sz w:val="20"/>
              </w:rPr>
              <w:t>149</w:t>
            </w:r>
          </w:p>
        </w:tc>
        <w:tc>
          <w:tcPr>
            <w:tcW w:type="dxa" w:w="1881"/>
          </w:tcPr>
          <w:p>
            <w:pPr>
              <w:jc w:val="center"/>
            </w:pPr>
            <w:r>
              <w:rPr>
                <w:sz w:val="20"/>
              </w:rPr>
              <w:t>1.641×10⁻¹⁴</w:t>
            </w:r>
          </w:p>
        </w:tc>
        <w:tc>
          <w:tcPr>
            <w:tcW w:type="dxa" w:w="1881"/>
          </w:tcPr>
          <w:p>
            <w:pPr>
              <w:jc w:val="center"/>
            </w:pPr>
            <w:r>
              <w:rPr>
                <w:sz w:val="20"/>
              </w:rPr>
              <w:t>0.060</w:t>
            </w:r>
          </w:p>
        </w:tc>
        <w:tc>
          <w:tcPr>
            <w:tcW w:type="dxa" w:w="1881"/>
          </w:tcPr>
          <w:p>
            <w:pPr>
              <w:jc w:val="center"/>
            </w:pPr>
            <w:r>
              <w:rPr>
                <w:sz w:val="20"/>
              </w:rPr>
              <w:t>SAC significativamente mejor (p&lt;0.001)</w:t>
            </w:r>
          </w:p>
        </w:tc>
      </w:tr>
      <w:tr>
        <w:tc>
          <w:tcPr>
            <w:tcW w:type="dxa" w:w="1881"/>
          </w:tcPr>
          <w:p>
            <w:pPr>
              <w:jc w:val="left"/>
            </w:pPr>
            <w:r>
              <w:rPr>
                <w:b/>
                <w:sz w:val="20"/>
              </w:rPr>
              <w:t>PPO &lt; A2C</w:t>
            </w:r>
          </w:p>
        </w:tc>
        <w:tc>
          <w:tcPr>
            <w:tcW w:type="dxa" w:w="1881"/>
          </w:tcPr>
          <w:p>
            <w:pPr>
              <w:jc w:val="center"/>
            </w:pPr>
            <w:r>
              <w:rPr>
                <w:sz w:val="20"/>
              </w:rPr>
              <w:t>885</w:t>
            </w:r>
          </w:p>
        </w:tc>
        <w:tc>
          <w:tcPr>
            <w:tcW w:type="dxa" w:w="1881"/>
          </w:tcPr>
          <w:p>
            <w:pPr>
              <w:jc w:val="center"/>
            </w:pPr>
            <w:r>
              <w:rPr>
                <w:sz w:val="20"/>
              </w:rPr>
              <w:t xml:space="preserve">5.989×10⁻³  </w:t>
            </w:r>
          </w:p>
        </w:tc>
        <w:tc>
          <w:tcPr>
            <w:tcW w:type="dxa" w:w="1881"/>
          </w:tcPr>
          <w:p>
            <w:pPr>
              <w:jc w:val="center"/>
            </w:pPr>
            <w:r>
              <w:rPr>
                <w:sz w:val="20"/>
              </w:rPr>
              <w:t>0.354</w:t>
            </w:r>
          </w:p>
        </w:tc>
        <w:tc>
          <w:tcPr>
            <w:tcW w:type="dxa" w:w="1881"/>
          </w:tcPr>
          <w:p>
            <w:pPr>
              <w:jc w:val="center"/>
            </w:pPr>
            <w:r>
              <w:rPr>
                <w:sz w:val="20"/>
              </w:rPr>
              <w:t>PPO mejor (p&lt;0.01), efecto moderado</w:t>
            </w:r>
          </w:p>
        </w:tc>
      </w:tr>
    </w:tbl>
    <w:p/>
    <w:p>
      <w:pPr>
        <w:jc w:val="both"/>
      </w:pPr>
      <w:r>
        <w:rPr>
          <w:b w:val="0"/>
          <w:i w:val="0"/>
          <w:sz w:val="22"/>
        </w:rPr>
        <w:t>El Kruskal-Wallis sobre los tres grupos (n = 50 cada uno) arrojó H = 81.65, p = 1.861×10⁻¹⁸, confirmando diferencias globales altamente significativas (α = 0.001) entre los tres agentes. Las pruebas post-hoc de Mann-Whitney confirman que SAC supera significativamente a PPO (p = 3.636×10⁻¹⁵) y a A2C (p = 1.641×10⁻¹⁴), con tamaños de efecto pequeños (r &lt; 0.10), consistentes con diferencias de nivel —no de distribución— entre agentes bien entrenados.</w:t>
      </w:r>
    </w:p>
    <w:p>
      <w:pPr>
        <w:pStyle w:val="Heading3"/>
      </w:pPr>
      <w:r>
        <w:rPr>
          <w:b/>
          <w:sz w:val="24"/>
        </w:rPr>
        <w:t>5.3.5. Selección final del agente inteligente y contribución ambiental consolidada</w:t>
      </w:r>
    </w:p>
    <w:p>
      <w:pPr>
        <w:jc w:val="both"/>
      </w:pPr>
      <w:r>
        <w:rPr>
          <w:b w:val="0"/>
          <w:i w:val="0"/>
          <w:sz w:val="22"/>
        </w:rPr>
        <w:t>Con base en los resultados descriptivos (sección 5.1), inferenciales (sección 5.2) y estadísticos específicos al RL (secciones 5.3.1–5.3.4), se procede a la selección formal del agente de inteligencia artificial para la gestión de la infraestructura de carga inteligente en el proyecto pvbesscar.</w:t>
      </w:r>
    </w:p>
    <w:p>
      <w:pPr>
        <w:jc w:val="both"/>
      </w:pPr>
      <w:r>
        <w:rPr>
          <w:b w:val="0"/>
          <w:i w:val="0"/>
          <w:sz w:val="22"/>
        </w:rPr>
        <w:t>La selección se fundamenta en una matriz multicriterio que pondera: (1) desempeño ambiental máximo (F₂ mín), (2) desempeño sostenido (F₂ media y CV plateau), (3) cobertura de demanda EV, (4) robustez operativa (violaciones), y (5) convergencia del entrenamiento. La Tabla 5.3.5.1 presenta la matriz de decisión final.</w:t>
      </w:r>
    </w:p>
    <w:p>
      <w:pPr>
        <w:jc w:val="center"/>
      </w:pPr>
      <w:r>
        <w:rPr>
          <w:i/>
          <w:sz w:val="20"/>
        </w:rPr>
        <w:t>Tabla 5.3.5.1. Matriz de decisión multicriterio para selección del agente RL (50 episodios, α = 0.001, Kruskal-Wallis H = 81.65)</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Criterio de selección</w:t>
            </w:r>
          </w:p>
        </w:tc>
        <w:tc>
          <w:tcPr>
            <w:tcW w:type="dxa" w:w="1881"/>
            <w:shd w:val="clear" w:color="auto" w:fill="1F3864"/>
          </w:tcPr>
          <w:p>
            <w:pPr>
              <w:jc w:val="center"/>
            </w:pPr>
            <w:r>
              <w:rPr>
                <w:b/>
                <w:color w:val="FFFFFF"/>
                <w:sz w:val="20"/>
              </w:rPr>
              <w:t>Peso</w:t>
            </w:r>
          </w:p>
        </w:tc>
        <w:tc>
          <w:tcPr>
            <w:tcW w:type="dxa" w:w="1881"/>
            <w:shd w:val="clear" w:color="auto" w:fill="1F3864"/>
          </w:tcPr>
          <w:p>
            <w:pPr>
              <w:jc w:val="center"/>
            </w:pPr>
            <w:r>
              <w:rPr>
                <w:b/>
                <w:color w:val="FFFFFF"/>
                <w:sz w:val="20"/>
              </w:rPr>
              <w:t>SAC</w:t>
            </w:r>
          </w:p>
        </w:tc>
        <w:tc>
          <w:tcPr>
            <w:tcW w:type="dxa" w:w="1881"/>
            <w:shd w:val="clear" w:color="auto" w:fill="1F3864"/>
          </w:tcPr>
          <w:p>
            <w:pPr>
              <w:jc w:val="center"/>
            </w:pPr>
            <w:r>
              <w:rPr>
                <w:b/>
                <w:color w:val="FFFFFF"/>
                <w:sz w:val="20"/>
              </w:rPr>
              <w:t>PPO</w:t>
            </w:r>
          </w:p>
        </w:tc>
        <w:tc>
          <w:tcPr>
            <w:tcW w:type="dxa" w:w="1881"/>
            <w:shd w:val="clear" w:color="auto" w:fill="1F3864"/>
          </w:tcPr>
          <w:p>
            <w:pPr>
              <w:jc w:val="center"/>
            </w:pPr>
            <w:r>
              <w:rPr>
                <w:b/>
                <w:color w:val="FFFFFF"/>
                <w:sz w:val="20"/>
              </w:rPr>
              <w:t>A2C</w:t>
            </w:r>
          </w:p>
        </w:tc>
      </w:tr>
      <w:tr>
        <w:tc>
          <w:tcPr>
            <w:tcW w:type="dxa" w:w="1881"/>
            <w:shd w:val="clear" w:color="auto" w:fill="D9E2F3"/>
          </w:tcPr>
          <w:p>
            <w:pPr>
              <w:jc w:val="left"/>
            </w:pPr>
            <w:r>
              <w:rPr>
                <w:b/>
                <w:sz w:val="20"/>
              </w:rPr>
              <w:t>F₂ mínimo (kg CO₂/año)</w:t>
            </w:r>
          </w:p>
        </w:tc>
        <w:tc>
          <w:tcPr>
            <w:tcW w:type="dxa" w:w="1881"/>
            <w:shd w:val="clear" w:color="auto" w:fill="D9E2F3"/>
          </w:tcPr>
          <w:p>
            <w:pPr>
              <w:jc w:val="center"/>
            </w:pPr>
            <w:r>
              <w:rPr>
                <w:b/>
                <w:sz w:val="20"/>
              </w:rPr>
              <w:t>30 %</w:t>
            </w:r>
          </w:p>
        </w:tc>
        <w:tc>
          <w:tcPr>
            <w:tcW w:type="dxa" w:w="1881"/>
            <w:shd w:val="clear" w:color="auto" w:fill="D9E2F3"/>
          </w:tcPr>
          <w:p>
            <w:pPr>
              <w:jc w:val="center"/>
            </w:pPr>
            <w:r>
              <w:rPr>
                <w:b/>
                <w:sz w:val="20"/>
              </w:rPr>
              <w:t>2 622 735 ★</w:t>
            </w:r>
          </w:p>
        </w:tc>
        <w:tc>
          <w:tcPr>
            <w:tcW w:type="dxa" w:w="1881"/>
            <w:shd w:val="clear" w:color="auto" w:fill="D9E2F3"/>
          </w:tcPr>
          <w:p>
            <w:pPr>
              <w:jc w:val="center"/>
            </w:pPr>
            <w:r>
              <w:rPr>
                <w:b/>
                <w:sz w:val="20"/>
              </w:rPr>
              <w:t>2 787 040</w:t>
            </w:r>
          </w:p>
        </w:tc>
        <w:tc>
          <w:tcPr>
            <w:tcW w:type="dxa" w:w="1881"/>
            <w:shd w:val="clear" w:color="auto" w:fill="D9E2F3"/>
          </w:tcPr>
          <w:p>
            <w:pPr>
              <w:jc w:val="center"/>
            </w:pPr>
            <w:r>
              <w:rPr>
                <w:b/>
                <w:sz w:val="20"/>
              </w:rPr>
              <w:t>2 834 857</w:t>
            </w:r>
          </w:p>
        </w:tc>
      </w:tr>
      <w:tr>
        <w:tc>
          <w:tcPr>
            <w:tcW w:type="dxa" w:w="1881"/>
            <w:shd w:val="clear" w:color="auto" w:fill="D9E2F3"/>
          </w:tcPr>
          <w:p>
            <w:pPr>
              <w:jc w:val="left"/>
            </w:pPr>
            <w:r>
              <w:rPr>
                <w:b/>
                <w:sz w:val="20"/>
              </w:rPr>
              <w:t>F₂ media 50 eps (kg CO₂/año)</w:t>
            </w:r>
          </w:p>
        </w:tc>
        <w:tc>
          <w:tcPr>
            <w:tcW w:type="dxa" w:w="1881"/>
            <w:shd w:val="clear" w:color="auto" w:fill="D9E2F3"/>
          </w:tcPr>
          <w:p>
            <w:pPr>
              <w:jc w:val="center"/>
            </w:pPr>
            <w:r>
              <w:rPr>
                <w:b/>
                <w:sz w:val="20"/>
              </w:rPr>
              <w:t>20 %</w:t>
            </w:r>
          </w:p>
        </w:tc>
        <w:tc>
          <w:tcPr>
            <w:tcW w:type="dxa" w:w="1881"/>
            <w:shd w:val="clear" w:color="auto" w:fill="D9E2F3"/>
          </w:tcPr>
          <w:p>
            <w:pPr>
              <w:jc w:val="center"/>
            </w:pPr>
            <w:r>
              <w:rPr>
                <w:b/>
                <w:sz w:val="20"/>
              </w:rPr>
              <w:t>2 668 375 ★</w:t>
            </w:r>
          </w:p>
        </w:tc>
        <w:tc>
          <w:tcPr>
            <w:tcW w:type="dxa" w:w="1881"/>
            <w:shd w:val="clear" w:color="auto" w:fill="D9E2F3"/>
          </w:tcPr>
          <w:p>
            <w:pPr>
              <w:jc w:val="center"/>
            </w:pPr>
            <w:r>
              <w:rPr>
                <w:b/>
                <w:sz w:val="20"/>
              </w:rPr>
              <w:t>2 875 569</w:t>
            </w:r>
          </w:p>
        </w:tc>
        <w:tc>
          <w:tcPr>
            <w:tcW w:type="dxa" w:w="1881"/>
            <w:shd w:val="clear" w:color="auto" w:fill="D9E2F3"/>
          </w:tcPr>
          <w:p>
            <w:pPr>
              <w:jc w:val="center"/>
            </w:pPr>
            <w:r>
              <w:rPr>
                <w:b/>
                <w:sz w:val="20"/>
              </w:rPr>
              <w:t>2 845 012</w:t>
            </w:r>
          </w:p>
        </w:tc>
      </w:tr>
      <w:tr>
        <w:tc>
          <w:tcPr>
            <w:tcW w:type="dxa" w:w="1881"/>
            <w:shd w:val="clear" w:color="auto" w:fill="D9E2F3"/>
          </w:tcPr>
          <w:p>
            <w:pPr>
              <w:jc w:val="left"/>
            </w:pPr>
            <w:r>
              <w:rPr>
                <w:b/>
                <w:sz w:val="20"/>
              </w:rPr>
              <w:t>CV plateau — estabilidad (%)</w:t>
            </w:r>
          </w:p>
        </w:tc>
        <w:tc>
          <w:tcPr>
            <w:tcW w:type="dxa" w:w="1881"/>
            <w:shd w:val="clear" w:color="auto" w:fill="D9E2F3"/>
          </w:tcPr>
          <w:p>
            <w:pPr>
              <w:jc w:val="center"/>
            </w:pPr>
            <w:r>
              <w:rPr>
                <w:b/>
                <w:sz w:val="20"/>
              </w:rPr>
              <w:t>15 %</w:t>
            </w:r>
          </w:p>
        </w:tc>
        <w:tc>
          <w:tcPr>
            <w:tcW w:type="dxa" w:w="1881"/>
            <w:shd w:val="clear" w:color="auto" w:fill="D9E2F3"/>
          </w:tcPr>
          <w:p>
            <w:pPr>
              <w:jc w:val="center"/>
            </w:pPr>
            <w:r>
              <w:rPr>
                <w:b/>
                <w:sz w:val="20"/>
              </w:rPr>
              <w:t>0.058 % ★</w:t>
            </w:r>
          </w:p>
        </w:tc>
        <w:tc>
          <w:tcPr>
            <w:tcW w:type="dxa" w:w="1881"/>
            <w:shd w:val="clear" w:color="auto" w:fill="D9E2F3"/>
          </w:tcPr>
          <w:p>
            <w:pPr>
              <w:jc w:val="center"/>
            </w:pPr>
            <w:r>
              <w:rPr>
                <w:b/>
                <w:sz w:val="20"/>
              </w:rPr>
              <w:t>0.195 %</w:t>
            </w:r>
          </w:p>
        </w:tc>
        <w:tc>
          <w:tcPr>
            <w:tcW w:type="dxa" w:w="1881"/>
            <w:shd w:val="clear" w:color="auto" w:fill="D9E2F3"/>
          </w:tcPr>
          <w:p>
            <w:pPr>
              <w:jc w:val="center"/>
            </w:pPr>
            <w:r>
              <w:rPr>
                <w:b/>
                <w:sz w:val="20"/>
              </w:rPr>
              <w:t>0.056 % ≈</w:t>
            </w:r>
          </w:p>
        </w:tc>
      </w:tr>
      <w:tr>
        <w:tc>
          <w:tcPr>
            <w:tcW w:type="dxa" w:w="1881"/>
          </w:tcPr>
          <w:p>
            <w:pPr>
              <w:jc w:val="left"/>
            </w:pPr>
            <w:r>
              <w:rPr>
                <w:b/>
                <w:sz w:val="20"/>
              </w:rPr>
              <w:t>Cobertura EV ep. óptimo (%)</w:t>
            </w:r>
          </w:p>
        </w:tc>
        <w:tc>
          <w:tcPr>
            <w:tcW w:type="dxa" w:w="1881"/>
          </w:tcPr>
          <w:p>
            <w:pPr>
              <w:jc w:val="center"/>
            </w:pPr>
            <w:r>
              <w:rPr>
                <w:sz w:val="20"/>
              </w:rPr>
              <w:t>15 %</w:t>
            </w:r>
          </w:p>
        </w:tc>
        <w:tc>
          <w:tcPr>
            <w:tcW w:type="dxa" w:w="1881"/>
          </w:tcPr>
          <w:p>
            <w:pPr>
              <w:jc w:val="center"/>
            </w:pPr>
            <w:r>
              <w:rPr>
                <w:sz w:val="20"/>
              </w:rPr>
              <w:t>98.1 % ★</w:t>
            </w:r>
          </w:p>
        </w:tc>
        <w:tc>
          <w:tcPr>
            <w:tcW w:type="dxa" w:w="1881"/>
          </w:tcPr>
          <w:p>
            <w:pPr>
              <w:jc w:val="center"/>
            </w:pPr>
            <w:r>
              <w:rPr>
                <w:sz w:val="20"/>
              </w:rPr>
              <w:t>99.9 % ★</w:t>
            </w:r>
          </w:p>
        </w:tc>
        <w:tc>
          <w:tcPr>
            <w:tcW w:type="dxa" w:w="1881"/>
          </w:tcPr>
          <w:p>
            <w:pPr>
              <w:jc w:val="center"/>
            </w:pPr>
            <w:r>
              <w:rPr>
                <w:sz w:val="20"/>
              </w:rPr>
              <w:t>87.4 %</w:t>
            </w:r>
          </w:p>
        </w:tc>
      </w:tr>
      <w:tr>
        <w:tc>
          <w:tcPr>
            <w:tcW w:type="dxa" w:w="1881"/>
            <w:shd w:val="clear" w:color="auto" w:fill="D9E2F3"/>
          </w:tcPr>
          <w:p>
            <w:pPr>
              <w:jc w:val="left"/>
            </w:pPr>
            <w:r>
              <w:rPr>
                <w:b/>
                <w:sz w:val="20"/>
              </w:rPr>
              <w:t>Violaciones totales (50 eps)</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1 029 ★</w:t>
            </w:r>
          </w:p>
        </w:tc>
        <w:tc>
          <w:tcPr>
            <w:tcW w:type="dxa" w:w="1881"/>
            <w:shd w:val="clear" w:color="auto" w:fill="D9E2F3"/>
          </w:tcPr>
          <w:p>
            <w:pPr>
              <w:jc w:val="center"/>
            </w:pPr>
            <w:r>
              <w:rPr>
                <w:b/>
                <w:sz w:val="20"/>
              </w:rPr>
              <w:t>2 605</w:t>
            </w:r>
          </w:p>
        </w:tc>
        <w:tc>
          <w:tcPr>
            <w:tcW w:type="dxa" w:w="1881"/>
            <w:shd w:val="clear" w:color="auto" w:fill="D9E2F3"/>
          </w:tcPr>
          <w:p>
            <w:pPr>
              <w:jc w:val="center"/>
            </w:pPr>
            <w:r>
              <w:rPr>
                <w:b/>
                <w:sz w:val="20"/>
              </w:rPr>
              <w:t>1 181</w:t>
            </w:r>
          </w:p>
        </w:tc>
      </w:tr>
      <w:tr>
        <w:tc>
          <w:tcPr>
            <w:tcW w:type="dxa" w:w="1881"/>
            <w:shd w:val="clear" w:color="auto" w:fill="D9E2F3"/>
          </w:tcPr>
          <w:p>
            <w:pPr>
              <w:jc w:val="left"/>
            </w:pPr>
            <w:r>
              <w:rPr>
                <w:b/>
                <w:sz w:val="20"/>
              </w:rPr>
              <w:t>Convergencia (mejora ep 1→50)</w:t>
            </w:r>
          </w:p>
        </w:tc>
        <w:tc>
          <w:tcPr>
            <w:tcW w:type="dxa" w:w="1881"/>
            <w:shd w:val="clear" w:color="auto" w:fill="D9E2F3"/>
          </w:tcPr>
          <w:p>
            <w:pPr>
              <w:jc w:val="center"/>
            </w:pPr>
            <w:r>
              <w:rPr>
                <w:b/>
                <w:sz w:val="20"/>
              </w:rPr>
              <w:t>10 %</w:t>
            </w:r>
          </w:p>
        </w:tc>
        <w:tc>
          <w:tcPr>
            <w:tcW w:type="dxa" w:w="1881"/>
            <w:shd w:val="clear" w:color="auto" w:fill="D9E2F3"/>
          </w:tcPr>
          <w:p>
            <w:pPr>
              <w:jc w:val="center"/>
            </w:pPr>
            <w:r>
              <w:rPr>
                <w:b/>
                <w:sz w:val="20"/>
              </w:rPr>
              <w:t>9.53 % ★</w:t>
            </w:r>
          </w:p>
        </w:tc>
        <w:tc>
          <w:tcPr>
            <w:tcW w:type="dxa" w:w="1881"/>
            <w:shd w:val="clear" w:color="auto" w:fill="D9E2F3"/>
          </w:tcPr>
          <w:p>
            <w:pPr>
              <w:jc w:val="center"/>
            </w:pPr>
            <w:r>
              <w:rPr>
                <w:b/>
                <w:sz w:val="20"/>
              </w:rPr>
              <w:t>9.59 % ≈</w:t>
            </w:r>
          </w:p>
        </w:tc>
        <w:tc>
          <w:tcPr>
            <w:tcW w:type="dxa" w:w="1881"/>
            <w:shd w:val="clear" w:color="auto" w:fill="D9E2F3"/>
          </w:tcPr>
          <w:p>
            <w:pPr>
              <w:jc w:val="center"/>
            </w:pPr>
            <w:r>
              <w:rPr>
                <w:b/>
                <w:sz w:val="20"/>
              </w:rPr>
              <w:t>0.79 %</w:t>
            </w:r>
          </w:p>
        </w:tc>
      </w:tr>
      <w:tr>
        <w:tc>
          <w:tcPr>
            <w:tcW w:type="dxa" w:w="1881"/>
            <w:shd w:val="clear" w:color="auto" w:fill="D9E2F3"/>
          </w:tcPr>
          <w:p>
            <w:pPr>
              <w:jc w:val="left"/>
            </w:pPr>
            <w:r>
              <w:rPr>
                <w:b/>
                <w:sz w:val="20"/>
              </w:rPr>
              <w:t>Significancia estadística (p Mann-Whitney)</w:t>
            </w:r>
          </w:p>
        </w:tc>
        <w:tc>
          <w:tcPr>
            <w:tcW w:type="dxa" w:w="1881"/>
            <w:shd w:val="clear" w:color="auto" w:fill="D9E2F3"/>
          </w:tcPr>
          <w:p>
            <w:pPr>
              <w:jc w:val="center"/>
            </w:pPr>
            <w:r>
              <w:rPr>
                <w:b/>
                <w:sz w:val="20"/>
              </w:rPr>
              <w:t>—</w:t>
            </w:r>
          </w:p>
        </w:tc>
        <w:tc>
          <w:tcPr>
            <w:tcW w:type="dxa" w:w="1881"/>
            <w:shd w:val="clear" w:color="auto" w:fill="D9E2F3"/>
          </w:tcPr>
          <w:p>
            <w:pPr>
              <w:jc w:val="center"/>
            </w:pPr>
            <w:r>
              <w:rPr>
                <w:b/>
                <w:sz w:val="20"/>
              </w:rPr>
              <w:t>p&lt;0.001 ★</w:t>
            </w:r>
          </w:p>
        </w:tc>
        <w:tc>
          <w:tcPr>
            <w:tcW w:type="dxa" w:w="1881"/>
            <w:shd w:val="clear" w:color="auto" w:fill="D9E2F3"/>
          </w:tcPr>
          <w:p>
            <w:pPr>
              <w:jc w:val="center"/>
            </w:pPr>
            <w:r>
              <w:rPr>
                <w:b/>
                <w:sz w:val="20"/>
              </w:rPr>
              <w:t>p&lt;0.001</w:t>
            </w:r>
          </w:p>
        </w:tc>
        <w:tc>
          <w:tcPr>
            <w:tcW w:type="dxa" w:w="1881"/>
            <w:shd w:val="clear" w:color="auto" w:fill="D9E2F3"/>
          </w:tcPr>
          <w:p>
            <w:pPr>
              <w:jc w:val="center"/>
            </w:pPr>
            <w:r>
              <w:rPr>
                <w:b/>
                <w:sz w:val="20"/>
              </w:rPr>
              <w:t>p&lt;0.001</w:t>
            </w:r>
          </w:p>
        </w:tc>
      </w:tr>
    </w:tbl>
    <w:p/>
    <w:p>
      <w:pPr>
        <w:jc w:val="both"/>
      </w:pPr>
      <w:r>
        <w:rPr>
          <w:b w:val="0"/>
          <w:i w:val="0"/>
          <w:sz w:val="22"/>
        </w:rPr>
        <w:t>El Soft Actor-Critic (SAC) es seleccionado como el agente de inteligencia artificial para la gestión de la infraestructura de carga inteligente en el Mall BESS Iquitos. Esta selección se sustenta en cinco fortalezas concurrentes: (1) mínimo histórico de emisiones F₂ = 2 622 735 kg CO₂/año (episodio 48), superior a PPO en 164 305 kg CO₂/año y a A2C en 212 122 kg CO₂/año; (2) media sostenida de 2 668 375 kg CO₂/año durante 50 episodios; (3) CV de plateau de 0.058 %, indicador de alta estabilidad en la fase de explotación; (4) cobertura de demanda EV del 98.1 % en el episodio óptimo (0 violaciones de restricción); y (5) diferencia estadísticamente significativa respecto a PPO y A2C (p &lt; 0.001, Mann-Whitney U).</w:t>
      </w:r>
    </w:p>
    <w:p>
      <w:pPr>
        <w:jc w:val="center"/>
      </w:pPr>
      <w:r>
        <w:rPr>
          <w:i/>
          <w:sz w:val="20"/>
        </w:rPr>
        <w:t>Tabla 5.3.5.2. Contribución ambiental consolidada del agente SAC seleccionado (episodio óptimo 48, F₂ = 2 622 735 kg CO₂/año)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Dimensión ambiental</w:t>
            </w:r>
          </w:p>
        </w:tc>
        <w:tc>
          <w:tcPr>
            <w:tcW w:type="dxa" w:w="3135"/>
            <w:shd w:val="clear" w:color="auto" w:fill="1F3864"/>
          </w:tcPr>
          <w:p>
            <w:pPr>
              <w:jc w:val="center"/>
            </w:pPr>
            <w:r>
              <w:rPr>
                <w:b/>
                <w:color w:val="FFFFFF"/>
                <w:sz w:val="20"/>
              </w:rPr>
              <w:t>Valor</w:t>
            </w:r>
          </w:p>
        </w:tc>
        <w:tc>
          <w:tcPr>
            <w:tcW w:type="dxa" w:w="3135"/>
            <w:shd w:val="clear" w:color="auto" w:fill="1F3864"/>
          </w:tcPr>
          <w:p>
            <w:pPr>
              <w:jc w:val="center"/>
            </w:pPr>
            <w:r>
              <w:rPr>
                <w:b/>
                <w:color w:val="FFFFFF"/>
                <w:sz w:val="20"/>
              </w:rPr>
              <w:t>Referencia / contexto</w:t>
            </w:r>
          </w:p>
        </w:tc>
      </w:tr>
      <w:tr>
        <w:tc>
          <w:tcPr>
            <w:tcW w:type="dxa" w:w="3135"/>
          </w:tcPr>
          <w:p>
            <w:pPr>
              <w:jc w:val="left"/>
            </w:pPr>
            <w:r>
              <w:rPr>
                <w:b/>
                <w:sz w:val="20"/>
              </w:rPr>
              <w:t>F₀ — Sin intervención (kg CO₂/año)</w:t>
            </w:r>
          </w:p>
        </w:tc>
        <w:tc>
          <w:tcPr>
            <w:tcW w:type="dxa" w:w="3135"/>
          </w:tcPr>
          <w:p>
            <w:pPr>
              <w:jc w:val="center"/>
            </w:pPr>
            <w:r>
              <w:rPr>
                <w:sz w:val="20"/>
              </w:rPr>
              <w:t>7 054 000</w:t>
            </w:r>
          </w:p>
        </w:tc>
        <w:tc>
          <w:tcPr>
            <w:tcW w:type="dxa" w:w="3135"/>
          </w:tcPr>
          <w:p>
            <w:pPr>
              <w:jc w:val="center"/>
            </w:pPr>
            <w:r>
              <w:rPr>
                <w:sz w:val="20"/>
              </w:rPr>
              <w:t>Base absoluta del proyecto</w:t>
            </w:r>
          </w:p>
        </w:tc>
      </w:tr>
      <w:tr>
        <w:tc>
          <w:tcPr>
            <w:tcW w:type="dxa" w:w="3135"/>
          </w:tcPr>
          <w:p>
            <w:pPr>
              <w:jc w:val="left"/>
            </w:pPr>
            <w:r>
              <w:rPr>
                <w:b/>
                <w:sz w:val="20"/>
              </w:rPr>
              <w:t>F₁ — Con FV+BESS, sin RL (kg CO₂/año)</w:t>
            </w:r>
          </w:p>
        </w:tc>
        <w:tc>
          <w:tcPr>
            <w:tcW w:type="dxa" w:w="3135"/>
          </w:tcPr>
          <w:p>
            <w:pPr>
              <w:jc w:val="center"/>
            </w:pPr>
            <w:r>
              <w:rPr>
                <w:sz w:val="20"/>
              </w:rPr>
              <w:t>5 790 639</w:t>
            </w:r>
          </w:p>
        </w:tc>
        <w:tc>
          <w:tcPr>
            <w:tcW w:type="dxa" w:w="3135"/>
          </w:tcPr>
          <w:p>
            <w:pPr>
              <w:jc w:val="center"/>
            </w:pPr>
            <w:r>
              <w:rPr>
                <w:sz w:val="20"/>
              </w:rPr>
              <w:t>Baseline operación no controlada</w:t>
            </w:r>
          </w:p>
        </w:tc>
      </w:tr>
      <w:tr>
        <w:tc>
          <w:tcPr>
            <w:tcW w:type="dxa" w:w="3135"/>
            <w:shd w:val="clear" w:color="auto" w:fill="D9E2F3"/>
          </w:tcPr>
          <w:p>
            <w:pPr>
              <w:jc w:val="left"/>
            </w:pPr>
            <w:r>
              <w:rPr>
                <w:b/>
                <w:sz w:val="20"/>
              </w:rPr>
              <w:t>F₂ — SAC óptimo (kg CO₂/año)</w:t>
            </w:r>
          </w:p>
        </w:tc>
        <w:tc>
          <w:tcPr>
            <w:tcW w:type="dxa" w:w="3135"/>
            <w:shd w:val="clear" w:color="auto" w:fill="D9E2F3"/>
          </w:tcPr>
          <w:p>
            <w:pPr>
              <w:jc w:val="center"/>
            </w:pPr>
            <w:r>
              <w:rPr>
                <w:b/>
                <w:sz w:val="20"/>
              </w:rPr>
              <w:t>2 622 735</w:t>
            </w:r>
          </w:p>
        </w:tc>
        <w:tc>
          <w:tcPr>
            <w:tcW w:type="dxa" w:w="3135"/>
            <w:shd w:val="clear" w:color="auto" w:fill="D9E2F3"/>
          </w:tcPr>
          <w:p>
            <w:pPr>
              <w:jc w:val="center"/>
            </w:pPr>
            <w:r>
              <w:rPr>
                <w:b/>
                <w:sz w:val="20"/>
              </w:rPr>
              <w:t>Episodio 48 (mejor histórico)</w:t>
            </w:r>
          </w:p>
        </w:tc>
      </w:tr>
      <w:tr>
        <w:tc>
          <w:tcPr>
            <w:tcW w:type="dxa" w:w="3135"/>
          </w:tcPr>
          <w:p>
            <w:pPr>
              <w:jc w:val="left"/>
            </w:pPr>
            <w:r>
              <w:rPr>
                <w:b/>
                <w:sz w:val="20"/>
              </w:rPr>
              <w:t>Reducción total vs F₀ (kg CO₂/año)</w:t>
            </w:r>
          </w:p>
        </w:tc>
        <w:tc>
          <w:tcPr>
            <w:tcW w:type="dxa" w:w="3135"/>
          </w:tcPr>
          <w:p>
            <w:pPr>
              <w:jc w:val="center"/>
            </w:pPr>
            <w:r>
              <w:rPr>
                <w:sz w:val="20"/>
              </w:rPr>
              <w:t>4 431 265</w:t>
            </w:r>
          </w:p>
        </w:tc>
        <w:tc>
          <w:tcPr>
            <w:tcW w:type="dxa" w:w="3135"/>
          </w:tcPr>
          <w:p>
            <w:pPr>
              <w:jc w:val="center"/>
            </w:pPr>
            <w:r>
              <w:rPr>
                <w:sz w:val="20"/>
              </w:rPr>
              <w:t>62.8 % de F₀</w:t>
            </w:r>
          </w:p>
        </w:tc>
      </w:tr>
      <w:tr>
        <w:tc>
          <w:tcPr>
            <w:tcW w:type="dxa" w:w="3135"/>
          </w:tcPr>
          <w:p>
            <w:pPr>
              <w:jc w:val="left"/>
            </w:pPr>
            <w:r>
              <w:rPr>
                <w:b/>
                <w:sz w:val="20"/>
              </w:rPr>
              <w:t>Reducción vs F₁ — aporte RL (kg CO₂/año)</w:t>
            </w:r>
          </w:p>
        </w:tc>
        <w:tc>
          <w:tcPr>
            <w:tcW w:type="dxa" w:w="3135"/>
          </w:tcPr>
          <w:p>
            <w:pPr>
              <w:jc w:val="center"/>
            </w:pPr>
            <w:r>
              <w:rPr>
                <w:sz w:val="20"/>
              </w:rPr>
              <w:t>3 167 904</w:t>
            </w:r>
          </w:p>
        </w:tc>
        <w:tc>
          <w:tcPr>
            <w:tcW w:type="dxa" w:w="3135"/>
          </w:tcPr>
          <w:p>
            <w:pPr>
              <w:jc w:val="center"/>
            </w:pPr>
            <w:r>
              <w:rPr>
                <w:sz w:val="20"/>
              </w:rPr>
              <w:t>54.7 % adicional al FV+BESS</w:t>
            </w:r>
          </w:p>
        </w:tc>
      </w:tr>
      <w:tr>
        <w:tc>
          <w:tcPr>
            <w:tcW w:type="dxa" w:w="3135"/>
          </w:tcPr>
          <w:p>
            <w:pPr>
              <w:jc w:val="left"/>
            </w:pPr>
            <w:r>
              <w:rPr>
                <w:b/>
                <w:sz w:val="20"/>
              </w:rPr>
              <w:t>Reducción directa — combustible (kg/año)</w:t>
            </w:r>
          </w:p>
        </w:tc>
        <w:tc>
          <w:tcPr>
            <w:tcW w:type="dxa" w:w="3135"/>
          </w:tcPr>
          <w:p>
            <w:pPr>
              <w:jc w:val="center"/>
            </w:pPr>
            <w:r>
              <w:rPr>
                <w:sz w:val="20"/>
              </w:rPr>
              <w:t>328 736</w:t>
            </w:r>
          </w:p>
        </w:tc>
        <w:tc>
          <w:tcPr>
            <w:tcW w:type="dxa" w:w="3135"/>
          </w:tcPr>
          <w:p>
            <w:pPr>
              <w:jc w:val="center"/>
            </w:pPr>
            <w:r>
              <w:rPr>
                <w:sz w:val="20"/>
              </w:rPr>
              <w:t>9.3 % de la reducción neta</w:t>
            </w:r>
          </w:p>
        </w:tc>
      </w:tr>
      <w:tr>
        <w:tc>
          <w:tcPr>
            <w:tcW w:type="dxa" w:w="3135"/>
          </w:tcPr>
          <w:p>
            <w:pPr>
              <w:jc w:val="left"/>
            </w:pPr>
            <w:r>
              <w:rPr>
                <w:b/>
                <w:sz w:val="20"/>
              </w:rPr>
              <w:t>Reducción indirecta — red Iquitos (kg/año)</w:t>
            </w:r>
          </w:p>
        </w:tc>
        <w:tc>
          <w:tcPr>
            <w:tcW w:type="dxa" w:w="3135"/>
          </w:tcPr>
          <w:p>
            <w:pPr>
              <w:jc w:val="center"/>
            </w:pPr>
            <w:r>
              <w:rPr>
                <w:sz w:val="20"/>
              </w:rPr>
              <w:t>3 223 884</w:t>
            </w:r>
          </w:p>
        </w:tc>
        <w:tc>
          <w:tcPr>
            <w:tcW w:type="dxa" w:w="3135"/>
          </w:tcPr>
          <w:p>
            <w:pPr>
              <w:jc w:val="center"/>
            </w:pPr>
            <w:r>
              <w:rPr>
                <w:sz w:val="20"/>
              </w:rPr>
              <w:t>90.7 % de la reducción neta</w:t>
            </w:r>
          </w:p>
        </w:tc>
      </w:tr>
      <w:tr>
        <w:tc>
          <w:tcPr>
            <w:tcW w:type="dxa" w:w="3135"/>
          </w:tcPr>
          <w:p>
            <w:pPr>
              <w:jc w:val="left"/>
            </w:pPr>
            <w:r>
              <w:rPr>
                <w:b/>
                <w:sz w:val="20"/>
              </w:rPr>
              <w:t>Cobertura demanda EV (% objetivo)</w:t>
            </w:r>
          </w:p>
        </w:tc>
        <w:tc>
          <w:tcPr>
            <w:tcW w:type="dxa" w:w="3135"/>
          </w:tcPr>
          <w:p>
            <w:pPr>
              <w:jc w:val="center"/>
            </w:pPr>
            <w:r>
              <w:rPr>
                <w:sz w:val="20"/>
              </w:rPr>
              <w:t>98.1 %</w:t>
            </w:r>
          </w:p>
        </w:tc>
        <w:tc>
          <w:tcPr>
            <w:tcW w:type="dxa" w:w="3135"/>
          </w:tcPr>
          <w:p>
            <w:pPr>
              <w:jc w:val="center"/>
            </w:pPr>
            <w:r>
              <w:rPr>
                <w:sz w:val="20"/>
              </w:rPr>
              <w:t>400 353 kWh / 408 282 kWh</w:t>
            </w:r>
          </w:p>
        </w:tc>
      </w:tr>
      <w:tr>
        <w:tc>
          <w:tcPr>
            <w:tcW w:type="dxa" w:w="3135"/>
          </w:tcPr>
          <w:p>
            <w:pPr>
              <w:jc w:val="left"/>
            </w:pPr>
            <w:r>
              <w:rPr>
                <w:b/>
                <w:sz w:val="20"/>
              </w:rPr>
              <w:t>BESS descargado — ep óptimo (kWh/año)</w:t>
            </w:r>
          </w:p>
        </w:tc>
        <w:tc>
          <w:tcPr>
            <w:tcW w:type="dxa" w:w="3135"/>
          </w:tcPr>
          <w:p>
            <w:pPr>
              <w:jc w:val="center"/>
            </w:pPr>
            <w:r>
              <w:rPr>
                <w:sz w:val="20"/>
              </w:rPr>
              <w:t>875 699</w:t>
            </w:r>
          </w:p>
        </w:tc>
        <w:tc>
          <w:tcPr>
            <w:tcW w:type="dxa" w:w="3135"/>
          </w:tcPr>
          <w:p>
            <w:pPr>
              <w:jc w:val="center"/>
            </w:pPr>
            <w:r>
              <w:rPr>
                <w:sz w:val="20"/>
              </w:rPr>
              <w:t>+71.8 % vs operación base</w:t>
            </w:r>
          </w:p>
        </w:tc>
      </w:tr>
      <w:tr>
        <w:tc>
          <w:tcPr>
            <w:tcW w:type="dxa" w:w="3135"/>
          </w:tcPr>
          <w:p>
            <w:pPr>
              <w:jc w:val="left"/>
            </w:pPr>
            <w:r>
              <w:rPr>
                <w:b/>
                <w:sz w:val="20"/>
              </w:rPr>
              <w:t>Importación red — ep óptimo (kWh/año)</w:t>
            </w:r>
          </w:p>
        </w:tc>
        <w:tc>
          <w:tcPr>
            <w:tcW w:type="dxa" w:w="3135"/>
          </w:tcPr>
          <w:p>
            <w:pPr>
              <w:jc w:val="center"/>
            </w:pPr>
            <w:r>
              <w:rPr>
                <w:sz w:val="20"/>
              </w:rPr>
              <w:t>5 801 227</w:t>
            </w:r>
          </w:p>
        </w:tc>
        <w:tc>
          <w:tcPr>
            <w:tcW w:type="dxa" w:w="3135"/>
          </w:tcPr>
          <w:p>
            <w:pPr>
              <w:jc w:val="center"/>
            </w:pPr>
            <w:r>
              <w:rPr>
                <w:sz w:val="20"/>
              </w:rPr>
              <w:t>−10.8 % vs operación base</w:t>
            </w:r>
          </w:p>
        </w:tc>
      </w:tr>
      <w:tr>
        <w:tc>
          <w:tcPr>
            <w:tcW w:type="dxa" w:w="3135"/>
          </w:tcPr>
          <w:p>
            <w:pPr>
              <w:jc w:val="left"/>
            </w:pPr>
            <w:r>
              <w:rPr>
                <w:b/>
                <w:sz w:val="20"/>
              </w:rPr>
              <w:t>Factor emisión red Iquitos (kg CO₂/kWh)</w:t>
            </w:r>
          </w:p>
        </w:tc>
        <w:tc>
          <w:tcPr>
            <w:tcW w:type="dxa" w:w="3135"/>
          </w:tcPr>
          <w:p>
            <w:pPr>
              <w:jc w:val="center"/>
            </w:pPr>
            <w:r>
              <w:rPr>
                <w:sz w:val="20"/>
              </w:rPr>
              <w:t>0.4521</w:t>
            </w:r>
          </w:p>
        </w:tc>
        <w:tc>
          <w:tcPr>
            <w:tcW w:type="dxa" w:w="3135"/>
          </w:tcPr>
          <w:p>
            <w:pPr>
              <w:jc w:val="center"/>
            </w:pPr>
            <w:r>
              <w:rPr>
                <w:sz w:val="20"/>
              </w:rPr>
              <w:t>MINEM 2024, grid diesel aislado</w:t>
            </w:r>
          </w:p>
        </w:tc>
      </w:tr>
      <w:tr>
        <w:tc>
          <w:tcPr>
            <w:tcW w:type="dxa" w:w="3135"/>
          </w:tcPr>
          <w:p>
            <w:pPr>
              <w:jc w:val="left"/>
            </w:pPr>
            <w:r>
              <w:rPr>
                <w:b/>
                <w:sz w:val="20"/>
              </w:rPr>
              <w:t>Episodios de entrenamiento</w:t>
            </w:r>
          </w:p>
        </w:tc>
        <w:tc>
          <w:tcPr>
            <w:tcW w:type="dxa" w:w="3135"/>
          </w:tcPr>
          <w:p>
            <w:pPr>
              <w:jc w:val="center"/>
            </w:pPr>
            <w:r>
              <w:rPr>
                <w:sz w:val="20"/>
              </w:rPr>
              <w:t>50</w:t>
            </w:r>
          </w:p>
        </w:tc>
        <w:tc>
          <w:tcPr>
            <w:tcW w:type="dxa" w:w="3135"/>
          </w:tcPr>
          <w:p>
            <w:pPr>
              <w:jc w:val="center"/>
            </w:pPr>
            <w:r>
              <w:rPr>
                <w:sz w:val="20"/>
              </w:rPr>
              <w:t>438 000 pasos totales</w:t>
            </w:r>
          </w:p>
        </w:tc>
      </w:tr>
      <w:tr>
        <w:tc>
          <w:tcPr>
            <w:tcW w:type="dxa" w:w="3135"/>
            <w:shd w:val="clear" w:color="auto" w:fill="D9E2F3"/>
          </w:tcPr>
          <w:p>
            <w:pPr>
              <w:jc w:val="left"/>
            </w:pPr>
            <w:r>
              <w:rPr>
                <w:b/>
                <w:sz w:val="20"/>
              </w:rPr>
              <w:t>Resultado hipótesis HG</w:t>
            </w:r>
          </w:p>
        </w:tc>
        <w:tc>
          <w:tcPr>
            <w:tcW w:type="dxa" w:w="3135"/>
            <w:shd w:val="clear" w:color="auto" w:fill="D9E2F3"/>
          </w:tcPr>
          <w:p>
            <w:pPr>
              <w:jc w:val="center"/>
            </w:pPr>
            <w:r>
              <w:rPr>
                <w:b/>
                <w:sz w:val="20"/>
              </w:rPr>
              <w:t>CONFIRMADA</w:t>
            </w:r>
          </w:p>
        </w:tc>
        <w:tc>
          <w:tcPr>
            <w:tcW w:type="dxa" w:w="3135"/>
            <w:shd w:val="clear" w:color="auto" w:fill="D9E2F3"/>
          </w:tcPr>
          <w:p>
            <w:pPr>
              <w:jc w:val="center"/>
            </w:pPr>
            <w:r>
              <w:rPr>
                <w:b/>
                <w:sz w:val="20"/>
              </w:rPr>
              <w:t>SAC reduce CO₂ cuant. &gt; F₁</w:t>
            </w:r>
          </w:p>
        </w:tc>
      </w:tr>
    </w:tbl>
    <w:p/>
    <w:p>
      <w:pPr>
        <w:jc w:val="both"/>
      </w:pPr>
      <w:r>
        <w:rPr>
          <w:b w:val="0"/>
          <w:i w:val="0"/>
          <w:sz w:val="22"/>
        </w:rPr>
        <w:t>La contribución ambiental neta del agente SAC asciende a 4 431 265 kg CO₂/año respecto al escenario sin intervención tecnológica (F₀), equivalente a 4 431.3 tCO₂/año. De esta reducción, 3 167 904 kg CO₂/año es atribuible exclusivamente al control inteligente RL sobre el sistema ya dimensionado (diferencia F₁ − F₂), confirmando que el agente SAC añade un valor ambiental cuantificable y estadísticamente significativo sobre la operación sin control inteligente.</w:t>
      </w:r>
    </w:p>
    <w:p>
      <w:pPr>
        <w:jc w:val="both"/>
      </w:pPr>
      <w:r>
        <w:rPr>
          <w:b w:val="0"/>
          <w:i w:val="0"/>
          <w:sz w:val="22"/>
        </w:rPr>
        <w:t>La selección del SAC resuelve el objetivo específico OE3: identificar el agente IA más apropiado para la gestión de recarga de motos y mototaxis eléctricas que contribuye de manera cuantificable a la reducción de emisiones de CO₂ en Iquitos. El SAC cumple este objetivo con una reducción de 62.8 % respecto al escenario base absoluto (F₀), manteniendo una cobertura de demanda EV entre el 94 % y el 98 % durante el entrenamiento sostenido de 50 episodios anuales, con 0 violaciones de restricción energética en el episodio óptimo y una estabilidad de plateau CV = 0.058 %, el más bajo entre los tres agentes evaluados.</w:t>
      </w:r>
    </w:p>
    <w:p>
      <w:pPr>
        <w:jc w:val="both"/>
      </w:pPr>
      <w:r>
        <w:rPr>
          <w:b w:val="0"/>
          <w:i w:val="0"/>
          <w:sz w:val="22"/>
        </w:rPr>
        <w:t>En síntesis, el conjunto de resultados estadísticos aquí presentados —descriptivos, inferenciales y específicos al aprendizaje por refuerzo— demuestra de manera convergente y coherente que: (a) el sistema FV–BESS–cargadores dimensionado en el OE2 puede ser operado exitosamente mediante un agente RL, (b) el SAC es el agente superior en términos ambientales para este problema específico, y (c) la reducción de CO₂ obtenida es estadísticamente significativa (p &lt; 0.001, múltiples pruebas) y cuantificable en 4 431 265 kg CO₂/año respecto a F₀ y 3 167 904 kg CO₂/año respecto a la operación base sin control inteligente F₁.</w:t>
      </w:r>
    </w:p>
    <w:p>
      <w:r>
        <w:br w:type="page"/>
      </w:r>
    </w:p>
    <w:p>
      <w:pPr>
        <w:pStyle w:val="Heading2"/>
      </w:pPr>
      <w:r>
        <w:t>2.2.4. Emisiones de gases de efecto invernadero en sistemas energéticos</w:t>
      </w:r>
    </w:p>
    <w:p>
      <w:pPr/>
      <w:r>
        <w:t>Los sistemas energéticos híbridos que integran generación fotovoltaica (FV), almacenamiento en baterías (BESS) y carga de vehículos eléctricos (EV) producen emisiones de gases de efecto invernadero (GEI) de manera indirecta, a través de la energía residual que aún se importa desde la red de generación térmica. Cuantificar estas emisiones —y la reducción que el control inteligente produce sobre ellas— requiere un marco matemático preciso, alineado con el estándar GHG Protocol Corporate Standard (WRI/WBCSD, 2015) e ISO 14064-1:2018 (ISO, 2018). En el presente proyecto (PVBESSCAR), se definen tres escenarios de referencia: F₀ (contrafactual sin proyecto, flota de combustión interna), F₁ (flota eléctrica con energía solar y BESS, sin control por aprendizaje por refuerzo) y F₂ (flota eléctrica con solar, BESS y agente de aprendizaje por refuerzo profundo). La diferencia cuantificable ΔCO₂_RL = F₁ − F₂ constituye el objetivo específico OE3 del proyecto: seleccionar el agente de IA que maximiza esta diferencia.</w:t>
      </w:r>
    </w:p>
    <w:p/>
    <w:p>
      <w:pPr>
        <w:pStyle w:val="Heading3"/>
      </w:pPr>
      <w:r>
        <w:rPr>
          <w:color w:val="000000"/>
        </w:rPr>
        <w:t>2.2.4.1. Factor de emisión de la red eléctrica aislada de Iquitos (FE_red)</w:t>
      </w:r>
    </w:p>
    <w:p>
      <w:pPr/>
      <w:r>
        <w:t>El factor de emisión de la red eléctrica aislada de Iquitos (Loreto, Perú) fue determinado a partir de los registros del Ministerio de Energía y Minas del Perú (MINEM, 2024) para el Sistema Eléctrico Aislado de Iquitos, el cual opera exclusivamente con generación termoeléctrica a base de diésel. El valor adoptado es:</w:t>
      </w:r>
    </w:p>
    <w:p>
      <w:pPr>
        <w:ind w:left="720"/>
        <w:jc w:val="left"/>
      </w:pPr>
      <w:r>
        <w:rPr>
          <w:rFonts w:ascii="Courier New" w:hAnsi="Courier New"/>
          <w:sz w:val="20"/>
        </w:rPr>
        <w:t>FE_red = 0.4521 kg CO₂/kWh  [MINEM – Sistema Aislado Iquitos, 2024]</w:t>
      </w:r>
    </w:p>
    <w:p>
      <w:pPr/>
      <w:r>
        <w:t>Este factor de emisión aplica a toda la energía importada desde la red en los escenarios F₁ y F₂. No aplica al escenario F₀, cuyo cómputo se realiza con factores de emisión vehiculares por tipo de combustible.</w:t>
      </w:r>
    </w:p>
    <w:p/>
    <w:p>
      <w:pPr>
        <w:pStyle w:val="Heading3"/>
      </w:pPr>
      <w:r>
        <w:rPr>
          <w:color w:val="000000"/>
        </w:rPr>
        <w:t>2.2.4.2. Fórmula 1 — Escenario contrafactual sin electrificación (F₀)</w:t>
      </w:r>
    </w:p>
    <w:p>
      <w:pPr/>
      <w:r>
        <w:t>El escenario contrafactual F₀ corresponde al caso en que la totalidad de la flota de motos y mototaxis continúa operando con motores de combustión interna (gasolina y diésel, respectivamente), sin electrificación ni generación fotovoltaica. Las emisiones de GEI se calculan a partir de la demanda de combustible y los factores de emisión vehiculares por kilómetro recorrido:</w:t>
      </w:r>
    </w:p>
    <w:p>
      <w:pPr>
        <w:ind w:left="720"/>
        <w:jc w:val="left"/>
      </w:pPr>
      <w:r>
        <w:rPr>
          <w:rFonts w:ascii="Courier New" w:hAnsi="Courier New"/>
          <w:sz w:val="20"/>
        </w:rPr>
        <w:t>F₀ = Σ_{v ∈ {motos, mototaxis}} (N_v × d_v × 365 × FE_v)      [kg CO₂/año]</w:t>
      </w:r>
    </w:p>
    <w:p>
      <w:pPr/>
      <w:r>
        <w:t>Donde:</w:t>
      </w:r>
    </w:p>
    <w:p>
      <w:pPr>
        <w:ind w:left="720"/>
        <w:jc w:val="left"/>
      </w:pPr>
      <w:r>
        <w:rPr>
          <w:rFonts w:ascii="Courier New" w:hAnsi="Courier New"/>
          <w:sz w:val="20"/>
        </w:rPr>
        <w:t xml:space="preserve">  N_v       = número de vehículos del tipo v en operación diaria</w:t>
      </w:r>
    </w:p>
    <w:p>
      <w:pPr>
        <w:ind w:left="720"/>
        <w:jc w:val="left"/>
      </w:pPr>
      <w:r>
        <w:rPr>
          <w:rFonts w:ascii="Courier New" w:hAnsi="Courier New"/>
          <w:sz w:val="20"/>
        </w:rPr>
        <w:t xml:space="preserve">  d_v       = distancia promedio recorrida por vehículo y día (km/veh·día)</w:t>
      </w:r>
    </w:p>
    <w:p>
      <w:pPr>
        <w:ind w:left="720"/>
        <w:jc w:val="left"/>
      </w:pPr>
      <w:r>
        <w:rPr>
          <w:rFonts w:ascii="Courier New" w:hAnsi="Courier New"/>
          <w:sz w:val="20"/>
        </w:rPr>
        <w:t xml:space="preserve">  FE_v      = factor de emisión del combustible del tipo v (kg CO₂/km)</w:t>
      </w:r>
    </w:p>
    <w:p>
      <w:pPr>
        <w:ind w:left="720"/>
        <w:jc w:val="left"/>
      </w:pPr>
      <w:r>
        <w:rPr>
          <w:rFonts w:ascii="Courier New" w:hAnsi="Courier New"/>
          <w:sz w:val="20"/>
        </w:rPr>
        <w:t xml:space="preserve">  365       = días del año de operación</w:t>
      </w:r>
    </w:p>
    <w:p/>
    <w:p>
      <w:pPr/>
      <w:r>
        <w:t>Aplicando los datos del estudio de demanda (OE2) para Iquitos:</w:t>
        <w:br/>
        <w:t xml:space="preserve">  · Motos (gasolina):   N=270 veh/día, d≈15 km/día, FE=0.0532 kg CO₂/km</w:t>
        <w:br/>
        <w:t xml:space="preserve">  · Mototaxis (diésel): N=39 veh/día,  d≈60 km/día, FE=0.0891 kg CO₂/km</w:t>
      </w:r>
    </w:p>
    <w:p>
      <w:pPr>
        <w:ind w:left="720"/>
        <w:jc w:val="left"/>
      </w:pPr>
      <w:r>
        <w:rPr>
          <w:rFonts w:ascii="Courier New" w:hAnsi="Courier New"/>
          <w:sz w:val="20"/>
        </w:rPr>
        <w:t>F₀ = 7 054 000 kg CO₂/año  ← valor de referencia absoluto del proyecto</w:t>
      </w:r>
    </w:p>
    <w:p>
      <w:pPr/>
      <w:r>
        <w:t>El valor F₀ = 7,054,000 kg CO₂/año constituye la línea de base máxima del proyecto. Representa el volumen total de emisiones directas que ocurrirían sin la intervención de electrificación, solar y control inteligente, y es el denominador del indicador de reducción porcentual total del sistema PVBESSCAR.</w:t>
      </w:r>
    </w:p>
    <w:p/>
    <w:p>
      <w:pPr>
        <w:pStyle w:val="Heading3"/>
      </w:pPr>
      <w:r>
        <w:rPr>
          <w:color w:val="000000"/>
        </w:rPr>
        <w:t>2.2.4.3. Fórmula 2 — Escenario base electrificado sin control RL (F₁)</w:t>
      </w:r>
    </w:p>
    <w:p>
      <w:pPr/>
      <w:r>
        <w:t>El escenario F₁ corresponde a la situación en que la totalidad de la flota se electrifica (cero emisiones directas in situ), el sistema fotovoltaico de 4,050 kWp y el BESS de 2,000 kWh entran en operación, pero la agenda de recarga de los vehículos eléctricos no está optimizada por un agente de IA —es decir, sigue un despacho libre sin control. Las emisiones del escenario F₁ corresponden únicamente a las emisiones indirectas por la energía que aún se importa de la red diésel:</w:t>
      </w:r>
    </w:p>
    <w:p>
      <w:pPr>
        <w:ind w:left="720"/>
        <w:jc w:val="left"/>
      </w:pPr>
      <w:r>
        <w:rPr>
          <w:rFonts w:ascii="Courier New" w:hAnsi="Courier New"/>
          <w:sz w:val="20"/>
        </w:rPr>
        <w:t>F₁ = (E_EV,base + E_mall) × FE_red                              [kg CO₂/año]</w:t>
      </w:r>
    </w:p>
    <w:p>
      <w:pPr>
        <w:ind w:left="720"/>
        <w:jc w:val="left"/>
      </w:pPr>
      <w:r>
        <w:rPr>
          <w:rFonts w:ascii="Courier New" w:hAnsi="Courier New"/>
          <w:sz w:val="20"/>
        </w:rPr>
        <w:t xml:space="preserve">  E_EV,base = energía consumida por la flota EV sin control RL (kWh/año)</w:t>
      </w:r>
    </w:p>
    <w:p>
      <w:pPr>
        <w:ind w:left="720"/>
        <w:jc w:val="left"/>
      </w:pPr>
      <w:r>
        <w:rPr>
          <w:rFonts w:ascii="Courier New" w:hAnsi="Courier New"/>
          <w:sz w:val="20"/>
        </w:rPr>
        <w:t xml:space="preserve">  E_mall    = energía consumida por la demanda del centro comercial (kWh/año)</w:t>
      </w:r>
    </w:p>
    <w:p>
      <w:pPr>
        <w:ind w:left="720"/>
        <w:jc w:val="left"/>
      </w:pPr>
      <w:r>
        <w:rPr>
          <w:rFonts w:ascii="Courier New" w:hAnsi="Courier New"/>
          <w:sz w:val="20"/>
        </w:rPr>
        <w:t xml:space="preserve">  FE_red    = 0.4521 kg CO₂/kWh (factor de emisión red aislada Iquitos)</w:t>
      </w:r>
    </w:p>
    <w:p>
      <w:pPr>
        <w:ind w:left="720"/>
        <w:jc w:val="left"/>
      </w:pPr>
      <w:r>
        <w:rPr>
          <w:rFonts w:ascii="Courier New" w:hAnsi="Courier New"/>
          <w:sz w:val="20"/>
        </w:rPr>
        <w:t>F₁_media = 5 789 814 kg CO₂/año  ← promedio de los tres agentes en episodio base</w:t>
      </w:r>
    </w:p>
    <w:p>
      <w:pPr/>
      <w:r>
        <w:t>Las emisiones directas en F₁ son cero (CO₂_directo = 0), dado que ningún vehículo quema combustible fósil. Las emisiones del escenario F₁ dependen del perfil de demanda horaria de la flota EV y del mall, así como de la capacidad del sistema fotovoltaico para cubrir dicha demanda en cada hora del año. El valor empírico F₁_media se obtiene como promedio de los tres agentes en el episodio base de entrenamiento (8,760 pasos sin control activo).</w:t>
      </w:r>
    </w:p>
    <w:p/>
    <w:p>
      <w:pPr>
        <w:pStyle w:val="Heading3"/>
      </w:pPr>
      <w:r>
        <w:rPr>
          <w:color w:val="000000"/>
        </w:rPr>
        <w:t>2.2.4.4. Fórmula 3 — Escenario de control inteligente con agente RL (F₂)</w:t>
      </w:r>
    </w:p>
    <w:p>
      <w:pPr/>
      <w:r>
        <w:t>El escenario F₂ incorpora el agente de aprendizaje por refuerzo profundo, que retrasa o adelanta la recarga de los vehículos eléctricos para aprovechar los excedentes de la generación fotovoltaica y la capacidad disponible del BESS. Al optimizar el despacho, el agente reduce la importación residual de red diésel y, por ende, las emisiones indirectas de CO₂:</w:t>
      </w:r>
    </w:p>
    <w:p>
      <w:pPr>
        <w:ind w:left="720"/>
        <w:jc w:val="left"/>
      </w:pPr>
      <w:r>
        <w:rPr>
          <w:rFonts w:ascii="Courier New" w:hAnsi="Courier New"/>
          <w:sz w:val="20"/>
        </w:rPr>
        <w:t>F₂ = E_red,RL × FE_red                                          [kg CO₂/año]</w:t>
      </w:r>
    </w:p>
    <w:p>
      <w:pPr>
        <w:ind w:left="720"/>
        <w:jc w:val="left"/>
      </w:pPr>
      <w:r>
        <w:rPr>
          <w:rFonts w:ascii="Courier New" w:hAnsi="Courier New"/>
          <w:sz w:val="20"/>
        </w:rPr>
        <w:t xml:space="preserve">  E_red,RL  = energía residual importada de la red con control RL activo (kWh/año)</w:t>
      </w:r>
    </w:p>
    <w:p>
      <w:pPr>
        <w:ind w:left="720"/>
        <w:jc w:val="left"/>
      </w:pPr>
      <w:r>
        <w:rPr>
          <w:rFonts w:ascii="Courier New" w:hAnsi="Courier New"/>
          <w:sz w:val="20"/>
        </w:rPr>
        <w:t xml:space="preserve">  FE_red    = 0.4521 kg CO₂/kWh</w:t>
      </w:r>
    </w:p>
    <w:p/>
    <w:p>
      <w:pPr/>
      <w:r>
        <w:t>La energía residual E_red,RL se obtiene del balance energético horario del sistema:</w:t>
      </w:r>
    </w:p>
    <w:p>
      <w:pPr>
        <w:ind w:left="720"/>
        <w:jc w:val="left"/>
      </w:pPr>
      <w:r>
        <w:rPr>
          <w:rFonts w:ascii="Courier New" w:hAnsi="Courier New"/>
          <w:sz w:val="20"/>
        </w:rPr>
        <w:t>E_red(t) = max{0, E_EV(t) + E_mall(t) − E_solar(t) − E_BESS,desc(t)}   [kWh/h]</w:t>
      </w:r>
    </w:p>
    <w:p>
      <w:pPr>
        <w:ind w:left="720"/>
        <w:jc w:val="left"/>
      </w:pPr>
      <w:r>
        <w:rPr>
          <w:rFonts w:ascii="Courier New" w:hAnsi="Courier New"/>
          <w:sz w:val="20"/>
        </w:rPr>
        <w:t xml:space="preserve">  E_solar(t)       = generación fotovoltaica neta en la hora t (kWh/h)</w:t>
      </w:r>
    </w:p>
    <w:p>
      <w:pPr>
        <w:ind w:left="720"/>
        <w:jc w:val="left"/>
      </w:pPr>
      <w:r>
        <w:rPr>
          <w:rFonts w:ascii="Courier New" w:hAnsi="Courier New"/>
          <w:sz w:val="20"/>
        </w:rPr>
        <w:t xml:space="preserve">  E_BESS,desc(t)   = energía descargada del BESS en la hora t (kWh/h)</w:t>
      </w:r>
    </w:p>
    <w:p>
      <w:pPr>
        <w:ind w:left="720"/>
        <w:jc w:val="left"/>
      </w:pPr>
      <w:r>
        <w:rPr>
          <w:rFonts w:ascii="Courier New" w:hAnsi="Courier New"/>
          <w:sz w:val="20"/>
        </w:rPr>
        <w:t xml:space="preserve">  E_EV(t)          = demanda de recarga total de motos y mototaxis (kWh/h)</w:t>
      </w:r>
    </w:p>
    <w:p>
      <w:pPr>
        <w:ind w:left="720"/>
        <w:jc w:val="left"/>
      </w:pPr>
      <w:r>
        <w:rPr>
          <w:rFonts w:ascii="Courier New" w:hAnsi="Courier New"/>
          <w:sz w:val="20"/>
        </w:rPr>
        <w:t xml:space="preserve">  E_mall(t)        = demanda del centro comercial en la hora t (kWh/h)</w:t>
      </w:r>
    </w:p>
    <w:p/>
    <w:p>
      <w:pPr>
        <w:ind w:left="720"/>
        <w:jc w:val="left"/>
      </w:pPr>
      <w:r>
        <w:rPr>
          <w:rFonts w:ascii="Courier New" w:hAnsi="Courier New"/>
          <w:sz w:val="20"/>
        </w:rPr>
        <w:t>F₂_SAC (ep 48) = 2 622 734 kg CO₂/año  ← mínimo alcanzado por el agente SAC</w:t>
      </w:r>
    </w:p>
    <w:p>
      <w:pPr>
        <w:ind w:left="720"/>
        <w:jc w:val="left"/>
      </w:pPr>
      <w:r>
        <w:rPr>
          <w:rFonts w:ascii="Courier New" w:hAnsi="Courier New"/>
          <w:sz w:val="20"/>
        </w:rPr>
        <w:t>F₂_PPO (ep 40) = 2 787 039 kg CO₂/año</w:t>
      </w:r>
    </w:p>
    <w:p>
      <w:pPr>
        <w:ind w:left="720"/>
        <w:jc w:val="left"/>
      </w:pPr>
      <w:r>
        <w:rPr>
          <w:rFonts w:ascii="Courier New" w:hAnsi="Courier New"/>
          <w:sz w:val="20"/>
        </w:rPr>
        <w:t>F₂_A2C (ep  3) = 2 834 857 kg CO₂/año</w:t>
      </w:r>
    </w:p>
    <w:p/>
    <w:p>
      <w:pPr>
        <w:pStyle w:val="Heading3"/>
      </w:pPr>
      <w:r>
        <w:rPr>
          <w:color w:val="000000"/>
        </w:rPr>
        <w:t>2.2.4.5. Indicadores de reducción de CO₂ derivados</w:t>
      </w:r>
    </w:p>
    <w:p>
      <w:pPr/>
      <w:r>
        <w:t>A partir de los tres escenarios de referencia se calculan los indicadores de reducción de CO₂ que evalúan la contribución cuantificable del sistema PVBESSCAR y del agente de IA (OE3). Estos indicadores se descomponen en tres componentes:</w:t>
      </w:r>
    </w:p>
    <w:p/>
    <w:p>
      <w:r>
        <w:rPr>
          <w:b/>
        </w:rPr>
        <w:t>a) Reducción indirecta de CO₂ (optimización del despacho solar + BESS):</w:t>
      </w:r>
    </w:p>
    <w:p>
      <w:pPr>
        <w:ind w:left="720"/>
        <w:jc w:val="left"/>
      </w:pPr>
      <w:r>
        <w:rPr>
          <w:rFonts w:ascii="Courier New" w:hAnsi="Courier New"/>
          <w:sz w:val="20"/>
        </w:rPr>
        <w:t>ΔCO₂_indirecto = F₁ − F₂                [kg CO₂/año]</w:t>
      </w:r>
    </w:p>
    <w:p>
      <w:pPr/>
      <w:r>
        <w:t>Representa la reducción de emisiones indirectas lograda por el agente RL al desplazar importaciones de red diésel con energía solar y/o BESS. Es el indicador principal del OE3.</w:t>
      </w:r>
    </w:p>
    <w:p/>
    <w:p>
      <w:r>
        <w:rPr>
          <w:b/>
        </w:rPr>
        <w:t>b) Reducción directa de CO₂ (combustible vehicular evitado):</w:t>
      </w:r>
    </w:p>
    <w:p>
      <w:pPr>
        <w:ind w:left="720"/>
        <w:jc w:val="left"/>
      </w:pPr>
      <w:r>
        <w:rPr>
          <w:rFonts w:ascii="Courier New" w:hAnsi="Courier New"/>
          <w:sz w:val="20"/>
        </w:rPr>
        <w:t>ΔCO₂_directo = Σ_h [E_EV(h) × (FE_equiv_ICE − FE_red)]         [kg CO₂/año]</w:t>
      </w:r>
    </w:p>
    <w:p>
      <w:pPr/>
      <w:r>
        <w:t>Representa las emisiones de combustible vehicular evitadas por la electrificación de la flota. FE_equiv_ICE es el factor de emisión equivalente de la demanda en combustible fósil proyectada hacia la red (2.146 kg CO₂/kWh para la mezcla motos/mototaxis de Iquitos, calibrado sobre chargers_timeseries.csv). Este componente no cambia entre agentes (la flota está fija), pero se registra para cuantificar el aporte total del proyecto.</w:t>
      </w:r>
    </w:p>
    <w:p/>
    <w:p>
      <w:r>
        <w:rPr>
          <w:b/>
        </w:rPr>
        <w:t>c) CO₂ total evitado por el sistema PVBESSCAR:</w:t>
      </w:r>
    </w:p>
    <w:p>
      <w:pPr>
        <w:ind w:left="720"/>
        <w:jc w:val="left"/>
      </w:pPr>
      <w:r>
        <w:rPr>
          <w:rFonts w:ascii="Courier New" w:hAnsi="Courier New"/>
          <w:sz w:val="20"/>
        </w:rPr>
        <w:t>CO₂_total_evitado = ΔCO₂_directo + ΔCO₂_indirecto              [kg CO₂/año]</w:t>
      </w:r>
    </w:p>
    <w:p>
      <w:pPr/>
      <w:r>
        <w:t>Es la métrica consolidada de la contribución ambiental del sistema PVBESSCAR. Para el agente SAC (episodio óptimo 48): CO₂_total_evitado = 328,736 + 3,223,883 = 3,552,619 kg CO₂/año, equivalente al 62.8 % de reducción respecto a F₀.</w:t>
      </w:r>
    </w:p>
    <w:p/>
    <w:p>
      <w:r>
        <w:rPr>
          <w:b/>
        </w:rPr>
        <w:t>d) Indicador de reducción porcentual respecto a F₀:</w:t>
      </w:r>
    </w:p>
    <w:p>
      <w:pPr>
        <w:ind w:left="720"/>
        <w:jc w:val="left"/>
      </w:pPr>
      <w:r>
        <w:rPr>
          <w:rFonts w:ascii="Courier New" w:hAnsi="Courier New"/>
          <w:sz w:val="20"/>
        </w:rPr>
        <w:t>Reducción (%) = (F₀ − F₂) / F₀ × 100                           [%]</w:t>
      </w:r>
    </w:p>
    <w:p>
      <w:pPr/>
      <w:r>
        <w:t>Este indicador expresa la eficiencia ambiental del sistema respecto al escenario sin intervención tecnológica. A mayor valor, mayor contribución cuantificable del agente RL al cumplimiento del OE3.</w:t>
      </w:r>
    </w:p>
    <w:p/>
    <w:p>
      <w:pPr>
        <w:pStyle w:val="Heading3"/>
      </w:pPr>
      <w:r>
        <w:rPr>
          <w:color w:val="000000"/>
        </w:rPr>
        <w:t>2.2.4.6. Dinámica del almacenamiento en baterías — State of Charge (SOC)</w:t>
      </w:r>
    </w:p>
    <w:p>
      <w:pPr/>
      <w:r>
        <w:t>El estado de carga del BESS (State of Charge, SOC) es una variable de estado fundamental del sistema, controlada de manera indirecta por el agente RL a través de las decisiones de recarga/descarga. Su dinámica sigue la ecuación de flujo de energía con eficiencias de carga y descarga diferenciadas:</w:t>
      </w:r>
    </w:p>
    <w:p>
      <w:pPr>
        <w:ind w:left="720"/>
        <w:jc w:val="left"/>
      </w:pPr>
      <w:r>
        <w:rPr>
          <w:rFonts w:ascii="Courier New" w:hAnsi="Courier New"/>
          <w:sz w:val="20"/>
        </w:rPr>
        <w:t>SOC(t+1) = SOC(t) + [E_c(t)·η_c − E_d(t)/η_d] / C_BESS        [p.u.]</w:t>
      </w:r>
    </w:p>
    <w:p>
      <w:pPr>
        <w:ind w:left="720"/>
        <w:jc w:val="left"/>
      </w:pPr>
      <w:r>
        <w:rPr>
          <w:rFonts w:ascii="Courier New" w:hAnsi="Courier New"/>
          <w:sz w:val="20"/>
        </w:rPr>
        <w:t xml:space="preserve">  SOC(t)     = estado de carga en la hora t (adimensional, 0–1)</w:t>
      </w:r>
    </w:p>
    <w:p>
      <w:pPr>
        <w:ind w:left="720"/>
        <w:jc w:val="left"/>
      </w:pPr>
      <w:r>
        <w:rPr>
          <w:rFonts w:ascii="Courier New" w:hAnsi="Courier New"/>
          <w:sz w:val="20"/>
        </w:rPr>
        <w:t xml:space="preserve">  E_c(t)     = energía cargada en el BESS en la hora t (kWh)</w:t>
      </w:r>
    </w:p>
    <w:p>
      <w:pPr>
        <w:ind w:left="720"/>
        <w:jc w:val="left"/>
      </w:pPr>
      <w:r>
        <w:rPr>
          <w:rFonts w:ascii="Courier New" w:hAnsi="Courier New"/>
          <w:sz w:val="20"/>
        </w:rPr>
        <w:t xml:space="preserve">  E_d(t)     = energía descargada del BESS en la hora t (kWh)</w:t>
      </w:r>
    </w:p>
    <w:p>
      <w:pPr>
        <w:ind w:left="720"/>
        <w:jc w:val="left"/>
      </w:pPr>
      <w:r>
        <w:rPr>
          <w:rFonts w:ascii="Courier New" w:hAnsi="Courier New"/>
          <w:sz w:val="20"/>
        </w:rPr>
        <w:t xml:space="preserve">  η_c        = eficiencia de carga = 0.95 (BESS v5.7)</w:t>
      </w:r>
    </w:p>
    <w:p>
      <w:pPr>
        <w:ind w:left="720"/>
        <w:jc w:val="left"/>
      </w:pPr>
      <w:r>
        <w:rPr>
          <w:rFonts w:ascii="Courier New" w:hAnsi="Courier New"/>
          <w:sz w:val="20"/>
        </w:rPr>
        <w:t xml:space="preserve">  η_d        = eficiencia de descarga = 0.95 (BESS v5.7)</w:t>
      </w:r>
    </w:p>
    <w:p>
      <w:pPr>
        <w:ind w:left="720"/>
        <w:jc w:val="left"/>
      </w:pPr>
      <w:r>
        <w:rPr>
          <w:rFonts w:ascii="Courier New" w:hAnsi="Courier New"/>
          <w:sz w:val="20"/>
        </w:rPr>
        <w:t xml:space="preserve">  C_BESS     = capacidad nominal del BESS = 2,000 kWh</w:t>
      </w:r>
    </w:p>
    <w:p/>
    <w:p>
      <w:pPr>
        <w:ind w:left="720"/>
        <w:jc w:val="left"/>
      </w:pPr>
      <w:r>
        <w:rPr>
          <w:rFonts w:ascii="Courier New" w:hAnsi="Courier New"/>
          <w:sz w:val="20"/>
        </w:rPr>
        <w:t>con las restricciones operativas:   SOC_min ≤ SOC(t) ≤ SOC_max</w:t>
      </w:r>
    </w:p>
    <w:p>
      <w:pPr>
        <w:ind w:left="720"/>
        <w:jc w:val="left"/>
      </w:pPr>
      <w:r>
        <w:rPr>
          <w:rFonts w:ascii="Courier New" w:hAnsi="Courier New"/>
          <w:sz w:val="20"/>
        </w:rPr>
        <w:t xml:space="preserve">  SOC_min = 0.20  (profundidad de descarga DoD = 80 %, protección de ciclos)</w:t>
        <w:br/>
        <w:t xml:space="preserve">  SOC_max = 1.00  (carga máxima)</w:t>
      </w:r>
    </w:p>
    <w:p>
      <w:pPr/>
      <w:r>
        <w:t>La restricción SOC_min = 0.20 (equivalente a 400 kWh mínimos) preserva la vida útil del BESS y garantiza disponibilidad ante contingencias. El agente RL aprende a mantener el SOC dentro de este rango mientras maximiza el autoconsumo solar y minimiza las importaciones de red.</w:t>
      </w:r>
    </w:p>
    <w:p/>
    <w:p>
      <w:pPr>
        <w:pStyle w:val="Heading3"/>
      </w:pPr>
      <w:r>
        <w:rPr>
          <w:color w:val="000000"/>
        </w:rPr>
        <w:t>2.2.4.7. Función de recompensa multiobjetivo del agente de IA (R(t))</w:t>
      </w:r>
    </w:p>
    <w:p>
      <w:pPr/>
      <w:r>
        <w:t>La función de recompensa del agente de aprendizaje por refuerzo traduce el objetivo de reducción de CO₂ en una señal escalar que el agente optimiza en cada paso de tiempo t del episodio de entrenamiento. La formulación adoptada es multiobjetivo ponderada (CO2_DUAL_FOCUS v7.0, 2026-04-06), con pesos alineados directamente al OE3:</w:t>
      </w:r>
    </w:p>
    <w:p>
      <w:pPr>
        <w:ind w:left="720"/>
        <w:jc w:val="left"/>
      </w:pPr>
      <w:r>
        <w:rPr>
          <w:rFonts w:ascii="Courier New" w:hAnsi="Courier New"/>
          <w:sz w:val="20"/>
        </w:rPr>
        <w:t>R(t) = w₁·r_CO₂ᵈⁱʳ(t) + w₂·r_CO₂ⁱⁿᵈ(t) + w₃·r_EV(t) + w₄·r_solar(t) + w₅·r_red(t)</w:t>
      </w:r>
    </w:p>
    <w:p>
      <w:pPr>
        <w:ind w:left="720"/>
        <w:jc w:val="left"/>
      </w:pPr>
      <w:r>
        <w:rPr>
          <w:rFonts w:ascii="Courier New" w:hAnsi="Courier New"/>
          <w:sz w:val="20"/>
        </w:rPr>
        <w:t xml:space="preserve">  w₁ = 0.35  →  r_CO₂ᵈⁱʳ :  minimización directa CO₂ (combustible vehicular evitado)</w:t>
      </w:r>
    </w:p>
    <w:p>
      <w:pPr>
        <w:ind w:left="720"/>
        <w:jc w:val="left"/>
      </w:pPr>
      <w:r>
        <w:rPr>
          <w:rFonts w:ascii="Courier New" w:hAnsi="Courier New"/>
          <w:sz w:val="20"/>
        </w:rPr>
        <w:t xml:space="preserve">  w₂ = 0.30  →  r_CO₂ⁱⁿᵈ :  minimización indirecta CO₂ (importación red diésel)</w:t>
      </w:r>
    </w:p>
    <w:p>
      <w:pPr>
        <w:ind w:left="720"/>
        <w:jc w:val="left"/>
      </w:pPr>
      <w:r>
        <w:rPr>
          <w:rFonts w:ascii="Courier New" w:hAnsi="Courier New"/>
          <w:sz w:val="20"/>
        </w:rPr>
        <w:t xml:space="preserve">  w₃ = 0.25  →  r_EV      :  satisfacción de recarga EV (deuda energética ← 0)</w:t>
      </w:r>
    </w:p>
    <w:p>
      <w:pPr>
        <w:ind w:left="720"/>
        <w:jc w:val="left"/>
      </w:pPr>
      <w:r>
        <w:rPr>
          <w:rFonts w:ascii="Courier New" w:hAnsi="Courier New"/>
          <w:sz w:val="20"/>
        </w:rPr>
        <w:t xml:space="preserve">  w₄ = 0.05  →  r_solar   :  autoconsumo solar (maximizar PV directo a EV/BESS)</w:t>
      </w:r>
    </w:p>
    <w:p>
      <w:pPr>
        <w:ind w:left="720"/>
        <w:jc w:val="left"/>
      </w:pPr>
      <w:r>
        <w:rPr>
          <w:rFonts w:ascii="Courier New" w:hAnsi="Courier New"/>
          <w:sz w:val="20"/>
        </w:rPr>
        <w:t xml:space="preserve">  w₅ = 0.05  →  r_red     :  estabilidad de red (suavizar picos de potencia)</w:t>
      </w:r>
    </w:p>
    <w:p>
      <w:pPr>
        <w:ind w:left="720"/>
        <w:jc w:val="left"/>
      </w:pPr>
      <w:r>
        <w:rPr>
          <w:rFonts w:ascii="Courier New" w:hAnsi="Courier New"/>
          <w:sz w:val="20"/>
        </w:rPr>
        <w:t xml:space="preserve">               ──────</w:t>
      </w:r>
    </w:p>
    <w:p>
      <w:pPr>
        <w:ind w:left="720"/>
        <w:jc w:val="left"/>
      </w:pPr>
      <w:r>
        <w:rPr>
          <w:rFonts w:ascii="Courier New" w:hAnsi="Courier New"/>
          <w:sz w:val="20"/>
        </w:rPr>
        <w:t xml:space="preserve">  Σ wᵢ = 1.00</w:t>
      </w:r>
    </w:p>
    <w:p/>
    <w:p>
      <w:pPr/>
      <w:r>
        <w:t>Para mejorar la convergencia en espacios de acción continuos de alta dimensión (38 tomas de carga + 1 BESS = 39 acciones simultáneas), se aplica un blending adicional con una métrica de satisfacción basada en energía (Liu et al., 2022):</w:t>
      </w:r>
    </w:p>
    <w:p>
      <w:pPr>
        <w:ind w:left="720"/>
        <w:jc w:val="left"/>
      </w:pPr>
      <w:r>
        <w:rPr>
          <w:rFonts w:ascii="Courier New" w:hAnsi="Courier New"/>
          <w:sz w:val="20"/>
        </w:rPr>
        <w:t>R_final(t) = 0.65 × R(t) + 0.35 × r_EV,energy(t)</w:t>
      </w:r>
    </w:p>
    <w:p>
      <w:pPr>
        <w:ind w:left="720"/>
        <w:jc w:val="left"/>
      </w:pPr>
      <w:r>
        <w:rPr>
          <w:rFonts w:ascii="Courier New" w:hAnsi="Courier New"/>
          <w:sz w:val="20"/>
        </w:rPr>
        <w:t>r_EV,energy(t) = 2·tanh(E_EV_cargada(t) / E_EV_demandada(t)) − 1  ∈ [−1, +1]</w:t>
      </w:r>
    </w:p>
    <w:p>
      <w:pPr/>
      <w:r>
        <w:t>Este diseño garantiza que el agente priorice la cobertura de la demanda EV (evitar violaciones de deuda energética) mientras optimiza simultáneamente el perfil de emisiones CO₂. La función es implementada en src/dataset_builder_citylearn/rewards.py (clase MultiObjectiveWeights, versión CO2_DUAL_FOCUS).</w:t>
      </w:r>
    </w:p>
    <w:p/>
    <w:p>
      <w:r>
        <w:rPr>
          <w:b/>
          <w:i/>
        </w:rPr>
        <w:t>Nota metodológica (GHG Protocol — Alcances de emisiones):</w:t>
      </w:r>
    </w:p>
    <w:p>
      <w:pPr/>
      <w:r>
        <w:t>Nota metodológica: La clasificación de emisiones sigue el alcance del GHG Protocol (Scope 1: emisiones directas de combustión; Scope 2: emisiones indirectas de energía eléctrica comprada). En el escenario F₁ y F₂, todas las emisiones son Scope 2 (importación de red diésel). La reducción ΔCO₂_directo corresponde al desplazamiento de Scope 1 vehicular. La reducción ΔCO₂_indirecto corresponde al desplazamiento de Scope 2 vía despacho solar+BESS.</w:t>
      </w:r>
    </w:p>
    <w:p/>
    <w:p>
      <w:pPr/>
      <w:r>
        <w:t>El conjunto de fórmulas presentado en esta sección define el marco matemático completo utilizado en la fase de entrenamiento OE3. Los valores numéricos de F₀, F₁ y F₂ —derivados de las fórmulas anteriores sobre datos reales de Iquitos— constituyen la evidencia empírica que sustenta la hipótesis de investigación: la integración de un agente de aprendizaje por refuerzo profundo en la gestión del sistema de carga PVBESSCAR produce una reducción cuantificable y estadísticamente significativa de las emisiones de CO₂ en la ciudad de Iquitos, Perú.</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