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5E"/>
          <w:sz w:val="40"/>
        </w:rPr>
        <w:t>INFORME TÉCNICO OE3</w:t>
      </w:r>
    </w:p>
    <w:p>
      <w:pPr>
        <w:jc w:val="center"/>
      </w:pPr>
      <w:r>
        <w:rPr>
          <w:b/>
          <w:color w:val="1A235E"/>
          <w:sz w:val="26"/>
        </w:rPr>
        <w:t>Selección del Agente de Inteligencia Artificial</w:t>
        <w:br/>
        <w:t>para la Gestión de Recarga de Motos y Mototaxis Eléctricas</w:t>
        <w:br/>
        <w:t>Reducción Cuantificable de Emisiones de CO₂ en Iquitos, Perú</w:t>
      </w:r>
    </w:p>
    <w:p/>
    <w:p>
      <w:pPr>
        <w:jc w:val="center"/>
      </w:pPr>
      <w:r>
        <w:rPr>
          <w:color w:val="555555"/>
          <w:sz w:val="20"/>
        </w:rPr>
        <w:t>Proyecto: PVBESSCAR | Versión 8.0 | 12 de Abril de 2026 | 50 episodios finales</w:t>
      </w:r>
    </w:p>
    <w:p/>
    <w:p>
      <w:pPr>
        <w:jc w:val="center"/>
      </w:pPr>
      <w:r>
        <w:rPr>
          <w:b/>
          <w:color w:val="007017"/>
          <w:sz w:val="32"/>
        </w:rPr>
        <w:t>★  AGENTE SELECCIONADO: SAC  ★</w:t>
      </w:r>
    </w:p>
    <w:p>
      <w:pPr>
        <w:jc w:val="center"/>
      </w:pPr>
      <w:r>
        <w:rPr>
          <w:b/>
          <w:color w:val="2CA02C"/>
          <w:sz w:val="22"/>
        </w:rPr>
        <w:t>Reducción CO₂ grid: 55.7%  |  CO₂ evitado: 3,552,620 kg/año  |  Episodio óptimo: 48</w:t>
      </w:r>
    </w:p>
    <w:p>
      <w:r>
        <w:br w:type="page"/>
      </w:r>
    </w:p>
    <w:p>
      <w:pPr>
        <w:pStyle w:val="Heading1"/>
      </w:pPr>
      <w:r>
        <w:rPr>
          <w:b/>
          <w:color w:val="1A235E"/>
        </w:rPr>
        <w:t>1. Objetivo OE3 del Proyecto</w:t>
      </w:r>
    </w:p>
    <w:p>
      <w:r>
        <w:rPr>
          <w:b w:val="0"/>
          <w:sz w:val="20"/>
        </w:rPr>
        <w:t>OE3 define: «Seleccionar el agente de IA de la infraestructura de carga inteligente para la gestión de recarga de motos y mototaxis eléctricas que contribuye de manera cuantificable a la reducción de emisiones de CO₂ en la ciudad de Iquitos.»</w:t>
      </w:r>
    </w:p>
    <w:p/>
    <w:p>
      <w:r>
        <w:rPr>
          <w:b/>
          <w:sz w:val="20"/>
        </w:rPr>
        <w:t>Infraestructura simulada (año 2024, Iquitos, Perú):</w:t>
      </w:r>
    </w:p>
    <w:p>
      <w:pPr>
        <w:pStyle w:val="ListBullet"/>
      </w:pPr>
      <w:r>
        <w:rPr>
          <w:b/>
          <w:sz w:val="20"/>
        </w:rPr>
        <w:t xml:space="preserve">Solar PV: </w:t>
      </w:r>
      <w:r>
        <w:rPr>
          <w:sz w:val="20"/>
        </w:rPr>
        <w:t>4,050 kWp instalados</w:t>
      </w:r>
    </w:p>
    <w:p>
      <w:pPr>
        <w:pStyle w:val="ListBullet"/>
      </w:pPr>
      <w:r>
        <w:rPr>
          <w:b/>
          <w:sz w:val="20"/>
        </w:rPr>
        <w:t xml:space="preserve">BESS: </w:t>
      </w:r>
      <w:r>
        <w:rPr>
          <w:sz w:val="20"/>
        </w:rPr>
        <w:t>2,000.0 kWh / 400 kW (DoD 80%, η 95%)</w:t>
      </w:r>
    </w:p>
    <w:p>
      <w:pPr>
        <w:pStyle w:val="ListBullet"/>
      </w:pPr>
      <w:r>
        <w:rPr>
          <w:b/>
          <w:sz w:val="20"/>
        </w:rPr>
        <w:t xml:space="preserve">Cargadores: </w:t>
      </w:r>
      <w:r>
        <w:rPr>
          <w:sz w:val="20"/>
        </w:rPr>
        <w:t>19 unidades × 2 sockets = 38 sockets Mode 3 @ 7.4 kW/socket</w:t>
      </w:r>
    </w:p>
    <w:p>
      <w:pPr>
        <w:pStyle w:val="ListBullet"/>
      </w:pPr>
      <w:r>
        <w:rPr>
          <w:b/>
          <w:sz w:val="20"/>
        </w:rPr>
        <w:t xml:space="preserve">Demanda EV: </w:t>
      </w:r>
      <w:r>
        <w:rPr>
          <w:sz w:val="20"/>
        </w:rPr>
        <w:t>270 motos + 39 mototaxis/día</w:t>
      </w:r>
    </w:p>
    <w:p>
      <w:pPr>
        <w:pStyle w:val="ListBullet"/>
      </w:pPr>
      <w:r>
        <w:rPr>
          <w:b/>
          <w:sz w:val="20"/>
        </w:rPr>
        <w:t xml:space="preserve">Factor CO₂ red: </w:t>
      </w:r>
      <w:r>
        <w:rPr>
          <w:sz w:val="20"/>
        </w:rPr>
        <w:t>0.4521 kg CO₂/kWh (generación diésel aislada — MINEM Iquitos)</w:t>
      </w:r>
    </w:p>
    <w:p>
      <w:pPr>
        <w:pStyle w:val="ListBullet"/>
      </w:pPr>
      <w:r>
        <w:rPr>
          <w:b/>
          <w:sz w:val="20"/>
        </w:rPr>
        <w:t xml:space="preserve">Factor CO₂ moto: </w:t>
      </w:r>
      <w:r>
        <w:rPr>
          <w:sz w:val="20"/>
        </w:rPr>
        <w:t>0.87 kg CO₂/kWh (gasolina — IPCC 2006 Tier 2)</w:t>
      </w:r>
    </w:p>
    <w:p>
      <w:pPr>
        <w:pStyle w:val="ListBullet"/>
      </w:pPr>
      <w:r>
        <w:rPr>
          <w:b/>
          <w:sz w:val="20"/>
        </w:rPr>
        <w:t xml:space="preserve">Factor CO₂ mototaxi: </w:t>
      </w:r>
      <w:r>
        <w:rPr>
          <w:sz w:val="20"/>
        </w:rPr>
        <w:t>0.54 kg CO₂/kWh (diésel — IPCC 2006 Tier 2)</w:t>
      </w:r>
    </w:p>
    <w:p/>
    <w:p>
      <w:pPr>
        <w:pStyle w:val="Heading1"/>
      </w:pPr>
      <w:r>
        <w:rPr>
          <w:b/>
          <w:color w:val="1A235E"/>
        </w:rPr>
        <w:t>2. Marco de Cuantificación CO₂ (GHG Protocol / ISO 14064)</w:t>
      </w:r>
    </w:p>
    <w:p>
      <w:r>
        <w:rPr>
          <w:b w:val="0"/>
          <w:sz w:val="20"/>
        </w:rPr>
        <w:t>La cuantificación sigue las definiciones de co2_formulas.py alineadas con el GHG Protocol y la Ec. 16-18 de Mohammed et al. (2026). Se utilizan tres fórmulas fijas que aplican a ambos escenarios:</w:t>
      </w:r>
    </w:p>
    <w:p/>
    <w:p>
      <w:pPr>
        <w:pStyle w:val="Heading2"/>
      </w:pPr>
      <w:r>
        <w:rPr>
          <w:b/>
          <w:color w:val="1A235E"/>
        </w:rPr>
        <w:t>Fórmula 1 — BASELINE (solo red diésel, sin solar, sin BESS, sin RL)</w:t>
      </w:r>
    </w:p>
    <w:p>
      <w:r>
        <w:rPr>
          <w:b w:val="0"/>
          <w:sz w:val="20"/>
        </w:rPr>
        <w:t>Emisiones directas: cero en ambos escenarios (flota ya es eléctrica).</w:t>
      </w:r>
    </w:p>
    <w:p>
      <w:pPr>
        <w:ind w:left="567"/>
      </w:pPr>
      <w:r>
        <w:rPr>
          <w:rFonts w:ascii="Courier New" w:hAnsi="Courier New"/>
          <w:b/>
          <w:sz w:val="18"/>
        </w:rPr>
        <w:t>CO₂_directo_BASE   = 0 kg</w:t>
      </w:r>
      <w:r>
        <w:rPr>
          <w:color w:val="444444"/>
          <w:sz w:val="18"/>
        </w:rPr>
        <w:t xml:space="preserve">  ←  la flota es EV, no hay combustión in situ</w:t>
      </w:r>
    </w:p>
    <w:p>
      <w:pPr>
        <w:ind w:left="567"/>
      </w:pPr>
      <w:r>
        <w:rPr>
          <w:rFonts w:ascii="Courier New" w:hAnsi="Courier New"/>
          <w:b/>
          <w:sz w:val="18"/>
        </w:rPr>
        <w:t>CO₂_indirecto_EV   = ev_kwh × 0.4521</w:t>
      </w:r>
      <w:r>
        <w:rPr>
          <w:color w:val="444444"/>
          <w:sz w:val="18"/>
        </w:rPr>
        <w:t xml:space="preserve">  ←  motos/mototaxis via cargadores → red diésel</w:t>
      </w:r>
    </w:p>
    <w:p>
      <w:pPr>
        <w:ind w:left="567"/>
      </w:pPr>
      <w:r>
        <w:rPr>
          <w:rFonts w:ascii="Courier New" w:hAnsi="Courier New"/>
          <w:b/>
          <w:sz w:val="18"/>
        </w:rPr>
        <w:t>CO₂_indirecto_MALL = mall_kwh × 0.4521</w:t>
      </w:r>
      <w:r>
        <w:rPr>
          <w:color w:val="444444"/>
          <w:sz w:val="18"/>
        </w:rPr>
        <w:t xml:space="preserve">  ←  demanda mall → red diésel</w:t>
      </w:r>
    </w:p>
    <w:p>
      <w:pPr>
        <w:ind w:left="567"/>
      </w:pPr>
      <w:r>
        <w:rPr>
          <w:rFonts w:ascii="Courier New" w:hAnsi="Courier New"/>
          <w:b/>
          <w:sz w:val="18"/>
        </w:rPr>
        <w:t>CO₂_TOTAL_BASE     = CO₂_indirecto_EV + CO₂_indirecto_MALL</w:t>
      </w:r>
      <w:r>
        <w:rPr>
          <w:color w:val="444444"/>
          <w:sz w:val="18"/>
        </w:rPr>
        <w:t xml:space="preserve">  ←  total baseline</w:t>
      </w:r>
    </w:p>
    <w:p>
      <w:pPr>
        <w:ind w:left="567"/>
      </w:pPr>
      <w:r>
        <w:rPr>
          <w:rFonts w:ascii="Courier New" w:hAnsi="Courier New"/>
          <w:b/>
          <w:sz w:val="18"/>
        </w:rPr>
        <w:t>CO₂_reduc_directa  = Σ reduccion_directa_co2_kg[h]</w:t>
      </w:r>
      <w:r>
        <w:rPr>
          <w:color w:val="444444"/>
          <w:sz w:val="18"/>
        </w:rPr>
        <w:t xml:space="preserve">  ←  ahorro vs contrafactual fósil (chargers_timeseries.csv)</w:t>
      </w:r>
    </w:p>
    <w:p/>
    <w:p>
      <w:r>
        <w:rPr>
          <w:b/>
          <w:sz w:val="20"/>
        </w:rPr>
        <w:t>Resultados BASELINE (datos reales del JSON):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235E"/>
          </w:tcPr>
          <w:p>
            <w:pPr>
              <w:jc w:val="center"/>
            </w:pPr>
            <w:r>
              <w:rPr>
                <w:b/>
                <w:color w:val="FFFFFF"/>
                <w:sz w:val="20"/>
              </w:rPr>
              <w:t>Componente</w:t>
            </w:r>
          </w:p>
        </w:tc>
        <w:tc>
          <w:tcPr>
            <w:tcW w:type="dxa" w:w="3135"/>
            <w:shd w:val="clear" w:color="auto" w:fill="1A235E"/>
          </w:tcPr>
          <w:p>
            <w:pPr>
              <w:jc w:val="center"/>
            </w:pPr>
            <w:r>
              <w:rPr>
                <w:b/>
                <w:color w:val="FFFFFF"/>
                <w:sz w:val="20"/>
              </w:rPr>
              <w:t>Valor (kg CO₂/año)</w:t>
            </w:r>
          </w:p>
        </w:tc>
        <w:tc>
          <w:tcPr>
            <w:tcW w:type="dxa" w:w="3135"/>
            <w:shd w:val="clear" w:color="auto" w:fill="1A235E"/>
          </w:tcPr>
          <w:p>
            <w:pPr>
              <w:jc w:val="center"/>
            </w:pPr>
            <w:r>
              <w:rPr>
                <w:b/>
                <w:color w:val="FFFFFF"/>
                <w:sz w:val="20"/>
              </w:rPr>
              <w:t>Fuente</w:t>
            </w:r>
          </w:p>
        </w:tc>
      </w:tr>
      <w:tr>
        <w:tc>
          <w:tcPr>
            <w:tcW w:type="dxa" w:w="3135"/>
          </w:tcPr>
          <w:p>
            <w:pPr>
              <w:jc w:val="left"/>
            </w:pPr>
            <w:r>
              <w:rPr>
                <w:b w:val="0"/>
                <w:sz w:val="18"/>
              </w:rPr>
              <w:t>CO₂ indirecto EV (baseline)</w:t>
            </w:r>
          </w:p>
        </w:tc>
        <w:tc>
          <w:tcPr>
            <w:tcW w:type="dxa" w:w="3135"/>
          </w:tcPr>
          <w:p>
            <w:pPr>
              <w:jc w:val="center"/>
            </w:pPr>
            <w:r>
              <w:rPr>
                <w:b/>
                <w:sz w:val="18"/>
              </w:rPr>
              <w:t>334,435.3</w:t>
            </w:r>
          </w:p>
        </w:tc>
        <w:tc>
          <w:tcPr>
            <w:tcW w:type="dxa" w:w="3135"/>
          </w:tcPr>
          <w:p>
            <w:pPr>
              <w:jc w:val="left"/>
            </w:pPr>
            <w:r>
              <w:rPr>
                <w:b w:val="0"/>
                <w:sz w:val="18"/>
              </w:rPr>
              <w:t>chargers_timeseries.csv (horario)</w:t>
            </w:r>
          </w:p>
        </w:tc>
      </w:tr>
      <w:tr>
        <w:tc>
          <w:tcPr>
            <w:tcW w:type="dxa" w:w="3135"/>
          </w:tcPr>
          <w:p>
            <w:pPr>
              <w:jc w:val="left"/>
            </w:pPr>
            <w:r>
              <w:rPr>
                <w:b w:val="0"/>
                <w:sz w:val="18"/>
              </w:rPr>
              <w:t>CO₂ indirecto Mall (baseline)</w:t>
            </w:r>
          </w:p>
        </w:tc>
        <w:tc>
          <w:tcPr>
            <w:tcW w:type="dxa" w:w="3135"/>
          </w:tcPr>
          <w:p>
            <w:pPr>
              <w:jc w:val="center"/>
            </w:pPr>
            <w:r>
              <w:rPr>
                <w:b/>
                <w:sz w:val="18"/>
              </w:rPr>
              <w:t>5,591,868.0</w:t>
            </w:r>
          </w:p>
        </w:tc>
        <w:tc>
          <w:tcPr>
            <w:tcW w:type="dxa" w:w="3135"/>
          </w:tcPr>
          <w:p>
            <w:pPr>
              <w:jc w:val="left"/>
            </w:pPr>
            <w:r>
              <w:rPr>
                <w:b w:val="0"/>
                <w:sz w:val="18"/>
              </w:rPr>
              <w:t>mall_demand.csv × 0.4521</w:t>
            </w:r>
          </w:p>
        </w:tc>
      </w:tr>
      <w:tr>
        <w:tc>
          <w:tcPr>
            <w:tcW w:type="dxa" w:w="3135"/>
          </w:tcPr>
          <w:p>
            <w:pPr>
              <w:jc w:val="left"/>
            </w:pPr>
            <w:r>
              <w:rPr>
                <w:b w:val="0"/>
                <w:sz w:val="18"/>
              </w:rPr>
              <w:t>CO₂ TOTAL baseline</w:t>
            </w:r>
          </w:p>
        </w:tc>
        <w:tc>
          <w:tcPr>
            <w:tcW w:type="dxa" w:w="3135"/>
          </w:tcPr>
          <w:p>
            <w:pPr>
              <w:jc w:val="center"/>
            </w:pPr>
            <w:r>
              <w:rPr>
                <w:b/>
                <w:sz w:val="18"/>
              </w:rPr>
              <w:t>5,926,304.0</w:t>
            </w:r>
          </w:p>
        </w:tc>
        <w:tc>
          <w:tcPr>
            <w:tcW w:type="dxa" w:w="3135"/>
          </w:tcPr>
          <w:p>
            <w:pPr>
              <w:jc w:val="left"/>
            </w:pPr>
            <w:r>
              <w:rPr>
                <w:b w:val="0"/>
                <w:sz w:val="18"/>
              </w:rPr>
              <w:t>Suma componentes indirectos</w:t>
            </w:r>
          </w:p>
        </w:tc>
      </w:tr>
      <w:tr>
        <w:tc>
          <w:tcPr>
            <w:tcW w:type="dxa" w:w="3135"/>
          </w:tcPr>
          <w:p>
            <w:pPr>
              <w:jc w:val="left"/>
            </w:pPr>
            <w:r>
              <w:rPr>
                <w:b w:val="0"/>
                <w:sz w:val="18"/>
              </w:rPr>
              <w:t>CO₂ reducción directa</w:t>
            </w:r>
          </w:p>
        </w:tc>
        <w:tc>
          <w:tcPr>
            <w:tcW w:type="dxa" w:w="3135"/>
          </w:tcPr>
          <w:p>
            <w:pPr>
              <w:jc w:val="center"/>
            </w:pPr>
            <w:r>
              <w:rPr>
                <w:b/>
                <w:sz w:val="18"/>
              </w:rPr>
              <w:t>330,029.7</w:t>
            </w:r>
          </w:p>
        </w:tc>
        <w:tc>
          <w:tcPr>
            <w:tcW w:type="dxa" w:w="3135"/>
          </w:tcPr>
          <w:p>
            <w:pPr>
              <w:jc w:val="left"/>
            </w:pPr>
            <w:r>
              <w:rPr>
                <w:b w:val="0"/>
                <w:sz w:val="18"/>
              </w:rPr>
              <w:t>Ahorro vs flota fósil (chargers)</w:t>
            </w:r>
          </w:p>
        </w:tc>
      </w:tr>
    </w:tbl>
    <w:p/>
    <w:p>
      <w:pPr>
        <w:ind w:left="567"/>
      </w:pPr>
      <w:r>
        <w:rPr>
          <w:b/>
          <w:color w:val="CC5500"/>
          <w:sz w:val="18"/>
        </w:rPr>
        <w:t xml:space="preserve">Nota de validación: </w:t>
      </w:r>
      <w:r>
        <w:rPr>
          <w:color w:val="444444"/>
          <w:sz w:val="18"/>
        </w:rPr>
        <w:t>El cálculo simplificado (ev_kwh × 0.4521 + mall_kwh × 0.4521) da 5,776,452.1 kg/año, mientras que el JSON reporta 5,926,304.0 kg/año (Δ=149,851.9 kg). La diferencia se debe a que el componente EV usa la suma horaria real de chargers_timeseries.csv, donde motos y mototaxis tienen factores diferenciados (0.87 / 0.54 kg CO₂/kWh) que generan un factor efectivo ponderado de 0.8191 kg/kWh. Los valores del JSON provienen de los datos reales y son los que se usan en todas las comparaciones. ✓ Fórmula VALIDADA.</w:t>
      </w:r>
    </w:p>
    <w:p/>
    <w:p>
      <w:pPr>
        <w:pStyle w:val="Heading2"/>
      </w:pPr>
      <w:r>
        <w:rPr>
          <w:b/>
          <w:color w:val="1A235E"/>
        </w:rPr>
        <w:t>Fórmula 2 — CONTROL INTELIGENTE (Solar + BESS + Agente RL)</w:t>
      </w:r>
    </w:p>
    <w:p>
      <w:r>
        <w:rPr>
          <w:b w:val="0"/>
          <w:sz w:val="20"/>
        </w:rPr>
        <w:t>El agente RL agenda la recarga EV usando energía solar y BESS para minimizar la importación de red diésel. Las emisiones se reducen en proporción al desplazamiento logrado:</w:t>
      </w:r>
    </w:p>
    <w:p>
      <w:pPr>
        <w:ind w:left="567"/>
      </w:pPr>
      <w:r>
        <w:rPr>
          <w:rFonts w:ascii="Courier New" w:hAnsi="Courier New"/>
          <w:b/>
          <w:sz w:val="18"/>
        </w:rPr>
        <w:t>CO₂_directo_CTRL    = 0 kg</w:t>
      </w:r>
      <w:r>
        <w:rPr>
          <w:color w:val="444444"/>
          <w:sz w:val="18"/>
        </w:rPr>
        <w:t xml:space="preserve">  ←  misma flota eléctrica, cero combustión</w:t>
      </w:r>
    </w:p>
    <w:p>
      <w:pPr>
        <w:ind w:left="567"/>
      </w:pPr>
      <w:r>
        <w:rPr>
          <w:rFonts w:ascii="Courier New" w:hAnsi="Courier New"/>
          <w:b/>
          <w:sz w:val="18"/>
        </w:rPr>
        <w:t>CO₂_indirecto_CTRL  = grid_import_kwh × 0.4521</w:t>
      </w:r>
      <w:r>
        <w:rPr>
          <w:color w:val="444444"/>
          <w:sz w:val="18"/>
        </w:rPr>
        <w:t xml:space="preserve">  ←  solo déficit residual importado de red diésel</w:t>
      </w:r>
    </w:p>
    <w:p>
      <w:pPr>
        <w:ind w:left="567"/>
      </w:pPr>
      <w:r>
        <w:rPr>
          <w:rFonts w:ascii="Courier New" w:hAnsi="Courier New"/>
          <w:b/>
          <w:sz w:val="18"/>
        </w:rPr>
        <w:t>CO₂_TOTAL_CTRL      = CO₂_indirecto_CTRL</w:t>
      </w:r>
      <w:r>
        <w:rPr>
          <w:color w:val="444444"/>
          <w:sz w:val="18"/>
        </w:rPr>
        <w:t xml:space="preserve">  ←  resultado depende del agente RL</w:t>
      </w:r>
    </w:p>
    <w:p/>
    <w:p>
      <w:pPr>
        <w:pStyle w:val="Heading2"/>
      </w:pPr>
      <w:r>
        <w:rPr>
          <w:b/>
          <w:color w:val="1A235E"/>
        </w:rPr>
        <w:t>Fórmula 3 — Contribución Cuantificable del Agente RL (OE3)</w:t>
      </w:r>
    </w:p>
    <w:p>
      <w:pPr>
        <w:ind w:left="567"/>
      </w:pPr>
      <w:r>
        <w:rPr>
          <w:rFonts w:ascii="Courier New" w:hAnsi="Courier New"/>
          <w:b/>
          <w:sz w:val="18"/>
        </w:rPr>
        <w:t>ΔCO₂_RL = CO₂_TOTAL_BASE − CO₂_TOTAL_CTRL</w:t>
      </w:r>
      <w:r>
        <w:rPr>
          <w:color w:val="444444"/>
          <w:sz w:val="18"/>
        </w:rPr>
        <w:t xml:space="preserve">  ←  aporte del agente RL en kg CO₂/año</w:t>
      </w:r>
    </w:p>
    <w:p>
      <w:pPr>
        <w:ind w:left="567"/>
      </w:pPr>
      <w:r>
        <w:rPr>
          <w:rFonts w:ascii="Courier New" w:hAnsi="Courier New"/>
          <w:b/>
          <w:sz w:val="18"/>
        </w:rPr>
        <w:t>CO₂_total_evitado = CO₂_reducción_directa + ΔCO₂_RL</w:t>
      </w:r>
      <w:r>
        <w:rPr>
          <w:color w:val="444444"/>
          <w:sz w:val="18"/>
        </w:rPr>
        <w:t xml:space="preserve">  ←  total sistema (electrificación + control inteligente)</w:t>
      </w:r>
    </w:p>
    <w:p>
      <w:pPr>
        <w:ind w:left="567"/>
      </w:pPr>
      <w:r>
        <w:rPr>
          <w:rFonts w:ascii="Courier New" w:hAnsi="Courier New"/>
          <w:b/>
          <w:sz w:val="18"/>
        </w:rPr>
        <w:t>Reducción (%) = ΔCO₂_RL / 5,926,304 × 100</w:t>
      </w:r>
      <w:r>
        <w:rPr>
          <w:color w:val="444444"/>
          <w:sz w:val="18"/>
        </w:rPr>
        <w:t xml:space="preserve">  ←  porcentaje sobre emisiones baseline</w:t>
      </w:r>
    </w:p>
    <w:p>
      <w:r>
        <w:br w:type="page"/>
      </w:r>
    </w:p>
    <w:p>
      <w:pPr>
        <w:pStyle w:val="Heading1"/>
      </w:pPr>
      <w:r>
        <w:rPr>
          <w:b/>
          <w:color w:val="1A235E"/>
        </w:rPr>
        <w:t>3. Resultados por Agente — Validación de Fórmulas</w:t>
      </w:r>
    </w:p>
    <w:p>
      <w:r>
        <w:rPr>
          <w:b w:val="0"/>
          <w:sz w:val="20"/>
        </w:rPr>
        <w:t>Se presentan los resultados de validación (10 episodios de evaluación, sin exploración) para los tres agentes entrenados con 50 episodios (438,000 timesteps cada uno) usando CityLearn v2 sobre el dataset OE2 de Iquitos 2024.</w:t>
      </w:r>
    </w:p>
    <w:p/>
    <w:p>
      <w:r>
        <w:rPr>
          <w:b/>
          <w:color w:val="1F77B4"/>
          <w:sz w:val="24"/>
        </w:rPr>
        <w:t>▶  Agente SAC</w:t>
      </w:r>
    </w:p>
    <w:tbl>
      <w:tblPr>
        <w:tblStyle w:val="TableGrid"/>
        <w:tblW w:type="auto" w:w="0"/>
        <w:tblLook w:firstColumn="1" w:firstRow="1" w:lastColumn="0" w:lastRow="0" w:noHBand="0" w:noVBand="1" w:val="04A0"/>
      </w:tblPr>
      <w:tblGrid>
        <w:gridCol w:w="4703"/>
        <w:gridCol w:w="4703"/>
      </w:tblGrid>
      <w:tr>
        <w:tc>
          <w:tcPr>
            <w:tcW w:type="dxa" w:w="4703"/>
            <w:shd w:val="clear" w:color="auto" w:fill="1F77B4"/>
          </w:tcPr>
          <w:p>
            <w:pPr>
              <w:jc w:val="center"/>
            </w:pPr>
            <w:r>
              <w:rPr>
                <w:b/>
                <w:color w:val="FFFFFF"/>
                <w:sz w:val="20"/>
              </w:rPr>
              <w:t>Métrica</w:t>
            </w:r>
          </w:p>
        </w:tc>
        <w:tc>
          <w:tcPr>
            <w:tcW w:type="dxa" w:w="4703"/>
            <w:shd w:val="clear" w:color="auto" w:fill="1F77B4"/>
          </w:tcPr>
          <w:p>
            <w:pPr>
              <w:jc w:val="center"/>
            </w:pPr>
            <w:r>
              <w:rPr>
                <w:b/>
                <w:color w:val="FFFFFF"/>
                <w:sz w:val="20"/>
              </w:rPr>
              <w:t>Valor</w:t>
            </w:r>
          </w:p>
        </w:tc>
      </w:tr>
      <w:tr>
        <w:tc>
          <w:tcPr>
            <w:tcW w:type="dxa" w:w="4703"/>
          </w:tcPr>
          <w:p>
            <w:pPr>
              <w:jc w:val="left"/>
            </w:pPr>
            <w:r>
              <w:rPr>
                <w:b w:val="0"/>
                <w:sz w:val="18"/>
              </w:rPr>
              <w:t>Grid import (validación)</w:t>
            </w:r>
          </w:p>
        </w:tc>
        <w:tc>
          <w:tcPr>
            <w:tcW w:type="dxa" w:w="4703"/>
          </w:tcPr>
          <w:p>
            <w:pPr>
              <w:jc w:val="center"/>
            </w:pPr>
            <w:r>
              <w:rPr>
                <w:b/>
                <w:sz w:val="18"/>
              </w:rPr>
              <w:t>5,801,227 kWh/año</w:t>
            </w:r>
          </w:p>
        </w:tc>
      </w:tr>
      <w:tr>
        <w:tc>
          <w:tcPr>
            <w:tcW w:type="dxa" w:w="4703"/>
          </w:tcPr>
          <w:p>
            <w:pPr>
              <w:jc w:val="left"/>
            </w:pPr>
            <w:r>
              <w:rPr>
                <w:b w:val="0"/>
                <w:sz w:val="18"/>
              </w:rPr>
              <w:t>CO₂_CTRL (cálculo F2)</w:t>
            </w:r>
          </w:p>
        </w:tc>
        <w:tc>
          <w:tcPr>
            <w:tcW w:type="dxa" w:w="4703"/>
          </w:tcPr>
          <w:p>
            <w:pPr>
              <w:jc w:val="center"/>
            </w:pPr>
            <w:r>
              <w:rPr>
                <w:b/>
                <w:sz w:val="18"/>
              </w:rPr>
              <w:t>5,801,227 × 0.4521 = 2,622,735</w:t>
            </w:r>
          </w:p>
        </w:tc>
      </w:tr>
      <w:tr>
        <w:tc>
          <w:tcPr>
            <w:tcW w:type="dxa" w:w="4703"/>
          </w:tcPr>
          <w:p>
            <w:pPr>
              <w:jc w:val="left"/>
            </w:pPr>
            <w:r>
              <w:rPr>
                <w:b w:val="0"/>
                <w:sz w:val="18"/>
              </w:rPr>
              <w:t>ΔCO₂_RL vs Baseline (F3)</w:t>
            </w:r>
          </w:p>
        </w:tc>
        <w:tc>
          <w:tcPr>
            <w:tcW w:type="dxa" w:w="4703"/>
          </w:tcPr>
          <w:p>
            <w:pPr>
              <w:jc w:val="center"/>
            </w:pPr>
            <w:r>
              <w:rPr>
                <w:b/>
                <w:sz w:val="18"/>
              </w:rPr>
              <w:t>5,926,304 − 2,219,994 = 3,706,310 kg/año</w:t>
            </w:r>
          </w:p>
        </w:tc>
      </w:tr>
      <w:tr>
        <w:tc>
          <w:tcPr>
            <w:tcW w:type="dxa" w:w="4703"/>
          </w:tcPr>
          <w:p>
            <w:pPr>
              <w:jc w:val="left"/>
            </w:pPr>
            <w:r>
              <w:rPr>
                <w:b w:val="0"/>
                <w:sz w:val="18"/>
              </w:rPr>
              <w:t>Reducción CO₂ grid (%)</w:t>
            </w:r>
          </w:p>
        </w:tc>
        <w:tc>
          <w:tcPr>
            <w:tcW w:type="dxa" w:w="4703"/>
          </w:tcPr>
          <w:p>
            <w:pPr>
              <w:jc w:val="center"/>
            </w:pPr>
            <w:r>
              <w:rPr>
                <w:b/>
                <w:sz w:val="18"/>
              </w:rPr>
              <w:t>55.7%</w:t>
            </w:r>
          </w:p>
        </w:tc>
      </w:tr>
      <w:tr>
        <w:tc>
          <w:tcPr>
            <w:tcW w:type="dxa" w:w="4703"/>
          </w:tcPr>
          <w:p>
            <w:pPr>
              <w:jc w:val="left"/>
            </w:pPr>
            <w:r>
              <w:rPr>
                <w:b w:val="0"/>
                <w:sz w:val="18"/>
              </w:rPr>
              <w:t>CO₂ directo evitado/año</w:t>
            </w:r>
          </w:p>
        </w:tc>
        <w:tc>
          <w:tcPr>
            <w:tcW w:type="dxa" w:w="4703"/>
          </w:tcPr>
          <w:p>
            <w:pPr>
              <w:jc w:val="center"/>
            </w:pPr>
            <w:r>
              <w:rPr>
                <w:b/>
                <w:sz w:val="18"/>
              </w:rPr>
              <w:t>328,736 kg CO₂/año</w:t>
            </w:r>
          </w:p>
        </w:tc>
      </w:tr>
      <w:tr>
        <w:tc>
          <w:tcPr>
            <w:tcW w:type="dxa" w:w="4703"/>
          </w:tcPr>
          <w:p>
            <w:pPr>
              <w:jc w:val="left"/>
            </w:pPr>
            <w:r>
              <w:rPr>
                <w:b w:val="0"/>
                <w:sz w:val="18"/>
              </w:rPr>
              <w:t>CO₂ indirecto evitado/año</w:t>
            </w:r>
          </w:p>
        </w:tc>
        <w:tc>
          <w:tcPr>
            <w:tcW w:type="dxa" w:w="4703"/>
          </w:tcPr>
          <w:p>
            <w:pPr>
              <w:jc w:val="center"/>
            </w:pPr>
            <w:r>
              <w:rPr>
                <w:b/>
                <w:sz w:val="18"/>
              </w:rPr>
              <w:t>3,223,884 kg CO₂/año</w:t>
            </w:r>
          </w:p>
        </w:tc>
      </w:tr>
      <w:tr>
        <w:tc>
          <w:tcPr>
            <w:tcW w:type="dxa" w:w="4703"/>
          </w:tcPr>
          <w:p>
            <w:pPr>
              <w:jc w:val="left"/>
            </w:pPr>
            <w:r>
              <w:rPr>
                <w:b w:val="0"/>
                <w:sz w:val="18"/>
              </w:rPr>
              <w:t>CO₂ total evitado (JSON valid.)</w:t>
            </w:r>
          </w:p>
        </w:tc>
        <w:tc>
          <w:tcPr>
            <w:tcW w:type="dxa" w:w="4703"/>
          </w:tcPr>
          <w:p>
            <w:pPr>
              <w:jc w:val="center"/>
            </w:pPr>
            <w:r>
              <w:rPr>
                <w:b/>
                <w:sz w:val="18"/>
              </w:rPr>
              <w:t>4,079,075 kg/año</w:t>
            </w:r>
          </w:p>
        </w:tc>
      </w:tr>
      <w:tr>
        <w:tc>
          <w:tcPr>
            <w:tcW w:type="dxa" w:w="4703"/>
          </w:tcPr>
          <w:p>
            <w:pPr>
              <w:jc w:val="left"/>
            </w:pPr>
            <w:r>
              <w:rPr>
                <w:b w:val="0"/>
                <w:sz w:val="18"/>
              </w:rPr>
              <w:t>CO₂ sistema total (F3 calc)</w:t>
            </w:r>
          </w:p>
        </w:tc>
        <w:tc>
          <w:tcPr>
            <w:tcW w:type="dxa" w:w="4703"/>
          </w:tcPr>
          <w:p>
            <w:pPr>
              <w:jc w:val="center"/>
            </w:pPr>
            <w:r>
              <w:rPr>
                <w:b/>
                <w:sz w:val="18"/>
              </w:rPr>
              <w:t>4,036,340 kg/año</w:t>
            </w:r>
          </w:p>
        </w:tc>
      </w:tr>
      <w:tr>
        <w:tc>
          <w:tcPr>
            <w:tcW w:type="dxa" w:w="4703"/>
          </w:tcPr>
          <w:p>
            <w:pPr>
              <w:jc w:val="left"/>
            </w:pPr>
            <w:r>
              <w:rPr>
                <w:b w:val="0"/>
                <w:sz w:val="18"/>
              </w:rPr>
              <w:t>Reward validación (10 eps)</w:t>
            </w:r>
          </w:p>
        </w:tc>
        <w:tc>
          <w:tcPr>
            <w:tcW w:type="dxa" w:w="4703"/>
          </w:tcPr>
          <w:p>
            <w:pPr>
              <w:jc w:val="center"/>
            </w:pPr>
            <w:r>
              <w:rPr>
                <w:b/>
                <w:sz w:val="18"/>
              </w:rPr>
              <w:t>250.98 ± 0.00</w:t>
            </w:r>
          </w:p>
        </w:tc>
      </w:tr>
      <w:tr>
        <w:tc>
          <w:tcPr>
            <w:tcW w:type="dxa" w:w="4703"/>
          </w:tcPr>
          <w:p>
            <w:pPr>
              <w:jc w:val="left"/>
            </w:pPr>
            <w:r>
              <w:rPr>
                <w:b w:val="0"/>
                <w:sz w:val="18"/>
              </w:rPr>
              <w:t>Duración entrenamiento</w:t>
            </w:r>
          </w:p>
        </w:tc>
        <w:tc>
          <w:tcPr>
            <w:tcW w:type="dxa" w:w="4703"/>
          </w:tcPr>
          <w:p>
            <w:pPr>
              <w:jc w:val="center"/>
            </w:pPr>
            <w:r>
              <w:rPr>
                <w:b/>
                <w:sz w:val="18"/>
              </w:rPr>
              <w:t>73.4 min (CUDA)</w:t>
            </w:r>
          </w:p>
        </w:tc>
      </w:tr>
      <w:tr>
        <w:tc>
          <w:tcPr>
            <w:tcW w:type="dxa" w:w="4703"/>
          </w:tcPr>
          <w:p>
            <w:pPr>
              <w:jc w:val="left"/>
            </w:pPr>
            <w:r>
              <w:rPr>
                <w:b w:val="0"/>
                <w:sz w:val="18"/>
              </w:rPr>
              <w:t>Hiperparámetro lr</w:t>
            </w:r>
          </w:p>
        </w:tc>
        <w:tc>
          <w:tcPr>
            <w:tcW w:type="dxa" w:w="4703"/>
          </w:tcPr>
          <w:p>
            <w:pPr>
              <w:jc w:val="center"/>
            </w:pPr>
            <w:r>
              <w:rPr>
                <w:b/>
                <w:sz w:val="18"/>
              </w:rPr>
              <w:t>0.0001</w:t>
            </w:r>
          </w:p>
        </w:tc>
      </w:tr>
    </w:tbl>
    <w:p/>
    <w:p>
      <w:r>
        <w:rPr>
          <w:b/>
          <w:color w:val="2CA02C"/>
          <w:sz w:val="24"/>
        </w:rPr>
        <w:t>▶  Agente A2C</w:t>
      </w:r>
    </w:p>
    <w:tbl>
      <w:tblPr>
        <w:tblStyle w:val="TableGrid"/>
        <w:tblW w:type="auto" w:w="0"/>
        <w:tblLook w:firstColumn="1" w:firstRow="1" w:lastColumn="0" w:lastRow="0" w:noHBand="0" w:noVBand="1" w:val="04A0"/>
      </w:tblPr>
      <w:tblGrid>
        <w:gridCol w:w="4703"/>
        <w:gridCol w:w="4703"/>
      </w:tblGrid>
      <w:tr>
        <w:tc>
          <w:tcPr>
            <w:tcW w:type="dxa" w:w="4703"/>
            <w:shd w:val="clear" w:color="auto" w:fill="2CA02C"/>
          </w:tcPr>
          <w:p>
            <w:pPr>
              <w:jc w:val="center"/>
            </w:pPr>
            <w:r>
              <w:rPr>
                <w:b/>
                <w:color w:val="FFFFFF"/>
                <w:sz w:val="20"/>
              </w:rPr>
              <w:t>Métrica</w:t>
            </w:r>
          </w:p>
        </w:tc>
        <w:tc>
          <w:tcPr>
            <w:tcW w:type="dxa" w:w="4703"/>
            <w:shd w:val="clear" w:color="auto" w:fill="2CA02C"/>
          </w:tcPr>
          <w:p>
            <w:pPr>
              <w:jc w:val="center"/>
            </w:pPr>
            <w:r>
              <w:rPr>
                <w:b/>
                <w:color w:val="FFFFFF"/>
                <w:sz w:val="20"/>
              </w:rPr>
              <w:t>Valor</w:t>
            </w:r>
          </w:p>
        </w:tc>
      </w:tr>
      <w:tr>
        <w:tc>
          <w:tcPr>
            <w:tcW w:type="dxa" w:w="4703"/>
          </w:tcPr>
          <w:p>
            <w:pPr>
              <w:jc w:val="left"/>
            </w:pPr>
            <w:r>
              <w:rPr>
                <w:b w:val="0"/>
                <w:sz w:val="18"/>
              </w:rPr>
              <w:t>Grid import (validación)</w:t>
            </w:r>
          </w:p>
        </w:tc>
        <w:tc>
          <w:tcPr>
            <w:tcW w:type="dxa" w:w="4703"/>
          </w:tcPr>
          <w:p>
            <w:pPr>
              <w:jc w:val="center"/>
            </w:pPr>
            <w:r>
              <w:rPr>
                <w:b/>
                <w:sz w:val="18"/>
              </w:rPr>
              <w:t>6,270,421 kWh/año</w:t>
            </w:r>
          </w:p>
        </w:tc>
      </w:tr>
      <w:tr>
        <w:tc>
          <w:tcPr>
            <w:tcW w:type="dxa" w:w="4703"/>
          </w:tcPr>
          <w:p>
            <w:pPr>
              <w:jc w:val="left"/>
            </w:pPr>
            <w:r>
              <w:rPr>
                <w:b w:val="0"/>
                <w:sz w:val="18"/>
              </w:rPr>
              <w:t>CO₂_CTRL (cálculo F2)</w:t>
            </w:r>
          </w:p>
        </w:tc>
        <w:tc>
          <w:tcPr>
            <w:tcW w:type="dxa" w:w="4703"/>
          </w:tcPr>
          <w:p>
            <w:pPr>
              <w:jc w:val="center"/>
            </w:pPr>
            <w:r>
              <w:rPr>
                <w:b/>
                <w:sz w:val="18"/>
              </w:rPr>
              <w:t>6,270,421 × 0.4521 = 2,834,857</w:t>
            </w:r>
          </w:p>
        </w:tc>
      </w:tr>
      <w:tr>
        <w:tc>
          <w:tcPr>
            <w:tcW w:type="dxa" w:w="4703"/>
          </w:tcPr>
          <w:p>
            <w:pPr>
              <w:jc w:val="left"/>
            </w:pPr>
            <w:r>
              <w:rPr>
                <w:b w:val="0"/>
                <w:sz w:val="18"/>
              </w:rPr>
              <w:t>ΔCO₂_RL vs Baseline (F3)</w:t>
            </w:r>
          </w:p>
        </w:tc>
        <w:tc>
          <w:tcPr>
            <w:tcW w:type="dxa" w:w="4703"/>
          </w:tcPr>
          <w:p>
            <w:pPr>
              <w:jc w:val="center"/>
            </w:pPr>
            <w:r>
              <w:rPr>
                <w:b/>
                <w:sz w:val="18"/>
              </w:rPr>
              <w:t>5,926,304 − 1,987,308 = 3,938,996 kg/año</w:t>
            </w:r>
          </w:p>
        </w:tc>
      </w:tr>
      <w:tr>
        <w:tc>
          <w:tcPr>
            <w:tcW w:type="dxa" w:w="4703"/>
          </w:tcPr>
          <w:p>
            <w:pPr>
              <w:jc w:val="left"/>
            </w:pPr>
            <w:r>
              <w:rPr>
                <w:b w:val="0"/>
                <w:sz w:val="18"/>
              </w:rPr>
              <w:t>Reducción CO₂ grid (%)</w:t>
            </w:r>
          </w:p>
        </w:tc>
        <w:tc>
          <w:tcPr>
            <w:tcW w:type="dxa" w:w="4703"/>
          </w:tcPr>
          <w:p>
            <w:pPr>
              <w:jc w:val="center"/>
            </w:pPr>
            <w:r>
              <w:rPr>
                <w:b/>
                <w:sz w:val="18"/>
              </w:rPr>
              <w:t>52.2%</w:t>
            </w:r>
          </w:p>
        </w:tc>
      </w:tr>
      <w:tr>
        <w:tc>
          <w:tcPr>
            <w:tcW w:type="dxa" w:w="4703"/>
          </w:tcPr>
          <w:p>
            <w:pPr>
              <w:jc w:val="left"/>
            </w:pPr>
            <w:r>
              <w:rPr>
                <w:b w:val="0"/>
                <w:sz w:val="18"/>
              </w:rPr>
              <w:t>CO₂ directo evitado/año</w:t>
            </w:r>
          </w:p>
        </w:tc>
        <w:tc>
          <w:tcPr>
            <w:tcW w:type="dxa" w:w="4703"/>
          </w:tcPr>
          <w:p>
            <w:pPr>
              <w:jc w:val="center"/>
            </w:pPr>
            <w:r>
              <w:rPr>
                <w:b/>
                <w:sz w:val="18"/>
              </w:rPr>
              <w:t>301,293 kg CO₂/año</w:t>
            </w:r>
          </w:p>
        </w:tc>
      </w:tr>
      <w:tr>
        <w:tc>
          <w:tcPr>
            <w:tcW w:type="dxa" w:w="4703"/>
          </w:tcPr>
          <w:p>
            <w:pPr>
              <w:jc w:val="left"/>
            </w:pPr>
            <w:r>
              <w:rPr>
                <w:b w:val="0"/>
                <w:sz w:val="18"/>
              </w:rPr>
              <w:t>CO₂ indirecto evitado/año</w:t>
            </w:r>
          </w:p>
        </w:tc>
        <w:tc>
          <w:tcPr>
            <w:tcW w:type="dxa" w:w="4703"/>
          </w:tcPr>
          <w:p>
            <w:pPr>
              <w:jc w:val="center"/>
            </w:pPr>
            <w:r>
              <w:rPr>
                <w:b/>
                <w:sz w:val="18"/>
              </w:rPr>
              <w:t>2,985,752 kg CO₂/año</w:t>
            </w:r>
          </w:p>
        </w:tc>
      </w:tr>
      <w:tr>
        <w:tc>
          <w:tcPr>
            <w:tcW w:type="dxa" w:w="4703"/>
          </w:tcPr>
          <w:p>
            <w:pPr>
              <w:jc w:val="left"/>
            </w:pPr>
            <w:r>
              <w:rPr>
                <w:b w:val="0"/>
                <w:sz w:val="18"/>
              </w:rPr>
              <w:t>CO₂ total evitado (JSON valid.)</w:t>
            </w:r>
          </w:p>
        </w:tc>
        <w:tc>
          <w:tcPr>
            <w:tcW w:type="dxa" w:w="4703"/>
          </w:tcPr>
          <w:p>
            <w:pPr>
              <w:jc w:val="center"/>
            </w:pPr>
            <w:r>
              <w:rPr>
                <w:b/>
                <w:sz w:val="18"/>
              </w:rPr>
              <w:t>4,079,075 kg/año</w:t>
            </w:r>
          </w:p>
        </w:tc>
      </w:tr>
      <w:tr>
        <w:tc>
          <w:tcPr>
            <w:tcW w:type="dxa" w:w="4703"/>
          </w:tcPr>
          <w:p>
            <w:pPr>
              <w:jc w:val="left"/>
            </w:pPr>
            <w:r>
              <w:rPr>
                <w:b w:val="0"/>
                <w:sz w:val="18"/>
              </w:rPr>
              <w:t>CO₂ sistema total (F3 calc)</w:t>
            </w:r>
          </w:p>
        </w:tc>
        <w:tc>
          <w:tcPr>
            <w:tcW w:type="dxa" w:w="4703"/>
          </w:tcPr>
          <w:p>
            <w:pPr>
              <w:jc w:val="center"/>
            </w:pPr>
            <w:r>
              <w:rPr>
                <w:b/>
                <w:sz w:val="18"/>
              </w:rPr>
              <w:t>4,269,026 kg/año</w:t>
            </w:r>
          </w:p>
        </w:tc>
      </w:tr>
      <w:tr>
        <w:tc>
          <w:tcPr>
            <w:tcW w:type="dxa" w:w="4703"/>
          </w:tcPr>
          <w:p>
            <w:pPr>
              <w:jc w:val="left"/>
            </w:pPr>
            <w:r>
              <w:rPr>
                <w:b w:val="0"/>
                <w:sz w:val="18"/>
              </w:rPr>
              <w:t>Reward validación (10 eps)</w:t>
            </w:r>
          </w:p>
        </w:tc>
        <w:tc>
          <w:tcPr>
            <w:tcW w:type="dxa" w:w="4703"/>
          </w:tcPr>
          <w:p>
            <w:pPr>
              <w:jc w:val="center"/>
            </w:pPr>
            <w:r>
              <w:rPr>
                <w:b/>
                <w:sz w:val="18"/>
              </w:rPr>
              <w:t>331.44 ± 0.00</w:t>
            </w:r>
          </w:p>
        </w:tc>
      </w:tr>
      <w:tr>
        <w:tc>
          <w:tcPr>
            <w:tcW w:type="dxa" w:w="4703"/>
          </w:tcPr>
          <w:p>
            <w:pPr>
              <w:jc w:val="left"/>
            </w:pPr>
            <w:r>
              <w:rPr>
                <w:b w:val="0"/>
                <w:sz w:val="18"/>
              </w:rPr>
              <w:t>Duración entrenamiento</w:t>
            </w:r>
          </w:p>
        </w:tc>
        <w:tc>
          <w:tcPr>
            <w:tcW w:type="dxa" w:w="4703"/>
          </w:tcPr>
          <w:p>
            <w:pPr>
              <w:jc w:val="center"/>
            </w:pPr>
            <w:r>
              <w:rPr>
                <w:b/>
                <w:sz w:val="18"/>
              </w:rPr>
              <w:t>48.9 min (CUDA)</w:t>
            </w:r>
          </w:p>
        </w:tc>
      </w:tr>
      <w:tr>
        <w:tc>
          <w:tcPr>
            <w:tcW w:type="dxa" w:w="4703"/>
          </w:tcPr>
          <w:p>
            <w:pPr>
              <w:jc w:val="left"/>
            </w:pPr>
            <w:r>
              <w:rPr>
                <w:b w:val="0"/>
                <w:sz w:val="18"/>
              </w:rPr>
              <w:t>Hiperparámetro lr</w:t>
            </w:r>
          </w:p>
        </w:tc>
        <w:tc>
          <w:tcPr>
            <w:tcW w:type="dxa" w:w="4703"/>
          </w:tcPr>
          <w:p>
            <w:pPr>
              <w:jc w:val="center"/>
            </w:pPr>
            <w:r>
              <w:rPr>
                <w:b/>
                <w:sz w:val="18"/>
              </w:rPr>
              <w:t>0.0003</w:t>
            </w:r>
          </w:p>
        </w:tc>
      </w:tr>
    </w:tbl>
    <w:p/>
    <w:p>
      <w:r>
        <w:rPr>
          <w:b/>
          <w:color w:val="FF7F0E"/>
          <w:sz w:val="24"/>
        </w:rPr>
        <w:t>▶  Agente PPO</w:t>
      </w:r>
    </w:p>
    <w:tbl>
      <w:tblPr>
        <w:tblStyle w:val="TableGrid"/>
        <w:tblW w:type="auto" w:w="0"/>
        <w:tblLook w:firstColumn="1" w:firstRow="1" w:lastColumn="0" w:lastRow="0" w:noHBand="0" w:noVBand="1" w:val="04A0"/>
      </w:tblPr>
      <w:tblGrid>
        <w:gridCol w:w="4703"/>
        <w:gridCol w:w="4703"/>
      </w:tblGrid>
      <w:tr>
        <w:tc>
          <w:tcPr>
            <w:tcW w:type="dxa" w:w="4703"/>
            <w:shd w:val="clear" w:color="auto" w:fill="FF7F0E"/>
          </w:tcPr>
          <w:p>
            <w:pPr>
              <w:jc w:val="center"/>
            </w:pPr>
            <w:r>
              <w:rPr>
                <w:b/>
                <w:color w:val="FFFFFF"/>
                <w:sz w:val="20"/>
              </w:rPr>
              <w:t>Métrica</w:t>
            </w:r>
          </w:p>
        </w:tc>
        <w:tc>
          <w:tcPr>
            <w:tcW w:type="dxa" w:w="4703"/>
            <w:shd w:val="clear" w:color="auto" w:fill="FF7F0E"/>
          </w:tcPr>
          <w:p>
            <w:pPr>
              <w:jc w:val="center"/>
            </w:pPr>
            <w:r>
              <w:rPr>
                <w:b/>
                <w:color w:val="FFFFFF"/>
                <w:sz w:val="20"/>
              </w:rPr>
              <w:t>Valor</w:t>
            </w:r>
          </w:p>
        </w:tc>
      </w:tr>
      <w:tr>
        <w:tc>
          <w:tcPr>
            <w:tcW w:type="dxa" w:w="4703"/>
          </w:tcPr>
          <w:p>
            <w:pPr>
              <w:jc w:val="left"/>
            </w:pPr>
            <w:r>
              <w:rPr>
                <w:b w:val="0"/>
                <w:sz w:val="18"/>
              </w:rPr>
              <w:t>Grid import (validación)</w:t>
            </w:r>
          </w:p>
        </w:tc>
        <w:tc>
          <w:tcPr>
            <w:tcW w:type="dxa" w:w="4703"/>
          </w:tcPr>
          <w:p>
            <w:pPr>
              <w:jc w:val="center"/>
            </w:pPr>
            <w:r>
              <w:rPr>
                <w:b/>
                <w:sz w:val="18"/>
              </w:rPr>
              <w:t>6,164,654 kWh/año</w:t>
            </w:r>
          </w:p>
        </w:tc>
      </w:tr>
      <w:tr>
        <w:tc>
          <w:tcPr>
            <w:tcW w:type="dxa" w:w="4703"/>
          </w:tcPr>
          <w:p>
            <w:pPr>
              <w:jc w:val="left"/>
            </w:pPr>
            <w:r>
              <w:rPr>
                <w:b w:val="0"/>
                <w:sz w:val="18"/>
              </w:rPr>
              <w:t>CO₂_CTRL (cálculo F2)</w:t>
            </w:r>
          </w:p>
        </w:tc>
        <w:tc>
          <w:tcPr>
            <w:tcW w:type="dxa" w:w="4703"/>
          </w:tcPr>
          <w:p>
            <w:pPr>
              <w:jc w:val="center"/>
            </w:pPr>
            <w:r>
              <w:rPr>
                <w:b/>
                <w:sz w:val="18"/>
              </w:rPr>
              <w:t>6,164,654 × 0.4521 = 2,787,040</w:t>
            </w:r>
          </w:p>
        </w:tc>
      </w:tr>
      <w:tr>
        <w:tc>
          <w:tcPr>
            <w:tcW w:type="dxa" w:w="4703"/>
          </w:tcPr>
          <w:p>
            <w:pPr>
              <w:jc w:val="left"/>
            </w:pPr>
            <w:r>
              <w:rPr>
                <w:b w:val="0"/>
                <w:sz w:val="18"/>
              </w:rPr>
              <w:t>ΔCO₂_RL vs Baseline (F3)</w:t>
            </w:r>
          </w:p>
        </w:tc>
        <w:tc>
          <w:tcPr>
            <w:tcW w:type="dxa" w:w="4703"/>
          </w:tcPr>
          <w:p>
            <w:pPr>
              <w:jc w:val="center"/>
            </w:pPr>
            <w:r>
              <w:rPr>
                <w:b/>
                <w:sz w:val="18"/>
              </w:rPr>
              <w:t>5,926,304 − 2,988,177 = 2,938,127 kg/año</w:t>
            </w:r>
          </w:p>
        </w:tc>
      </w:tr>
      <w:tr>
        <w:tc>
          <w:tcPr>
            <w:tcW w:type="dxa" w:w="4703"/>
          </w:tcPr>
          <w:p>
            <w:pPr>
              <w:jc w:val="left"/>
            </w:pPr>
            <w:r>
              <w:rPr>
                <w:b w:val="0"/>
                <w:sz w:val="18"/>
              </w:rPr>
              <w:t>Reducción CO₂ grid (%)</w:t>
            </w:r>
          </w:p>
        </w:tc>
        <w:tc>
          <w:tcPr>
            <w:tcW w:type="dxa" w:w="4703"/>
          </w:tcPr>
          <w:p>
            <w:pPr>
              <w:jc w:val="center"/>
            </w:pPr>
            <w:r>
              <w:rPr>
                <w:b/>
                <w:sz w:val="18"/>
              </w:rPr>
              <w:t>53.0%</w:t>
            </w:r>
          </w:p>
        </w:tc>
      </w:tr>
      <w:tr>
        <w:tc>
          <w:tcPr>
            <w:tcW w:type="dxa" w:w="4703"/>
          </w:tcPr>
          <w:p>
            <w:pPr>
              <w:jc w:val="left"/>
            </w:pPr>
            <w:r>
              <w:rPr>
                <w:b w:val="0"/>
                <w:sz w:val="18"/>
              </w:rPr>
              <w:t>CO₂ directo evitado/año</w:t>
            </w:r>
          </w:p>
        </w:tc>
        <w:tc>
          <w:tcPr>
            <w:tcW w:type="dxa" w:w="4703"/>
          </w:tcPr>
          <w:p>
            <w:pPr>
              <w:jc w:val="center"/>
            </w:pPr>
            <w:r>
              <w:rPr>
                <w:b/>
                <w:sz w:val="18"/>
              </w:rPr>
              <w:t>334,103 kg CO₂/año</w:t>
            </w:r>
          </w:p>
        </w:tc>
      </w:tr>
      <w:tr>
        <w:tc>
          <w:tcPr>
            <w:tcW w:type="dxa" w:w="4703"/>
          </w:tcPr>
          <w:p>
            <w:pPr>
              <w:jc w:val="left"/>
            </w:pPr>
            <w:r>
              <w:rPr>
                <w:b w:val="0"/>
                <w:sz w:val="18"/>
              </w:rPr>
              <w:t>CO₂ indirecto evitado/año</w:t>
            </w:r>
          </w:p>
        </w:tc>
        <w:tc>
          <w:tcPr>
            <w:tcW w:type="dxa" w:w="4703"/>
          </w:tcPr>
          <w:p>
            <w:pPr>
              <w:jc w:val="center"/>
            </w:pPr>
            <w:r>
              <w:rPr>
                <w:b/>
                <w:sz w:val="18"/>
              </w:rPr>
              <w:t>3,052,176 kg CO₂/año</w:t>
            </w:r>
          </w:p>
        </w:tc>
      </w:tr>
      <w:tr>
        <w:tc>
          <w:tcPr>
            <w:tcW w:type="dxa" w:w="4703"/>
          </w:tcPr>
          <w:p>
            <w:pPr>
              <w:jc w:val="left"/>
            </w:pPr>
            <w:r>
              <w:rPr>
                <w:b w:val="0"/>
                <w:sz w:val="18"/>
              </w:rPr>
              <w:t>CO₂ total evitado (JSON valid.)</w:t>
            </w:r>
          </w:p>
        </w:tc>
        <w:tc>
          <w:tcPr>
            <w:tcW w:type="dxa" w:w="4703"/>
          </w:tcPr>
          <w:p>
            <w:pPr>
              <w:jc w:val="center"/>
            </w:pPr>
            <w:r>
              <w:rPr>
                <w:b/>
                <w:sz w:val="18"/>
              </w:rPr>
              <w:t>4,171,337 kg/año</w:t>
            </w:r>
          </w:p>
        </w:tc>
      </w:tr>
      <w:tr>
        <w:tc>
          <w:tcPr>
            <w:tcW w:type="dxa" w:w="4703"/>
          </w:tcPr>
          <w:p>
            <w:pPr>
              <w:jc w:val="left"/>
            </w:pPr>
            <w:r>
              <w:rPr>
                <w:b w:val="0"/>
                <w:sz w:val="18"/>
              </w:rPr>
              <w:t>CO₂ sistema total (F3 calc)</w:t>
            </w:r>
          </w:p>
        </w:tc>
        <w:tc>
          <w:tcPr>
            <w:tcW w:type="dxa" w:w="4703"/>
          </w:tcPr>
          <w:p>
            <w:pPr>
              <w:jc w:val="center"/>
            </w:pPr>
            <w:r>
              <w:rPr>
                <w:b/>
                <w:sz w:val="18"/>
              </w:rPr>
              <w:t>3,268,157 kg/año</w:t>
            </w:r>
          </w:p>
        </w:tc>
      </w:tr>
      <w:tr>
        <w:tc>
          <w:tcPr>
            <w:tcW w:type="dxa" w:w="4703"/>
          </w:tcPr>
          <w:p>
            <w:pPr>
              <w:jc w:val="left"/>
            </w:pPr>
            <w:r>
              <w:rPr>
                <w:b w:val="0"/>
                <w:sz w:val="18"/>
              </w:rPr>
              <w:t>Reward validación (10 eps)</w:t>
            </w:r>
          </w:p>
        </w:tc>
        <w:tc>
          <w:tcPr>
            <w:tcW w:type="dxa" w:w="4703"/>
          </w:tcPr>
          <w:p>
            <w:pPr>
              <w:jc w:val="center"/>
            </w:pPr>
            <w:r>
              <w:rPr>
                <w:b/>
                <w:sz w:val="18"/>
              </w:rPr>
              <w:t>-21.39 ± 0.09</w:t>
            </w:r>
          </w:p>
        </w:tc>
      </w:tr>
      <w:tr>
        <w:tc>
          <w:tcPr>
            <w:tcW w:type="dxa" w:w="4703"/>
          </w:tcPr>
          <w:p>
            <w:pPr>
              <w:jc w:val="left"/>
            </w:pPr>
            <w:r>
              <w:rPr>
                <w:b w:val="0"/>
                <w:sz w:val="18"/>
              </w:rPr>
              <w:t>Duración entrenamiento</w:t>
            </w:r>
          </w:p>
        </w:tc>
        <w:tc>
          <w:tcPr>
            <w:tcW w:type="dxa" w:w="4703"/>
          </w:tcPr>
          <w:p>
            <w:pPr>
              <w:jc w:val="center"/>
            </w:pPr>
            <w:r>
              <w:rPr>
                <w:b/>
                <w:sz w:val="18"/>
              </w:rPr>
              <w:t>15.0 min (CUDA)</w:t>
            </w:r>
          </w:p>
        </w:tc>
      </w:tr>
      <w:tr>
        <w:tc>
          <w:tcPr>
            <w:tcW w:type="dxa" w:w="4703"/>
          </w:tcPr>
          <w:p>
            <w:pPr>
              <w:jc w:val="left"/>
            </w:pPr>
            <w:r>
              <w:rPr>
                <w:b w:val="0"/>
                <w:sz w:val="18"/>
              </w:rPr>
              <w:t>Hiperparámetro lr</w:t>
            </w:r>
          </w:p>
        </w:tc>
        <w:tc>
          <w:tcPr>
            <w:tcW w:type="dxa" w:w="4703"/>
          </w:tcPr>
          <w:p>
            <w:pPr>
              <w:jc w:val="center"/>
            </w:pPr>
            <w:r>
              <w:rPr>
                <w:b/>
                <w:sz w:val="18"/>
              </w:rPr>
              <w:t>0.0001</w:t>
            </w:r>
          </w:p>
        </w:tc>
      </w:tr>
    </w:tbl>
    <w:p/>
    <w:p>
      <w:r>
        <w:br w:type="page"/>
      </w:r>
    </w:p>
    <w:p>
      <w:pPr>
        <w:pStyle w:val="Heading1"/>
      </w:pPr>
      <w:r>
        <w:rPr>
          <w:b/>
          <w:color w:val="1A235E"/>
        </w:rPr>
        <w:t>4. Tabla Comparativa — Ranking OE3</w:t>
      </w:r>
    </w:p>
    <w:p>
      <w:r>
        <w:rPr>
          <w:b w:val="0"/>
          <w:sz w:val="20"/>
        </w:rPr>
        <w:t>Criterio principal: menor CO₂ grid importado (Fórmula 2) en episodio de validación. Criterio secundario: mayor reward. El agente con menor CO₂_CTRL cumple mejor el OE3.</w:t>
      </w:r>
    </w:p>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1A235E"/>
          </w:tcPr>
          <w:p>
            <w:pPr>
              <w:jc w:val="center"/>
            </w:pPr>
            <w:r>
              <w:rPr>
                <w:b/>
                <w:color w:val="FFFFFF"/>
                <w:sz w:val="18"/>
              </w:rPr>
              <w:t>Rank</w:t>
            </w:r>
          </w:p>
        </w:tc>
        <w:tc>
          <w:tcPr>
            <w:tcW w:type="dxa" w:w="941"/>
            <w:shd w:val="clear" w:color="auto" w:fill="1A235E"/>
          </w:tcPr>
          <w:p>
            <w:pPr>
              <w:jc w:val="center"/>
            </w:pPr>
            <w:r>
              <w:rPr>
                <w:b/>
                <w:color w:val="FFFFFF"/>
                <w:sz w:val="18"/>
              </w:rPr>
              <w:t>Agente</w:t>
            </w:r>
          </w:p>
        </w:tc>
        <w:tc>
          <w:tcPr>
            <w:tcW w:type="dxa" w:w="941"/>
            <w:shd w:val="clear" w:color="auto" w:fill="1A235E"/>
          </w:tcPr>
          <w:p>
            <w:pPr>
              <w:jc w:val="center"/>
            </w:pPr>
            <w:r>
              <w:rPr>
                <w:b/>
                <w:color w:val="FFFFFF"/>
                <w:sz w:val="18"/>
              </w:rPr>
              <w:t>CO₂_CTRL</w:t>
              <w:br/>
              <w:t>(kg/año)</w:t>
            </w:r>
          </w:p>
        </w:tc>
        <w:tc>
          <w:tcPr>
            <w:tcW w:type="dxa" w:w="941"/>
            <w:shd w:val="clear" w:color="auto" w:fill="1A235E"/>
          </w:tcPr>
          <w:p>
            <w:pPr>
              <w:jc w:val="center"/>
            </w:pPr>
            <w:r>
              <w:rPr>
                <w:b/>
                <w:color w:val="FFFFFF"/>
                <w:sz w:val="18"/>
              </w:rPr>
              <w:t>Reducción</w:t>
              <w:br/>
              <w:t>(%)</w:t>
            </w:r>
          </w:p>
        </w:tc>
        <w:tc>
          <w:tcPr>
            <w:tcW w:type="dxa" w:w="941"/>
            <w:shd w:val="clear" w:color="auto" w:fill="1A235E"/>
          </w:tcPr>
          <w:p>
            <w:pPr>
              <w:jc w:val="center"/>
            </w:pPr>
            <w:r>
              <w:rPr>
                <w:b/>
                <w:color w:val="FFFFFF"/>
                <w:sz w:val="18"/>
              </w:rPr>
              <w:t>CO₂ evitado</w:t>
              <w:br/>
              <w:t>(kg/año)</w:t>
            </w:r>
          </w:p>
        </w:tc>
        <w:tc>
          <w:tcPr>
            <w:tcW w:type="dxa" w:w="941"/>
            <w:shd w:val="clear" w:color="auto" w:fill="1A235E"/>
          </w:tcPr>
          <w:p>
            <w:pPr>
              <w:jc w:val="center"/>
            </w:pPr>
            <w:r>
              <w:rPr>
                <w:b/>
                <w:color w:val="FFFFFF"/>
                <w:sz w:val="18"/>
              </w:rPr>
              <w:t>CO₂ directo</w:t>
              <w:br/>
              <w:t>(kg/año)</w:t>
            </w:r>
          </w:p>
        </w:tc>
        <w:tc>
          <w:tcPr>
            <w:tcW w:type="dxa" w:w="941"/>
            <w:shd w:val="clear" w:color="auto" w:fill="1A235E"/>
          </w:tcPr>
          <w:p>
            <w:pPr>
              <w:jc w:val="center"/>
            </w:pPr>
            <w:r>
              <w:rPr>
                <w:b/>
                <w:color w:val="FFFFFF"/>
                <w:sz w:val="18"/>
              </w:rPr>
              <w:t>Reward</w:t>
              <w:br/>
              <w:t>validación</w:t>
            </w:r>
          </w:p>
        </w:tc>
        <w:tc>
          <w:tcPr>
            <w:tcW w:type="dxa" w:w="941"/>
            <w:shd w:val="clear" w:color="auto" w:fill="1A235E"/>
          </w:tcPr>
          <w:p>
            <w:pPr>
              <w:jc w:val="center"/>
            </w:pPr>
            <w:r>
              <w:rPr>
                <w:b/>
                <w:color w:val="FFFFFF"/>
                <w:sz w:val="18"/>
              </w:rPr>
              <w:t>Grid import</w:t>
              <w:br/>
              <w:t>(kWh/año)</w:t>
            </w:r>
          </w:p>
        </w:tc>
        <w:tc>
          <w:tcPr>
            <w:tcW w:type="dxa" w:w="941"/>
            <w:shd w:val="clear" w:color="auto" w:fill="1A235E"/>
          </w:tcPr>
          <w:p>
            <w:pPr>
              <w:jc w:val="center"/>
            </w:pPr>
            <w:r>
              <w:rPr>
                <w:b/>
                <w:color w:val="FFFFFF"/>
                <w:sz w:val="18"/>
              </w:rPr>
              <w:t>Duración</w:t>
              <w:br/>
              <w:t>(min)</w:t>
            </w:r>
          </w:p>
        </w:tc>
        <w:tc>
          <w:tcPr>
            <w:tcW w:type="dxa" w:w="941"/>
            <w:shd w:val="clear" w:color="auto" w:fill="1A235E"/>
          </w:tcPr>
          <w:p>
            <w:pPr>
              <w:jc w:val="center"/>
            </w:pPr>
            <w:r>
              <w:rPr>
                <w:b/>
                <w:color w:val="FFFFFF"/>
                <w:sz w:val="18"/>
              </w:rPr>
              <w:t>Dispositivo</w:t>
            </w:r>
          </w:p>
        </w:tc>
      </w:tr>
      <w:tr>
        <w:tc>
          <w:tcPr>
            <w:tcW w:type="dxa" w:w="941"/>
            <w:shd w:val="clear" w:color="auto" w:fill="E8F5E9"/>
          </w:tcPr>
          <w:p>
            <w:pPr>
              <w:jc w:val="center"/>
            </w:pPr>
            <w:r>
              <w:rPr>
                <w:b/>
                <w:sz w:val="18"/>
              </w:rPr>
              <w:t>🥇</w:t>
            </w:r>
          </w:p>
        </w:tc>
        <w:tc>
          <w:tcPr>
            <w:tcW w:type="dxa" w:w="941"/>
            <w:shd w:val="clear" w:color="auto" w:fill="E8F5E9"/>
          </w:tcPr>
          <w:p>
            <w:pPr>
              <w:jc w:val="center"/>
            </w:pPr>
            <w:r>
              <w:rPr>
                <w:b/>
                <w:color w:val="2CA02C"/>
                <w:sz w:val="18"/>
              </w:rPr>
              <w:t>SAC</w:t>
            </w:r>
          </w:p>
        </w:tc>
        <w:tc>
          <w:tcPr>
            <w:tcW w:type="dxa" w:w="941"/>
            <w:shd w:val="clear" w:color="auto" w:fill="E8F5E9"/>
          </w:tcPr>
          <w:p>
            <w:pPr>
              <w:jc w:val="center"/>
            </w:pPr>
            <w:r>
              <w:rPr>
                <w:b/>
                <w:sz w:val="18"/>
              </w:rPr>
              <w:t>2,622,735</w:t>
            </w:r>
          </w:p>
        </w:tc>
        <w:tc>
          <w:tcPr>
            <w:tcW w:type="dxa" w:w="941"/>
            <w:shd w:val="clear" w:color="auto" w:fill="E8F5E9"/>
          </w:tcPr>
          <w:p>
            <w:pPr>
              <w:jc w:val="center"/>
            </w:pPr>
            <w:r>
              <w:rPr>
                <w:b/>
                <w:sz w:val="18"/>
              </w:rPr>
              <w:t>55.7%</w:t>
            </w:r>
          </w:p>
        </w:tc>
        <w:tc>
          <w:tcPr>
            <w:tcW w:type="dxa" w:w="941"/>
            <w:shd w:val="clear" w:color="auto" w:fill="E8F5E9"/>
          </w:tcPr>
          <w:p>
            <w:pPr>
              <w:jc w:val="center"/>
            </w:pPr>
            <w:r>
              <w:rPr>
                <w:b/>
                <w:sz w:val="18"/>
              </w:rPr>
              <w:t>3,552,620</w:t>
            </w:r>
          </w:p>
        </w:tc>
        <w:tc>
          <w:tcPr>
            <w:tcW w:type="dxa" w:w="941"/>
            <w:shd w:val="clear" w:color="auto" w:fill="E8F5E9"/>
          </w:tcPr>
          <w:p>
            <w:pPr>
              <w:jc w:val="center"/>
            </w:pPr>
            <w:r>
              <w:rPr>
                <w:b/>
                <w:sz w:val="18"/>
              </w:rPr>
              <w:t>328,736</w:t>
            </w:r>
          </w:p>
        </w:tc>
        <w:tc>
          <w:tcPr>
            <w:tcW w:type="dxa" w:w="941"/>
            <w:shd w:val="clear" w:color="auto" w:fill="E8F5E9"/>
          </w:tcPr>
          <w:p>
            <w:pPr>
              <w:jc w:val="center"/>
            </w:pPr>
            <w:r>
              <w:rPr>
                <w:b/>
                <w:sz w:val="18"/>
              </w:rPr>
              <w:t>Ep 48</w:t>
            </w:r>
          </w:p>
        </w:tc>
        <w:tc>
          <w:tcPr>
            <w:tcW w:type="dxa" w:w="941"/>
            <w:shd w:val="clear" w:color="auto" w:fill="E8F5E9"/>
          </w:tcPr>
          <w:p>
            <w:pPr>
              <w:jc w:val="center"/>
            </w:pPr>
            <w:r>
              <w:rPr>
                <w:b/>
                <w:sz w:val="18"/>
              </w:rPr>
              <w:t>5,801,227</w:t>
            </w:r>
          </w:p>
        </w:tc>
        <w:tc>
          <w:tcPr>
            <w:tcW w:type="dxa" w:w="941"/>
            <w:shd w:val="clear" w:color="auto" w:fill="E8F5E9"/>
          </w:tcPr>
          <w:p>
            <w:pPr>
              <w:jc w:val="center"/>
            </w:pPr>
            <w:r>
              <w:rPr>
                <w:b/>
                <w:sz w:val="18"/>
              </w:rPr>
              <w:t>50</w:t>
            </w:r>
          </w:p>
        </w:tc>
        <w:tc>
          <w:tcPr>
            <w:tcW w:type="dxa" w:w="941"/>
            <w:shd w:val="clear" w:color="auto" w:fill="E8F5E9"/>
          </w:tcPr>
          <w:p>
            <w:pPr>
              <w:jc w:val="center"/>
            </w:pPr>
            <w:r>
              <w:rPr>
                <w:b/>
                <w:sz w:val="18"/>
              </w:rPr>
              <w:t>GPU/CPU</w:t>
            </w:r>
          </w:p>
        </w:tc>
      </w:tr>
      <w:tr>
        <w:tc>
          <w:tcPr>
            <w:tcW w:type="dxa" w:w="941"/>
            <w:shd w:val="clear" w:color="auto" w:fill="FFF9C4"/>
          </w:tcPr>
          <w:p>
            <w:pPr>
              <w:jc w:val="center"/>
            </w:pPr>
            <w:r>
              <w:rPr>
                <w:b/>
                <w:sz w:val="18"/>
              </w:rPr>
              <w:t>🥈</w:t>
            </w:r>
          </w:p>
        </w:tc>
        <w:tc>
          <w:tcPr>
            <w:tcW w:type="dxa" w:w="941"/>
            <w:shd w:val="clear" w:color="auto" w:fill="FFF9C4"/>
          </w:tcPr>
          <w:p>
            <w:pPr>
              <w:jc w:val="center"/>
            </w:pPr>
            <w:r>
              <w:rPr>
                <w:b/>
                <w:color w:val="1F77B4"/>
                <w:sz w:val="18"/>
              </w:rPr>
              <w:t>PPO</w:t>
            </w:r>
          </w:p>
        </w:tc>
        <w:tc>
          <w:tcPr>
            <w:tcW w:type="dxa" w:w="941"/>
            <w:shd w:val="clear" w:color="auto" w:fill="FFF9C4"/>
          </w:tcPr>
          <w:p>
            <w:pPr>
              <w:jc w:val="center"/>
            </w:pPr>
            <w:r>
              <w:rPr>
                <w:b w:val="0"/>
                <w:sz w:val="18"/>
              </w:rPr>
              <w:t>2,787,040</w:t>
            </w:r>
          </w:p>
        </w:tc>
        <w:tc>
          <w:tcPr>
            <w:tcW w:type="dxa" w:w="941"/>
            <w:shd w:val="clear" w:color="auto" w:fill="FFF9C4"/>
          </w:tcPr>
          <w:p>
            <w:pPr>
              <w:jc w:val="center"/>
            </w:pPr>
            <w:r>
              <w:rPr>
                <w:b w:val="0"/>
                <w:sz w:val="18"/>
              </w:rPr>
              <w:t>53.0%</w:t>
            </w:r>
          </w:p>
        </w:tc>
        <w:tc>
          <w:tcPr>
            <w:tcW w:type="dxa" w:w="941"/>
            <w:shd w:val="clear" w:color="auto" w:fill="FFF9C4"/>
          </w:tcPr>
          <w:p>
            <w:pPr>
              <w:jc w:val="center"/>
            </w:pPr>
            <w:r>
              <w:rPr>
                <w:b w:val="0"/>
                <w:sz w:val="18"/>
              </w:rPr>
              <w:t>3,386,279</w:t>
            </w:r>
          </w:p>
        </w:tc>
        <w:tc>
          <w:tcPr>
            <w:tcW w:type="dxa" w:w="941"/>
            <w:shd w:val="clear" w:color="auto" w:fill="FFF9C4"/>
          </w:tcPr>
          <w:p>
            <w:pPr>
              <w:jc w:val="center"/>
            </w:pPr>
            <w:r>
              <w:rPr>
                <w:b w:val="0"/>
                <w:sz w:val="18"/>
              </w:rPr>
              <w:t>334,103</w:t>
            </w:r>
          </w:p>
        </w:tc>
        <w:tc>
          <w:tcPr>
            <w:tcW w:type="dxa" w:w="941"/>
            <w:shd w:val="clear" w:color="auto" w:fill="FFF9C4"/>
          </w:tcPr>
          <w:p>
            <w:pPr>
              <w:jc w:val="center"/>
            </w:pPr>
            <w:r>
              <w:rPr>
                <w:b w:val="0"/>
                <w:sz w:val="18"/>
              </w:rPr>
              <w:t>Ep 40</w:t>
            </w:r>
          </w:p>
        </w:tc>
        <w:tc>
          <w:tcPr>
            <w:tcW w:type="dxa" w:w="941"/>
            <w:shd w:val="clear" w:color="auto" w:fill="FFF9C4"/>
          </w:tcPr>
          <w:p>
            <w:pPr>
              <w:jc w:val="center"/>
            </w:pPr>
            <w:r>
              <w:rPr>
                <w:b w:val="0"/>
                <w:sz w:val="18"/>
              </w:rPr>
              <w:t>6,164,654</w:t>
            </w:r>
          </w:p>
        </w:tc>
        <w:tc>
          <w:tcPr>
            <w:tcW w:type="dxa" w:w="941"/>
            <w:shd w:val="clear" w:color="auto" w:fill="FFF9C4"/>
          </w:tcPr>
          <w:p>
            <w:pPr>
              <w:jc w:val="center"/>
            </w:pPr>
            <w:r>
              <w:rPr>
                <w:b w:val="0"/>
                <w:sz w:val="18"/>
              </w:rPr>
              <w:t>50</w:t>
            </w:r>
          </w:p>
        </w:tc>
        <w:tc>
          <w:tcPr>
            <w:tcW w:type="dxa" w:w="941"/>
            <w:shd w:val="clear" w:color="auto" w:fill="FFF9C4"/>
          </w:tcPr>
          <w:p>
            <w:pPr>
              <w:jc w:val="center"/>
            </w:pPr>
            <w:r>
              <w:rPr>
                <w:b w:val="0"/>
                <w:sz w:val="18"/>
              </w:rPr>
              <w:t>GPU/CPU</w:t>
            </w:r>
          </w:p>
        </w:tc>
      </w:tr>
      <w:tr>
        <w:tc>
          <w:tcPr>
            <w:tcW w:type="dxa" w:w="941"/>
            <w:shd w:val="clear" w:color="auto" w:fill="FFF3E0"/>
          </w:tcPr>
          <w:p>
            <w:pPr>
              <w:jc w:val="center"/>
            </w:pPr>
            <w:r>
              <w:rPr>
                <w:b/>
                <w:sz w:val="18"/>
              </w:rPr>
              <w:t>🥉</w:t>
            </w:r>
          </w:p>
        </w:tc>
        <w:tc>
          <w:tcPr>
            <w:tcW w:type="dxa" w:w="941"/>
            <w:shd w:val="clear" w:color="auto" w:fill="FFF3E0"/>
          </w:tcPr>
          <w:p>
            <w:pPr>
              <w:jc w:val="center"/>
            </w:pPr>
            <w:r>
              <w:rPr>
                <w:b/>
                <w:color w:val="FF7F0E"/>
                <w:sz w:val="18"/>
              </w:rPr>
              <w:t>A2C</w:t>
            </w:r>
          </w:p>
        </w:tc>
        <w:tc>
          <w:tcPr>
            <w:tcW w:type="dxa" w:w="941"/>
            <w:shd w:val="clear" w:color="auto" w:fill="FFF3E0"/>
          </w:tcPr>
          <w:p>
            <w:pPr>
              <w:jc w:val="center"/>
            </w:pPr>
            <w:r>
              <w:rPr>
                <w:b w:val="0"/>
                <w:sz w:val="18"/>
              </w:rPr>
              <w:t>2,834,857</w:t>
            </w:r>
          </w:p>
        </w:tc>
        <w:tc>
          <w:tcPr>
            <w:tcW w:type="dxa" w:w="941"/>
            <w:shd w:val="clear" w:color="auto" w:fill="FFF3E0"/>
          </w:tcPr>
          <w:p>
            <w:pPr>
              <w:jc w:val="center"/>
            </w:pPr>
            <w:r>
              <w:rPr>
                <w:b w:val="0"/>
                <w:sz w:val="18"/>
              </w:rPr>
              <w:t>52.2%</w:t>
            </w:r>
          </w:p>
        </w:tc>
        <w:tc>
          <w:tcPr>
            <w:tcW w:type="dxa" w:w="941"/>
            <w:shd w:val="clear" w:color="auto" w:fill="FFF3E0"/>
          </w:tcPr>
          <w:p>
            <w:pPr>
              <w:jc w:val="center"/>
            </w:pPr>
            <w:r>
              <w:rPr>
                <w:b w:val="0"/>
                <w:sz w:val="18"/>
              </w:rPr>
              <w:t>3,287,045</w:t>
            </w:r>
          </w:p>
        </w:tc>
        <w:tc>
          <w:tcPr>
            <w:tcW w:type="dxa" w:w="941"/>
            <w:shd w:val="clear" w:color="auto" w:fill="FFF3E0"/>
          </w:tcPr>
          <w:p>
            <w:pPr>
              <w:jc w:val="center"/>
            </w:pPr>
            <w:r>
              <w:rPr>
                <w:b w:val="0"/>
                <w:sz w:val="18"/>
              </w:rPr>
              <w:t>301,293</w:t>
            </w:r>
          </w:p>
        </w:tc>
        <w:tc>
          <w:tcPr>
            <w:tcW w:type="dxa" w:w="941"/>
            <w:shd w:val="clear" w:color="auto" w:fill="FFF3E0"/>
          </w:tcPr>
          <w:p>
            <w:pPr>
              <w:jc w:val="center"/>
            </w:pPr>
            <w:r>
              <w:rPr>
                <w:b w:val="0"/>
                <w:sz w:val="18"/>
              </w:rPr>
              <w:t>Ep 3</w:t>
            </w:r>
          </w:p>
        </w:tc>
        <w:tc>
          <w:tcPr>
            <w:tcW w:type="dxa" w:w="941"/>
            <w:shd w:val="clear" w:color="auto" w:fill="FFF3E0"/>
          </w:tcPr>
          <w:p>
            <w:pPr>
              <w:jc w:val="center"/>
            </w:pPr>
            <w:r>
              <w:rPr>
                <w:b w:val="0"/>
                <w:sz w:val="18"/>
              </w:rPr>
              <w:t>6,270,421</w:t>
            </w:r>
          </w:p>
        </w:tc>
        <w:tc>
          <w:tcPr>
            <w:tcW w:type="dxa" w:w="941"/>
            <w:shd w:val="clear" w:color="auto" w:fill="FFF3E0"/>
          </w:tcPr>
          <w:p>
            <w:pPr>
              <w:jc w:val="center"/>
            </w:pPr>
            <w:r>
              <w:rPr>
                <w:b w:val="0"/>
                <w:sz w:val="18"/>
              </w:rPr>
              <w:t>50</w:t>
            </w:r>
          </w:p>
        </w:tc>
        <w:tc>
          <w:tcPr>
            <w:tcW w:type="dxa" w:w="941"/>
            <w:shd w:val="clear" w:color="auto" w:fill="FFF3E0"/>
          </w:tcPr>
          <w:p>
            <w:pPr>
              <w:jc w:val="center"/>
            </w:pPr>
            <w:r>
              <w:rPr>
                <w:b w:val="0"/>
                <w:sz w:val="18"/>
              </w:rPr>
              <w:t>GPU/CPU</w:t>
            </w:r>
          </w:p>
        </w:tc>
      </w:tr>
    </w:tbl>
    <w:p/>
    <w:p>
      <w:pPr>
        <w:pStyle w:val="Heading1"/>
      </w:pPr>
      <w:r>
        <w:rPr>
          <w:b/>
          <w:color w:val="1A235E"/>
        </w:rPr>
        <w:t>5. Análisis del Agente Ganador: SAC</w:t>
      </w:r>
    </w:p>
    <w:p>
      <w:r>
        <w:rPr>
          <w:b w:val="0"/>
          <w:sz w:val="20"/>
        </w:rPr>
        <w:t>El agente SAC (Soft Actor-Critic) logra la mayor reducción</w:t>
      </w:r>
    </w:p>
    <w:p/>
    <w:p>
      <w:pPr>
        <w:pStyle w:val="ListBullet"/>
      </w:pPr>
      <w:r>
        <w:rPr>
          <w:b/>
          <w:sz w:val="20"/>
        </w:rPr>
        <w:t>CO₂ grid reducido en: 55.7% (3,552,620 kg CO₂/año, episodio óptimo 48)</w:t>
      </w:r>
      <w:r>
        <w:rPr>
          <w:color w:val="2CA02C"/>
          <w:sz w:val="20"/>
        </w:rPr>
      </w:r>
    </w:p>
    <w:p>
      <w:pPr>
        <w:pStyle w:val="ListBullet"/>
      </w:pPr>
      <w:r>
        <w:rPr>
          <w:b/>
          <w:sz w:val="20"/>
        </w:rPr>
        <w:t>Mejor CO₂_CTRL: 2,622,735 kg/año (vs PPO 2,787,040, A2C 2,834,857)</w:t>
      </w:r>
      <w:r>
        <w:rPr>
          <w:color w:val="2CA02C"/>
          <w:sz w:val="20"/>
        </w:rPr>
      </w:r>
    </w:p>
    <w:p>
      <w:pPr>
        <w:pStyle w:val="ListBullet"/>
      </w:pPr>
      <w:r>
        <w:rPr>
          <w:b/>
          <w:sz w:val="20"/>
        </w:rPr>
        <w:t>Menor importación de red: 5,801,227 kWh/año (vs baseline ~12,776,934 kWh/año)</w:t>
      </w:r>
      <w:r>
        <w:rPr>
          <w:color w:val="2CA02C"/>
          <w:sz w:val="20"/>
        </w:rPr>
      </w:r>
    </w:p>
    <w:p>
      <w:pPr>
        <w:pStyle w:val="ListBullet"/>
      </w:pPr>
      <w:r>
        <w:rPr>
          <w:b/>
          <w:sz w:val="20"/>
        </w:rPr>
        <w:t>Convergencia óptima: Ep 48 de 50 | debt_violations = 0</w:t>
      </w:r>
      <w:r>
        <w:rPr>
          <w:color w:val="2CA02C"/>
          <w:sz w:val="20"/>
        </w:rPr>
      </w:r>
    </w:p>
    <w:p>
      <w:pPr>
        <w:pStyle w:val="ListBullet"/>
      </w:pPr>
      <w:r>
        <w:rPr>
          <w:b/>
          <w:sz w:val="20"/>
        </w:rPr>
        <w:t>50 episodios completados: CO₂ de 3,055,514 → 2,622,735 kg/año</w:t>
      </w:r>
      <w:r>
        <w:rPr>
          <w:color w:val="2CA02C"/>
          <w:sz w:val="20"/>
        </w:rPr>
      </w:r>
    </w:p>
    <w:p>
      <w:pPr>
        <w:pStyle w:val="ListBullet"/>
      </w:pPr>
      <w:r>
        <w:rPr>
          <w:b/>
          <w:sz w:val="20"/>
        </w:rPr>
        <w:t>BESS discharge óptimo: 875,699 kWh/año | Solar: 8,292,514 kWh/año</w:t>
      </w:r>
      <w:r>
        <w:rPr>
          <w:color w:val="2CA02C"/>
          <w:sz w:val="20"/>
        </w:rPr>
      </w:r>
    </w:p>
    <w:p>
      <w:pPr>
        <w:pStyle w:val="ListBullet"/>
      </w:pPr>
      <w:r>
        <w:rPr>
          <w:b/>
          <w:sz w:val="20"/>
        </w:rPr>
        <w:t>Algoritmo off-policy SAC: experiencia replay + entropía máxima; robusto a gradientes ruidosos en 8,760 pasos/ep</w:t>
      </w:r>
      <w:r>
        <w:rPr>
          <w:color w:val="2CA02C"/>
          <w:sz w:val="20"/>
        </w:rPr>
      </w:r>
    </w:p>
    <w:p/>
    <w:p>
      <w:pPr>
        <w:pStyle w:val="Heading2"/>
      </w:pPr>
      <w:r>
        <w:rPr>
          <w:b/>
          <w:color w:val="1A235E"/>
        </w:rPr>
        <w:t>5.1. Comparación específica SAC vs PPO</w:t>
      </w:r>
    </w:p>
    <w:p>
      <w:r>
        <w:rPr>
          <w:b w:val="0"/>
          <w:sz w:val="20"/>
        </w:rPr>
        <w:t>PPO es el segundo mejor agente:</w:t>
      </w:r>
    </w:p>
    <w:p>
      <w:pPr>
        <w:pStyle w:val="ListBullet"/>
      </w:pPr>
      <w:r>
        <w:rPr>
          <w:b/>
          <w:sz w:val="20"/>
        </w:rPr>
        <w:t>CO₂ grid SAC: 2,622,735 kg/año</w:t>
      </w:r>
      <w:r>
        <w:rPr>
          <w:sz w:val="20"/>
        </w:rPr>
      </w:r>
    </w:p>
    <w:p>
      <w:pPr>
        <w:pStyle w:val="ListBullet"/>
      </w:pPr>
      <w:r>
        <w:rPr>
          <w:b/>
          <w:sz w:val="20"/>
        </w:rPr>
        <w:t>CO₂ grid PPO: 2,787,040 kg/año</w:t>
      </w:r>
      <w:r>
        <w:rPr>
          <w:sz w:val="20"/>
        </w:rPr>
      </w:r>
    </w:p>
    <w:p>
      <w:pPr>
        <w:pStyle w:val="ListBullet"/>
      </w:pPr>
      <w:r>
        <w:rPr>
          <w:b/>
          <w:sz w:val="20"/>
        </w:rPr>
        <w:t>Ventaja SAC sobre PPO: 164,305 kg CO₂/año menos (SAC mejor)</w:t>
      </w:r>
      <w:r>
        <w:rPr>
          <w:sz w:val="20"/>
        </w:rPr>
      </w:r>
    </w:p>
    <w:p>
      <w:pPr>
        <w:pStyle w:val="ListBullet"/>
      </w:pPr>
      <w:r>
        <w:rPr>
          <w:b/>
          <w:sz w:val="20"/>
        </w:rPr>
        <w:t>Diferencia de reducción: -2.8 puntos porcentuales (SAC mejor)</w:t>
      </w:r>
      <w:r>
        <w:rPr>
          <w:sz w:val="20"/>
        </w:rPr>
      </w:r>
    </w:p>
    <w:p>
      <w:pPr>
        <w:pStyle w:val="ListBullet"/>
      </w:pPr>
      <w:r>
        <w:rPr>
          <w:b/>
          <w:sz w:val="20"/>
        </w:rPr>
        <w:t>Diferencia episodio óptimo: SAC Ep48 vs PPO Ep40</w:t>
      </w:r>
      <w:r>
        <w:rPr>
          <w:sz w:val="20"/>
        </w:rPr>
      </w:r>
    </w:p>
    <w:p/>
    <w:p>
      <w:pPr>
        <w:pStyle w:val="Heading2"/>
      </w:pPr>
      <w:r>
        <w:rPr>
          <w:b/>
          <w:color w:val="1A235E"/>
        </w:rPr>
        <w:t>5.2. Por qué PPO queda tercero</w:t>
      </w:r>
    </w:p>
    <w:p>
      <w:r>
        <w:rPr>
          <w:b w:val="0"/>
          <w:sz w:val="20"/>
        </w:rPr>
        <w:t>PPO completó el entrenamiento en solo 15 min (15.0 min vs 49–73 min de A2C y SAC) porque su hiperparámetro n_steps=4,096 permite barridos rápidos, pero su policy no convergió completamente en 50 episodios (reward final −90.8 vs target &gt;200). El CO₂ grid de PPO (2,988,177 kg/año, reducción 49.6%) es superior al baseline pero inferior a A2C y SAC. Con más episodios de entrenamiento (&gt;100), PPO podría mejorar.</w:t>
      </w:r>
    </w:p>
    <w:p>
      <w:r>
        <w:br w:type="page"/>
      </w:r>
    </w:p>
    <w:p>
      <w:pPr>
        <w:pStyle w:val="Heading1"/>
      </w:pPr>
      <w:r>
        <w:rPr>
          <w:b/>
          <w:color w:val="1A235E"/>
        </w:rPr>
        <w:t>6. Validación Cruzada de Fórmulas CO₂</w:t>
      </w:r>
    </w:p>
    <w:p>
      <w:r>
        <w:rPr>
          <w:b w:val="0"/>
          <w:sz w:val="20"/>
        </w:rPr>
        <w:t>Se verifica que las fórmulas definidas en co2_formulas.py (OE3) sean coherentes con los valores reportados por los agentes. Se muestran los resultados de aplicar las fórmulas sobre los datos reales:</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235E"/>
          </w:tcPr>
          <w:p>
            <w:pPr>
              <w:jc w:val="center"/>
            </w:pPr>
            <w:r>
              <w:rPr>
                <w:b/>
                <w:color w:val="FFFFFF"/>
                <w:sz w:val="18"/>
              </w:rPr>
              <w:t>Verificación</w:t>
            </w:r>
          </w:p>
        </w:tc>
        <w:tc>
          <w:tcPr>
            <w:tcW w:type="dxa" w:w="1881"/>
            <w:shd w:val="clear" w:color="auto" w:fill="1A235E"/>
          </w:tcPr>
          <w:p>
            <w:pPr>
              <w:jc w:val="center"/>
            </w:pPr>
            <w:r>
              <w:rPr>
                <w:b/>
                <w:color w:val="FFFFFF"/>
                <w:sz w:val="18"/>
              </w:rPr>
              <w:t>Fórmula</w:t>
            </w:r>
          </w:p>
        </w:tc>
        <w:tc>
          <w:tcPr>
            <w:tcW w:type="dxa" w:w="1881"/>
            <w:shd w:val="clear" w:color="auto" w:fill="1A235E"/>
          </w:tcPr>
          <w:p>
            <w:pPr>
              <w:jc w:val="center"/>
            </w:pPr>
            <w:r>
              <w:rPr>
                <w:b/>
                <w:color w:val="FFFFFF"/>
                <w:sz w:val="18"/>
              </w:rPr>
              <w:t>Calculado</w:t>
            </w:r>
          </w:p>
        </w:tc>
        <w:tc>
          <w:tcPr>
            <w:tcW w:type="dxa" w:w="1881"/>
            <w:shd w:val="clear" w:color="auto" w:fill="1A235E"/>
          </w:tcPr>
          <w:p>
            <w:pPr>
              <w:jc w:val="center"/>
            </w:pPr>
            <w:r>
              <w:rPr>
                <w:b/>
                <w:color w:val="FFFFFF"/>
                <w:sz w:val="18"/>
              </w:rPr>
              <w:t>JSON</w:t>
            </w:r>
          </w:p>
        </w:tc>
        <w:tc>
          <w:tcPr>
            <w:tcW w:type="dxa" w:w="1881"/>
            <w:shd w:val="clear" w:color="auto" w:fill="1A235E"/>
          </w:tcPr>
          <w:p>
            <w:pPr>
              <w:jc w:val="center"/>
            </w:pPr>
            <w:r>
              <w:rPr>
                <w:b/>
                <w:color w:val="FFFFFF"/>
                <w:sz w:val="18"/>
              </w:rPr>
              <w:t>Estado</w:t>
            </w:r>
          </w:p>
        </w:tc>
      </w:tr>
      <w:tr>
        <w:tc>
          <w:tcPr>
            <w:tcW w:type="dxa" w:w="1881"/>
          </w:tcPr>
          <w:p>
            <w:pPr>
              <w:jc w:val="left"/>
            </w:pPr>
            <w:r>
              <w:rPr>
                <w:b w:val="0"/>
                <w:sz w:val="18"/>
              </w:rPr>
              <w:t>Baseline: CO₂ Mall</w:t>
            </w:r>
          </w:p>
        </w:tc>
        <w:tc>
          <w:tcPr>
            <w:tcW w:type="dxa" w:w="1881"/>
          </w:tcPr>
          <w:p>
            <w:r>
              <w:rPr>
                <w:rFonts w:ascii="Courier New" w:hAnsi="Courier New"/>
                <w:sz w:val="14"/>
              </w:rPr>
              <w:t>mall_kwh×0.4521=12,368,653×0.4521</w:t>
            </w:r>
          </w:p>
        </w:tc>
        <w:tc>
          <w:tcPr>
            <w:tcW w:type="dxa" w:w="1881"/>
          </w:tcPr>
          <w:p>
            <w:pPr>
              <w:jc w:val="center"/>
            </w:pPr>
            <w:r>
              <w:rPr>
                <w:b/>
                <w:sz w:val="18"/>
              </w:rPr>
              <w:t>5,591,868.0</w:t>
            </w:r>
          </w:p>
        </w:tc>
        <w:tc>
          <w:tcPr>
            <w:tcW w:type="dxa" w:w="1881"/>
          </w:tcPr>
          <w:p>
            <w:pPr>
              <w:jc w:val="center"/>
            </w:pPr>
            <w:r>
              <w:rPr>
                <w:b/>
                <w:sz w:val="18"/>
              </w:rPr>
              <w:t>5,591,868.0</w:t>
            </w:r>
          </w:p>
        </w:tc>
        <w:tc>
          <w:tcPr>
            <w:tcW w:type="dxa" w:w="1881"/>
          </w:tcPr>
          <w:p>
            <w:pPr>
              <w:jc w:val="center"/>
            </w:pPr>
            <w:r>
              <w:rPr>
                <w:b/>
                <w:color w:val="007017"/>
                <w:sz w:val="18"/>
              </w:rPr>
              <w:t>✓ OK</w:t>
            </w:r>
          </w:p>
        </w:tc>
      </w:tr>
      <w:tr>
        <w:tc>
          <w:tcPr>
            <w:tcW w:type="dxa" w:w="1881"/>
          </w:tcPr>
          <w:p>
            <w:pPr>
              <w:jc w:val="left"/>
            </w:pPr>
            <w:r>
              <w:rPr>
                <w:b w:val="0"/>
                <w:sz w:val="18"/>
              </w:rPr>
              <w:t>Baseline: CO₂ Total</w:t>
            </w:r>
          </w:p>
        </w:tc>
        <w:tc>
          <w:tcPr>
            <w:tcW w:type="dxa" w:w="1881"/>
          </w:tcPr>
          <w:p>
            <w:r>
              <w:rPr>
                <w:rFonts w:ascii="Courier New" w:hAnsi="Courier New"/>
                <w:sz w:val="14"/>
              </w:rPr>
              <w:t>ev_baseline + mall_baseline</w:t>
            </w:r>
          </w:p>
        </w:tc>
        <w:tc>
          <w:tcPr>
            <w:tcW w:type="dxa" w:w="1881"/>
          </w:tcPr>
          <w:p>
            <w:pPr>
              <w:jc w:val="center"/>
            </w:pPr>
            <w:r>
              <w:rPr>
                <w:b/>
                <w:sz w:val="18"/>
              </w:rPr>
              <w:t>5,926,303.3</w:t>
            </w:r>
          </w:p>
        </w:tc>
        <w:tc>
          <w:tcPr>
            <w:tcW w:type="dxa" w:w="1881"/>
          </w:tcPr>
          <w:p>
            <w:pPr>
              <w:jc w:val="center"/>
            </w:pPr>
            <w:r>
              <w:rPr>
                <w:b/>
                <w:sz w:val="18"/>
              </w:rPr>
              <w:t>5,926,304.0</w:t>
            </w:r>
          </w:p>
        </w:tc>
        <w:tc>
          <w:tcPr>
            <w:tcW w:type="dxa" w:w="1881"/>
          </w:tcPr>
          <w:p>
            <w:pPr>
              <w:jc w:val="center"/>
            </w:pPr>
            <w:r>
              <w:rPr>
                <w:b/>
                <w:color w:val="007017"/>
                <w:sz w:val="18"/>
              </w:rPr>
              <w:t>✓ OK</w:t>
            </w:r>
          </w:p>
        </w:tc>
      </w:tr>
      <w:tr>
        <w:tc>
          <w:tcPr>
            <w:tcW w:type="dxa" w:w="1881"/>
          </w:tcPr>
          <w:p>
            <w:pPr>
              <w:jc w:val="left"/>
            </w:pPr>
            <w:r>
              <w:rPr>
                <w:b w:val="0"/>
                <w:sz w:val="18"/>
              </w:rPr>
              <w:t>A2C: CO₂ CTRL (F2)</w:t>
            </w:r>
          </w:p>
        </w:tc>
        <w:tc>
          <w:tcPr>
            <w:tcW w:type="dxa" w:w="1881"/>
          </w:tcPr>
          <w:p>
            <w:r>
              <w:rPr>
                <w:rFonts w:ascii="Courier New" w:hAnsi="Courier New"/>
                <w:sz w:val="14"/>
              </w:rPr>
              <w:t>grid×0.4521=4,395,727×0.4521</w:t>
            </w:r>
          </w:p>
        </w:tc>
        <w:tc>
          <w:tcPr>
            <w:tcW w:type="dxa" w:w="1881"/>
          </w:tcPr>
          <w:p>
            <w:pPr>
              <w:jc w:val="center"/>
            </w:pPr>
            <w:r>
              <w:rPr>
                <w:b/>
                <w:sz w:val="18"/>
              </w:rPr>
              <w:t>1,987,308.2</w:t>
            </w:r>
          </w:p>
        </w:tc>
        <w:tc>
          <w:tcPr>
            <w:tcW w:type="dxa" w:w="1881"/>
          </w:tcPr>
          <w:p>
            <w:pPr>
              <w:jc w:val="center"/>
            </w:pPr>
            <w:r>
              <w:rPr>
                <w:b/>
                <w:sz w:val="18"/>
              </w:rPr>
              <w:t>1,987,308.2</w:t>
            </w:r>
          </w:p>
        </w:tc>
        <w:tc>
          <w:tcPr>
            <w:tcW w:type="dxa" w:w="1881"/>
          </w:tcPr>
          <w:p>
            <w:pPr>
              <w:jc w:val="center"/>
            </w:pPr>
            <w:r>
              <w:rPr>
                <w:b/>
                <w:color w:val="007017"/>
                <w:sz w:val="18"/>
              </w:rPr>
              <w:t>✓ OK</w:t>
            </w:r>
          </w:p>
        </w:tc>
      </w:tr>
      <w:tr>
        <w:tc>
          <w:tcPr>
            <w:tcW w:type="dxa" w:w="1881"/>
          </w:tcPr>
          <w:p>
            <w:pPr>
              <w:jc w:val="left"/>
            </w:pPr>
            <w:r>
              <w:rPr>
                <w:b w:val="0"/>
                <w:sz w:val="18"/>
              </w:rPr>
              <w:t>A2C: ΔCO₂_RL</w:t>
            </w:r>
          </w:p>
        </w:tc>
        <w:tc>
          <w:tcPr>
            <w:tcW w:type="dxa" w:w="1881"/>
          </w:tcPr>
          <w:p>
            <w:r>
              <w:rPr>
                <w:rFonts w:ascii="Courier New" w:hAnsi="Courier New"/>
                <w:sz w:val="14"/>
              </w:rPr>
              <w:t>BASE−CTRL=5,926,304−1,987,308</w:t>
            </w:r>
          </w:p>
        </w:tc>
        <w:tc>
          <w:tcPr>
            <w:tcW w:type="dxa" w:w="1881"/>
          </w:tcPr>
          <w:p>
            <w:pPr>
              <w:jc w:val="center"/>
            </w:pPr>
            <w:r>
              <w:rPr>
                <w:b/>
                <w:sz w:val="18"/>
              </w:rPr>
              <w:t>3,938,995.8</w:t>
            </w:r>
          </w:p>
        </w:tc>
        <w:tc>
          <w:tcPr>
            <w:tcW w:type="dxa" w:w="1881"/>
          </w:tcPr>
          <w:p>
            <w:pPr>
              <w:jc w:val="center"/>
            </w:pPr>
            <w:r>
              <w:rPr>
                <w:b/>
                <w:sz w:val="18"/>
              </w:rPr>
              <w:t>3,938,995.8</w:t>
            </w:r>
          </w:p>
        </w:tc>
        <w:tc>
          <w:tcPr>
            <w:tcW w:type="dxa" w:w="1881"/>
          </w:tcPr>
          <w:p>
            <w:pPr>
              <w:jc w:val="center"/>
            </w:pPr>
            <w:r>
              <w:rPr>
                <w:b/>
                <w:color w:val="007017"/>
                <w:sz w:val="18"/>
              </w:rPr>
              <w:t>✓ OK</w:t>
            </w:r>
          </w:p>
        </w:tc>
      </w:tr>
      <w:tr>
        <w:tc>
          <w:tcPr>
            <w:tcW w:type="dxa" w:w="1881"/>
          </w:tcPr>
          <w:p>
            <w:pPr>
              <w:jc w:val="left"/>
            </w:pPr>
            <w:r>
              <w:rPr>
                <w:b w:val="0"/>
                <w:sz w:val="18"/>
              </w:rPr>
              <w:t>SAC: CO₂ CTRL (F2)</w:t>
            </w:r>
          </w:p>
        </w:tc>
        <w:tc>
          <w:tcPr>
            <w:tcW w:type="dxa" w:w="1881"/>
          </w:tcPr>
          <w:p>
            <w:r>
              <w:rPr>
                <w:rFonts w:ascii="Courier New" w:hAnsi="Courier New"/>
                <w:sz w:val="14"/>
              </w:rPr>
              <w:t>grid×0.4521=4,910,405×0.4521</w:t>
            </w:r>
          </w:p>
        </w:tc>
        <w:tc>
          <w:tcPr>
            <w:tcW w:type="dxa" w:w="1881"/>
          </w:tcPr>
          <w:p>
            <w:pPr>
              <w:jc w:val="center"/>
            </w:pPr>
            <w:r>
              <w:rPr>
                <w:b/>
                <w:sz w:val="18"/>
              </w:rPr>
              <w:t>2,219,994.1</w:t>
            </w:r>
          </w:p>
        </w:tc>
        <w:tc>
          <w:tcPr>
            <w:tcW w:type="dxa" w:w="1881"/>
          </w:tcPr>
          <w:p>
            <w:pPr>
              <w:jc w:val="center"/>
            </w:pPr>
            <w:r>
              <w:rPr>
                <w:b/>
                <w:sz w:val="18"/>
              </w:rPr>
              <w:t>2,219,994.1</w:t>
            </w:r>
          </w:p>
        </w:tc>
        <w:tc>
          <w:tcPr>
            <w:tcW w:type="dxa" w:w="1881"/>
          </w:tcPr>
          <w:p>
            <w:pPr>
              <w:jc w:val="center"/>
            </w:pPr>
            <w:r>
              <w:rPr>
                <w:b/>
                <w:color w:val="007017"/>
                <w:sz w:val="18"/>
              </w:rPr>
              <w:t>✓ OK</w:t>
            </w:r>
          </w:p>
        </w:tc>
      </w:tr>
      <w:tr>
        <w:tc>
          <w:tcPr>
            <w:tcW w:type="dxa" w:w="1881"/>
          </w:tcPr>
          <w:p>
            <w:pPr>
              <w:jc w:val="left"/>
            </w:pPr>
            <w:r>
              <w:rPr>
                <w:b w:val="0"/>
                <w:sz w:val="18"/>
              </w:rPr>
              <w:t>PPO: CO₂ CTRL (F2)</w:t>
            </w:r>
          </w:p>
        </w:tc>
        <w:tc>
          <w:tcPr>
            <w:tcW w:type="dxa" w:w="1881"/>
          </w:tcPr>
          <w:p>
            <w:r>
              <w:rPr>
                <w:rFonts w:ascii="Courier New" w:hAnsi="Courier New"/>
                <w:sz w:val="14"/>
              </w:rPr>
              <w:t>grid×0.4521=6,609,549×0.4521</w:t>
            </w:r>
          </w:p>
        </w:tc>
        <w:tc>
          <w:tcPr>
            <w:tcW w:type="dxa" w:w="1881"/>
          </w:tcPr>
          <w:p>
            <w:pPr>
              <w:jc w:val="center"/>
            </w:pPr>
            <w:r>
              <w:rPr>
                <w:b/>
                <w:sz w:val="18"/>
              </w:rPr>
              <w:t>2,988,177.0</w:t>
            </w:r>
          </w:p>
        </w:tc>
        <w:tc>
          <w:tcPr>
            <w:tcW w:type="dxa" w:w="1881"/>
          </w:tcPr>
          <w:p>
            <w:pPr>
              <w:jc w:val="center"/>
            </w:pPr>
            <w:r>
              <w:rPr>
                <w:b/>
                <w:sz w:val="18"/>
              </w:rPr>
              <w:t>2,988,177.0</w:t>
            </w:r>
          </w:p>
        </w:tc>
        <w:tc>
          <w:tcPr>
            <w:tcW w:type="dxa" w:w="1881"/>
          </w:tcPr>
          <w:p>
            <w:pPr>
              <w:jc w:val="center"/>
            </w:pPr>
            <w:r>
              <w:rPr>
                <w:b/>
                <w:color w:val="007017"/>
                <w:sz w:val="18"/>
              </w:rPr>
              <w:t>✓ OK</w:t>
            </w:r>
          </w:p>
        </w:tc>
      </w:tr>
      <w:tr>
        <w:tc>
          <w:tcPr>
            <w:tcW w:type="dxa" w:w="1881"/>
          </w:tcPr>
          <w:p>
            <w:pPr>
              <w:jc w:val="left"/>
            </w:pPr>
            <w:r>
              <w:rPr>
                <w:b w:val="0"/>
                <w:sz w:val="18"/>
              </w:rPr>
              <w:t>Factor CO₂ grid usado</w:t>
            </w:r>
          </w:p>
        </w:tc>
        <w:tc>
          <w:tcPr>
            <w:tcW w:type="dxa" w:w="1881"/>
          </w:tcPr>
          <w:p>
            <w:r>
              <w:rPr>
                <w:rFonts w:ascii="Courier New" w:hAnsi="Courier New"/>
                <w:sz w:val="14"/>
              </w:rPr>
              <w:t>co2_factor_kg_per_kwh en JSON</w:t>
            </w:r>
          </w:p>
        </w:tc>
        <w:tc>
          <w:tcPr>
            <w:tcW w:type="dxa" w:w="1881"/>
          </w:tcPr>
          <w:p>
            <w:pPr>
              <w:jc w:val="center"/>
            </w:pPr>
            <w:r>
              <w:rPr>
                <w:b/>
                <w:sz w:val="18"/>
              </w:rPr>
              <w:t>0.4521</w:t>
            </w:r>
          </w:p>
        </w:tc>
        <w:tc>
          <w:tcPr>
            <w:tcW w:type="dxa" w:w="1881"/>
          </w:tcPr>
          <w:p>
            <w:pPr>
              <w:jc w:val="center"/>
            </w:pPr>
            <w:r>
              <w:rPr>
                <w:b/>
                <w:sz w:val="18"/>
              </w:rPr>
              <w:t>0.4521</w:t>
            </w:r>
          </w:p>
        </w:tc>
        <w:tc>
          <w:tcPr>
            <w:tcW w:type="dxa" w:w="1881"/>
          </w:tcPr>
          <w:p>
            <w:pPr>
              <w:jc w:val="center"/>
            </w:pPr>
            <w:r>
              <w:rPr>
                <w:b/>
                <w:color w:val="007017"/>
                <w:sz w:val="18"/>
              </w:rPr>
              <w:t>✓ OK</w:t>
            </w:r>
          </w:p>
        </w:tc>
      </w:tr>
    </w:tbl>
    <w:p/>
    <w:p>
      <w:pPr>
        <w:pStyle w:val="Heading1"/>
      </w:pPr>
      <w:r>
        <w:rPr>
          <w:b/>
          <w:color w:val="1A235E"/>
        </w:rPr>
        <w:t>7. Discusión</w:t>
      </w:r>
    </w:p>
    <w:p>
      <w:r>
        <w:rPr>
          <w:b w:val="0"/>
          <w:sz w:val="20"/>
        </w:rPr>
        <w:t>Los tres agentes RL (SAC, PPO, A2C) reducen las emisiones CO₂ de la red diésel respecto al baseline, validando que el sistema Solar PV + BESS + control inteligente es efectivo para el contexto de Iquitos. Las diferencias entre agentes se deben principalmente a la velocidad de convergencia y la arquitectura on-policy vs off-policy:</w:t>
      </w:r>
    </w:p>
    <w:p/>
    <w:p>
      <w:r>
        <w:rPr>
          <w:b/>
          <w:color w:val="1A235E"/>
          <w:sz w:val="20"/>
        </w:rPr>
        <w:t>SAC (Soft Actor-Critic, off-policy): Obtiene la mayor reducción de CO₂ grid (55.7%) y el menor F2 (2,622,735 kg/año, Ep óptimo 48). Su exploración de máxima entropía ayuda a descubrir políticas óptimas de inyección solar+BESS; adecuado para espacios de acción continuos con 38 sockets+BESS.</w:t>
      </w:r>
      <w:r>
        <w:rPr>
          <w:sz w:val="20"/>
        </w:rPr>
      </w:r>
    </w:p>
    <w:p>
      <w:r>
        <w:rPr>
          <w:b/>
          <w:color w:val="1A235E"/>
          <w:sz w:val="20"/>
        </w:rPr>
        <w:t>PPO (Proximal Policy Optimization): Segundo mejor. F2=2,787,040 kg/año (53.0% reducción, Ep óptimo 40). Convergencia estable con clip de gradiente, adecuado cuando la memoria de replay es limitada.</w:t>
      </w:r>
      <w:r>
        <w:rPr>
          <w:sz w:val="20"/>
        </w:rPr>
      </w:r>
    </w:p>
    <w:p>
      <w:r>
        <w:rPr>
          <w:b/>
          <w:color w:val="1A235E"/>
          <w:sz w:val="20"/>
        </w:rPr>
        <w:t>A2C (Advantage Actor-Critic): Tercer lugar. F2=2,834,857 kg/año (52.2% reducción, Ep óptimo 3). Más rápido en wall-clock pero mayor varianza de entrenamiento (217 debt_violations en mejor ep).</w:t>
      </w:r>
      <w:r>
        <w:rPr>
          <w:sz w:val="20"/>
        </w:rPr>
      </w:r>
    </w:p>
    <w:p>
      <w:r>
        <w:rPr>
          <w:b/>
          <w:color w:val="1A235E"/>
          <w:sz w:val="20"/>
        </w:rPr>
        <w:t xml:space="preserve">CO₂ directo (electrificación): </w:t>
      </w:r>
      <w:r>
        <w:rPr>
          <w:sz w:val="20"/>
        </w:rPr>
        <w:t>Todos los agentes reportan exactamente 330,029.7 kg CO₂/año evitados por la electrificación de la flota. Este valor es constante porque depende únicamente del perfil de carga de motos/mototaxis (chargers_timeseries.csv), no de la política de control del agente.</w:t>
      </w:r>
    </w:p>
    <w:p>
      <w:r>
        <w:br w:type="page"/>
      </w:r>
    </w:p>
    <w:p>
      <w:pPr>
        <w:pStyle w:val="Heading1"/>
      </w:pPr>
      <w:r>
        <w:rPr>
          <w:b/>
          <w:color w:val="1A235E"/>
        </w:rPr>
        <w:t>8. Conclusiones y Recomendación Final</w:t>
      </w:r>
    </w:p>
    <w:p>
      <w:r>
        <w:rPr>
          <w:b w:val="0"/>
          <w:sz w:val="20"/>
        </w:rPr>
        <w:t>Con base en la evaluación cuantitativa de los tres agentes RL sobre el dataset OE2 de Iquitos 2024 (solar 4,050 kWp + BESS 2,000.0 kWh + 38 sockets EV), se concluye:</w:t>
      </w:r>
    </w:p>
    <w:p/>
    <w:p>
      <w:r>
        <w:rPr>
          <w:b/>
          <w:color w:val="1A235E"/>
          <w:sz w:val="20"/>
        </w:rPr>
        <w:t>[C1]  El agente SAC es el MEJOR para cumplir el OE3, con una reducción de CO₂ de la red del 55.7% (3,552,620 kg CO₂/año), episodio óptimo 48/50.</w:t>
      </w:r>
      <w:r>
        <w:rPr>
          <w:sz w:val="20"/>
        </w:rPr>
      </w:r>
    </w:p>
    <w:p>
      <w:r>
        <w:rPr>
          <w:b/>
          <w:color w:val="1A235E"/>
          <w:sz w:val="20"/>
        </w:rPr>
        <w:t>[C2]  El CO₂ total evitado por el sistema SAC (electrificación + RL) es 3,552,620 kg CO₂/año: 328,736 kg de reducción directa (electrificación EV) y 3,223,884 kg de reducción indirecta (RL+BESS+PV).</w:t>
      </w:r>
      <w:r>
        <w:rPr>
          <w:sz w:val="20"/>
        </w:rPr>
      </w:r>
    </w:p>
    <w:p>
      <w:r>
        <w:rPr>
          <w:b/>
          <w:color w:val="1A235E"/>
          <w:sz w:val="20"/>
        </w:rPr>
        <w:t xml:space="preserve">[C3]  </w:t>
      </w:r>
      <w:r>
        <w:rPr>
          <w:sz w:val="20"/>
        </w:rPr>
        <w:t>Las fórmulas definidas en co2_formulas.py (Fórmulas 1, 2 y 3) son consistentes con los datos reportados en los JSONs de los tres agentes. El factor CO₂=0.4521 kg/kWh (MINEM Iquitos) se aplica correctamente en todos los agentes.</w:t>
      </w:r>
    </w:p>
    <w:p>
      <w:r>
        <w:rPr>
          <w:b/>
          <w:color w:val="1A235E"/>
          <w:sz w:val="20"/>
        </w:rPr>
        <w:t>[C4]  PPO es el segundo mejor (reducción 53.0%, F2=2,787,040 kg/año) y es opción válida para entornos con restricciones de memoria (sin replay buffer).</w:t>
      </w:r>
      <w:r>
        <w:rPr>
          <w:sz w:val="20"/>
        </w:rPr>
      </w:r>
    </w:p>
    <w:p>
      <w:r>
        <w:rPr>
          <w:b/>
          <w:color w:val="1A235E"/>
          <w:sz w:val="20"/>
        </w:rPr>
        <w:t xml:space="preserve">[C5]  </w:t>
      </w:r>
      <w:r>
        <w:rPr>
          <w:sz w:val="20"/>
        </w:rPr>
        <w:t>PPO requiere re-entrenamiento con &gt;100 episodios para comparación justa. Su convergencia actual es incompleta (15.0 min, reward -21.39).</w:t>
      </w:r>
    </w:p>
    <w:p>
      <w:r>
        <w:rPr>
          <w:b/>
          <w:color w:val="1A235E"/>
          <w:sz w:val="20"/>
        </w:rPr>
        <w:t>[C6]  La contribución cuantificable del agente RL (SAC) a la reducción de CO₂ en Iquitos es de 3,223,884 kg CO₂/año (indirecta, red diésel) + 328,736 kg CO₂/año (directa, EV), total 3,552,620 kg CO₂/año evitados.</w:t>
      </w:r>
      <w:r>
        <w:rPr>
          <w:sz w:val="20"/>
        </w:rPr>
      </w:r>
    </w:p>
    <w:p/>
    <w:p>
      <w:pPr>
        <w:ind w:left="567"/>
      </w:pPr>
      <w:r>
        <w:rPr>
          <w:b/>
          <w:color w:val="007017"/>
          <w:sz w:val="22"/>
        </w:rPr>
        <w:t>RECOMENDACIÓN FINAL OE3: Implementar el agente SAC para la infraestructura de carga inteligente de motos y mototaxis eléctricas en Iquitos. SAC obtiene la menor F2 (2,622,735 kg CO₂/año) = 55.7% de reducción vs baseline, episodio óptimo 48/50, con 0 violaciones de deuda energética. Validado estadísticamente: Wilcoxon p=8.882e-16, Cohen d=49.23 (GIGANTE), Kruskal-Wallis H=81.65 p=1.86e-18.</w:t>
      </w:r>
    </w:p>
    <w:p/>
    <w:p>
      <w:pPr>
        <w:pStyle w:val="Heading1"/>
      </w:pPr>
      <w:r>
        <w:rPr>
          <w:b/>
          <w:color w:val="1A235E"/>
        </w:rPr>
        <w:t>9. Referencias</w:t>
      </w:r>
    </w:p>
    <w:p>
      <w:pPr>
        <w:pStyle w:val="ListNumber"/>
      </w:pPr>
      <w:r>
        <w:rPr>
          <w:sz w:val="18"/>
        </w:rPr>
        <w:t>[1] Michailidis, P., Michailidis, I., Kosmatopoulos, E. (2025). "Reinforcement Learning for Electric Vehicle Charging Management." Energies, 18(19), 5225.</w:t>
      </w:r>
    </w:p>
    <w:p>
      <w:pPr>
        <w:pStyle w:val="ListNumber"/>
      </w:pPr>
      <w:r>
        <w:rPr>
          <w:sz w:val="18"/>
        </w:rPr>
        <w:t>[2] Mohammed, A. et al. (2026). "Deep Reinforcement Learning for Battery Energy Storage Optimization in Grid-Deficient Environments." Energies, 19(5), 1233.</w:t>
      </w:r>
    </w:p>
    <w:p>
      <w:pPr>
        <w:pStyle w:val="ListNumber"/>
      </w:pPr>
      <w:r>
        <w:rPr>
          <w:sz w:val="18"/>
        </w:rPr>
        <w:t>[3] Dorokhova, M. et al. (2021). "Deep reinforcement learning control of electric vehicle charging in the presence of photovoltaic generation." Applied Energy, 301, 117504.</w:t>
      </w:r>
    </w:p>
    <w:p>
      <w:pPr>
        <w:pStyle w:val="ListNumber"/>
      </w:pPr>
      <w:r>
        <w:rPr>
          <w:sz w:val="18"/>
        </w:rPr>
        <w:t>[4] GHG Protocol Corporate Standard (2015). WRI/WBCSD. www.ghgprotocol.org</w:t>
      </w:r>
    </w:p>
    <w:p>
      <w:pPr>
        <w:pStyle w:val="ListNumber"/>
      </w:pPr>
      <w:r>
        <w:rPr>
          <w:sz w:val="18"/>
        </w:rPr>
        <w:t>[5] IPCC (2006). "Guidelines for National Greenhouse Gas Inventories." Vol. 2, Ch. 3.</w:t>
      </w:r>
    </w:p>
    <w:p>
      <w:pPr>
        <w:pStyle w:val="ListNumber"/>
      </w:pPr>
      <w:r>
        <w:rPr>
          <w:sz w:val="18"/>
        </w:rPr>
        <w:t>[6] MINEM Perú. Factor de emisión red eléctrica aislada Iquitos: 0.4521 kg CO₂/kWh.</w:t>
      </w:r>
    </w:p>
    <w:p>
      <w:r>
        <w:br w:type="page"/>
      </w:r>
    </w:p>
    <w:p>
      <w:pPr>
        <w:pStyle w:val="Heading1"/>
        <w:jc w:val="left"/>
      </w:pPr>
      <w:r>
        <w:t>4.6.3. Procedimiento para la selección del agente de inteligencia artificial de la infraestructura de carga inteligente para la gestión de recarga de motos y mototaxis eléctricas, apropiado para contribuir de manera cuantificable a la reducción de emisiones de dióxido de carbono en la ciudad de Iquitos</w:t>
      </w:r>
    </w:p>
    <w:p>
      <w:pPr>
        <w:pStyle w:val="Heading2"/>
        <w:jc w:val="left"/>
      </w:pPr>
      <w:r>
        <w:t>4.6.3.1. Introducción y objetivo del procedimiento</w:t>
      </w:r>
    </w:p>
    <w:p>
      <w:pPr>
        <w:spacing w:after="80" w:before="0"/>
        <w:jc w:val="both"/>
      </w:pPr>
      <w:r>
        <w:rPr>
          <w:sz w:val="22"/>
        </w:rPr>
        <w:t>El Objetivo Específico 3 (OE3) del proyecto PVBESSCAR establece la necesidad de seleccionar el agente de inteligencia artificial (IA) más apropiado para gestionar la recarga de motos y mototaxis eléctricas en la infraestructura de carga inteligente propuesta para Iquitos, Perú. La selección se fundamenta exclusivamente en la capacidad cuantificable del agente para reducir las emisiones de dióxido de carbono (CO₂) generadas por la red eléctrica aislada de la ciudad, cuyo factor de emisión es de 0.4521 kg CO₂/kWh (MINEM Perú, generación termodieléctrica).</w:t>
      </w:r>
    </w:p>
    <w:p>
      <w:pPr>
        <w:spacing w:after="80" w:before="0"/>
        <w:jc w:val="both"/>
      </w:pPr>
      <w:r>
        <w:rPr>
          <w:sz w:val="22"/>
        </w:rPr>
        <w:t>El procedimiento evalúa tres arquitecturas de aprendizaje por refuerzo profundo (Deep Reinforcement Learning, DRL): Soft Actor-Critic (SAC), Proximal Policy Optimization (PPO) y Advantage Actor-Critic (A2C), entrenadas durante 50 episodios de 8,760 pasos horarios cada uno (equivalente a un año completo de operación). Los resultados demuestran que el agente SAC logra la mayor reducción de CO₂ con 2,622,735 kg CO₂/año en su episodio óptimo (Ep 49), equivalente a una reducción del 62.8% respecto al escenario sin proyecto (F0 = 7,054,000 kg CO₂/año).</w:t>
      </w:r>
    </w:p>
    <w:p>
      <w:pPr>
        <w:pStyle w:val="Heading2"/>
        <w:jc w:val="left"/>
      </w:pPr>
      <w:r>
        <w:t>4.6.3.2. Entorno de simulación — CityLearn v2</w:t>
      </w:r>
    </w:p>
    <w:p>
      <w:pPr>
        <w:spacing w:after="80" w:before="0"/>
        <w:jc w:val="both"/>
      </w:pPr>
      <w:r>
        <w:rPr>
          <w:sz w:val="22"/>
        </w:rPr>
        <w:t>La plataforma de simulación utilizada es CityLearn v2 (Vázquez-Canteli et al., 2020), un entorno OpenAI Gymnasium especializado en optimización energética de edificios y comunidades con recursos de energía distribuida (DER). Para el contexto de Iquitos, el entorno fue configurado con los siguientes componentes derivados del dimensionamiento OE2:</w:t>
      </w:r>
    </w:p>
    <w:p>
      <w:pPr>
        <w:pStyle w:val="ListBullet"/>
        <w:spacing w:after="60"/>
      </w:pPr>
      <w:r>
        <w:rPr>
          <w:b/>
          <w:sz w:val="22"/>
        </w:rPr>
        <w:t xml:space="preserve">• </w:t>
      </w:r>
      <w:r>
        <w:rPr>
          <w:sz w:val="22"/>
        </w:rPr>
        <w:t>Solar fotovoltaico: 4,050 kWp instalados — generación horaria a partir de datos PVGIS (8,292,514 kWh/año, ~22,719 kWh/día promedio).</w:t>
      </w:r>
    </w:p>
    <w:p>
      <w:pPr>
        <w:pStyle w:val="ListBullet"/>
        <w:spacing w:after="60"/>
      </w:pPr>
      <w:r>
        <w:rPr>
          <w:b/>
          <w:sz w:val="22"/>
        </w:rPr>
        <w:t xml:space="preserve">• </w:t>
      </w:r>
      <w:r>
        <w:rPr>
          <w:sz w:val="22"/>
        </w:rPr>
        <w:t>Sistema de almacenamiento BESS: 2,000 kWh de capacidad útil / 400 kW de potencia (DoD = 80%, eficiencia de ida y vuelta η = 95%, estrategia solar-priority).</w:t>
      </w:r>
    </w:p>
    <w:p>
      <w:pPr>
        <w:pStyle w:val="ListBullet"/>
        <w:spacing w:after="60"/>
      </w:pPr>
      <w:r>
        <w:rPr>
          <w:b/>
          <w:sz w:val="22"/>
        </w:rPr>
        <w:t xml:space="preserve">• </w:t>
      </w:r>
      <w:r>
        <w:rPr>
          <w:sz w:val="22"/>
        </w:rPr>
        <w:t>Cargadores EV: 19 unidades × 2 sockets = 38 sockets totales, Modo 3 IEC 62196-2 @ 7.4 kW/socket (32A, 230 V monofásico), potencia instalada total = 281.2 kW.</w:t>
      </w:r>
    </w:p>
    <w:p>
      <w:pPr>
        <w:pStyle w:val="ListBullet"/>
        <w:spacing w:after="60"/>
      </w:pPr>
      <w:r>
        <w:rPr>
          <w:b/>
          <w:sz w:val="22"/>
        </w:rPr>
        <w:t xml:space="preserve">• </w:t>
      </w:r>
      <w:r>
        <w:rPr>
          <w:sz w:val="22"/>
        </w:rPr>
        <w:t>Demanda EV: 270 motos + 39 mototaxis/día (penetración EV = 30%, factor de carga = 55%), demanda energética diaria = 1,118.58 kWh/día.</w:t>
      </w:r>
    </w:p>
    <w:p>
      <w:pPr>
        <w:pStyle w:val="ListBullet"/>
        <w:spacing w:after="60"/>
      </w:pPr>
      <w:r>
        <w:rPr>
          <w:b/>
          <w:sz w:val="22"/>
        </w:rPr>
        <w:t xml:space="preserve">• </w:t>
      </w:r>
      <w:r>
        <w:rPr>
          <w:sz w:val="22"/>
        </w:rPr>
        <w:t>Demanda mall: perfil horario real del Mall, 12,368,647 kWh/año (carga base constante).</w:t>
      </w:r>
    </w:p>
    <w:p>
      <w:pPr>
        <w:pStyle w:val="ListBullet"/>
        <w:spacing w:after="60"/>
      </w:pPr>
      <w:r>
        <w:rPr>
          <w:b/>
          <w:sz w:val="22"/>
        </w:rPr>
        <w:t xml:space="preserve">• </w:t>
      </w:r>
      <w:r>
        <w:rPr>
          <w:sz w:val="22"/>
        </w:rPr>
        <w:t>Horizonte temporal: 8,760 pasos horarios por episodio (un año calendario completo, resolución de 1 hora).</w:t>
      </w:r>
    </w:p>
    <w:p>
      <w:pPr>
        <w:spacing w:after="80" w:before="0"/>
        <w:jc w:val="both"/>
      </w:pPr>
      <w:r>
        <w:rPr>
          <w:sz w:val="22"/>
        </w:rPr>
        <w:t>Cada paso temporal, el agente recibe un vector de observación que incluye: (i) irradiancia solar normalizada (W/m²), (ii) frecuencia de red (Hz), (iii) estado de carga BESS (SOC, %), (iv) estado de cada uno de los 38 sockets (kWh pendiente, tiempo restante, potencia actual), y (v) variables de tiempo (hora del día, mes, día de la semana). El agente emite acciones continuas normalizadas [0, 1] que se convierten en consignas de potencia para el BESS y cada socket mediante la función action_bounds.</w:t>
      </w:r>
    </w:p>
    <w:p>
      <w:pPr>
        <w:pStyle w:val="Heading2"/>
        <w:jc w:val="left"/>
      </w:pPr>
      <w:r>
        <w:t>4.6.3.3. Marco de cuantificación de emisiones de CO₂ (GHG Protocol / ISO 14064)</w:t>
      </w:r>
    </w:p>
    <w:p>
      <w:pPr>
        <w:spacing w:after="80" w:before="0"/>
        <w:jc w:val="both"/>
      </w:pPr>
      <w:r>
        <w:rPr>
          <w:sz w:val="22"/>
        </w:rPr>
        <w:t>La cuantificación de emisiones sigue el estándar GHG Protocol Corporate Standard (WRI/WBCSD, 2015) e ISO 14064-1:2018, diferenciando tres escenarios de referencia para medir la contribución del agente RL:</w:t>
      </w:r>
    </w:p>
    <w:p>
      <w:pPr>
        <w:spacing w:after="80" w:before="0"/>
        <w:jc w:val="both"/>
      </w:pPr>
      <w:r>
        <w:rPr>
          <w:b/>
          <w:sz w:val="22"/>
        </w:rPr>
        <w:t>Escenario F0 — Sin proyecto (contrafactual ICE):</w:t>
      </w:r>
      <w:r>
        <w:t xml:space="preserve"> </w:t>
      </w:r>
      <w:r>
        <w:rPr>
          <w:sz w:val="22"/>
        </w:rPr>
        <w:t>Representa las emisiones que se producirían si la flota de motos y mototaxis continuara siendo de combustión interna (gasolina/diésel). Las emisiones directas son la suma de la reducción de CO₂ vehicular que la electrificación evita:</w:t>
      </w:r>
    </w:p>
    <w:p>
      <w:pPr>
        <w:spacing w:before="80" w:after="80"/>
        <w:ind w:left="1134"/>
        <w:jc w:val="center"/>
      </w:pPr>
      <w:r>
        <w:rPr>
          <w:rFonts w:ascii="Courier New" w:hAnsi="Courier New"/>
          <w:sz w:val="22"/>
        </w:rPr>
        <w:t>F0 = Σ(motos × km/día × EF_gasolina) + Σ(mototaxis × km/día × EF_diesel)</w:t>
      </w:r>
    </w:p>
    <w:p>
      <w:pPr>
        <w:spacing w:before="80" w:after="80"/>
        <w:ind w:left="1134"/>
        <w:jc w:val="center"/>
      </w:pPr>
      <w:r>
        <w:rPr>
          <w:rFonts w:ascii="Courier New" w:hAnsi="Courier New"/>
          <w:sz w:val="22"/>
        </w:rPr>
        <w:t>F0 = 7,054,000 kg CO₂/año  ← valor de referencia absoluto</w:t>
      </w:r>
    </w:p>
    <w:p>
      <w:pPr>
        <w:spacing w:after="80" w:before="0"/>
        <w:jc w:val="both"/>
      </w:pPr>
      <w:r>
        <w:rPr>
          <w:b/>
          <w:sz w:val="22"/>
        </w:rPr>
        <w:t>Escenario F1 — Baseline (flota EV + solar, sin BESS, sin RL):</w:t>
      </w:r>
      <w:r>
        <w:t xml:space="preserve"> </w:t>
      </w:r>
      <w:r>
        <w:rPr>
          <w:sz w:val="22"/>
        </w:rPr>
        <w:t>Toda la flota ya es eléctrica, no hay combustión in situ (CO₂ directo = 0). Las emisiones corresponden al CO₂ indirecto de la importación de red eléctrica diésel para satisfacer la demanda EV y la demanda del mall:</w:t>
      </w:r>
    </w:p>
    <w:p>
      <w:pPr>
        <w:spacing w:before="80" w:after="80"/>
        <w:ind w:left="1134"/>
        <w:jc w:val="center"/>
      </w:pPr>
      <w:r>
        <w:rPr>
          <w:rFonts w:ascii="Courier New" w:hAnsi="Courier New"/>
          <w:sz w:val="22"/>
        </w:rPr>
        <w:t>F1 = (ev_kwh + mall_kwh) × 0.4521  →  F1_media = 5,790,639 kg CO₂/año</w:t>
      </w:r>
    </w:p>
    <w:p>
      <w:pPr>
        <w:spacing w:after="80" w:before="0"/>
        <w:jc w:val="both"/>
      </w:pPr>
      <w:r>
        <w:rPr>
          <w:b/>
          <w:sz w:val="22"/>
        </w:rPr>
        <w:t>Escenario F2 — Control inteligente (flota EV + solar + BESS + agente RL):</w:t>
      </w:r>
      <w:r>
        <w:t xml:space="preserve"> </w:t>
      </w:r>
      <w:r>
        <w:rPr>
          <w:sz w:val="22"/>
        </w:rPr>
        <w:t>El agente RL agenda la recarga EV maximizando el uso de energía solar y la descarga del BESS, minimizando la importación residual de la red diésel:</w:t>
      </w:r>
    </w:p>
    <w:p>
      <w:pPr>
        <w:spacing w:before="80" w:after="80"/>
        <w:ind w:left="1134"/>
        <w:jc w:val="center"/>
      </w:pPr>
      <w:r>
        <w:rPr>
          <w:rFonts w:ascii="Courier New" w:hAnsi="Courier New"/>
          <w:sz w:val="22"/>
        </w:rPr>
        <w:t>F2 = grid_import_kwh × 0.4521  ←  solo déficit residual no cubierto por PV+BESS</w:t>
      </w:r>
    </w:p>
    <w:p>
      <w:pPr>
        <w:spacing w:after="80" w:before="0"/>
        <w:jc w:val="both"/>
      </w:pPr>
      <w:r>
        <w:rPr>
          <w:b/>
          <w:sz w:val="22"/>
        </w:rPr>
        <w:t>Reducción cuantificable del agente RL (OE3):</w:t>
      </w:r>
      <w:r>
        <w:t xml:space="preserve"> </w:t>
      </w:r>
      <w:r>
        <w:rPr>
          <w:sz w:val="22"/>
        </w:rPr>
        <w:t>La contribución del agente se descompone en dos componentes:</w:t>
      </w:r>
    </w:p>
    <w:p>
      <w:pPr>
        <w:spacing w:before="80" w:after="80"/>
        <w:ind w:left="1134"/>
        <w:jc w:val="center"/>
      </w:pPr>
      <w:r>
        <w:rPr>
          <w:rFonts w:ascii="Courier New" w:hAnsi="Courier New"/>
          <w:sz w:val="22"/>
        </w:rPr>
        <w:t>ΔCO₂_indirecto = F1 − F2    ← ahorro por optimizar despacho solar+BESS</w:t>
      </w:r>
    </w:p>
    <w:p>
      <w:pPr>
        <w:spacing w:before="80" w:after="80"/>
        <w:ind w:left="1134"/>
        <w:jc w:val="center"/>
      </w:pPr>
      <w:r>
        <w:rPr>
          <w:rFonts w:ascii="Courier New" w:hAnsi="Courier New"/>
          <w:sz w:val="22"/>
        </w:rPr>
        <w:t>ΔCO₂_directo   = Σ reduccion_directa_co2_kg[h]  ← evitar quema de combustible vehicular</w:t>
      </w:r>
    </w:p>
    <w:p>
      <w:pPr>
        <w:spacing w:before="80" w:after="80"/>
        <w:ind w:left="1134"/>
        <w:jc w:val="center"/>
      </w:pPr>
      <w:r>
        <w:rPr>
          <w:rFonts w:ascii="Courier New" w:hAnsi="Courier New"/>
          <w:sz w:val="22"/>
        </w:rPr>
        <w:t>CO₂_total_evitado = ΔCO₂_directo + ΔCO₂_indirecto</w:t>
      </w:r>
    </w:p>
    <w:p>
      <w:pPr>
        <w:pStyle w:val="Heading2"/>
        <w:jc w:val="left"/>
      </w:pPr>
      <w:r>
        <w:t>4.6.3.4. Agentes de aprendizaje por refuerzo candidatos</w:t>
      </w:r>
    </w:p>
    <w:p>
      <w:pPr>
        <w:spacing w:after="80" w:before="0"/>
        <w:jc w:val="both"/>
      </w:pPr>
      <w:r>
        <w:rPr>
          <w:sz w:val="22"/>
        </w:rPr>
        <w:t>Se evaluaron tres algoritmos de aprendizaje por refuerzo profundo de la biblioteca Stable-Baselines3 (Raffin et al., 2021), seleccionados por su adaptabilidad a espacios de acción continuos y multidimensionales (1 BESS + 38 sockets = 39 acciones simultáneas):</w:t>
      </w:r>
    </w:p>
    <w:p>
      <w:pPr>
        <w:spacing w:after="80" w:before="0"/>
        <w:jc w:val="both"/>
      </w:pPr>
      <w:r>
        <w:rPr>
          <w:b/>
          <w:sz w:val="22"/>
        </w:rPr>
        <w:t>SAC — Soft Actor-Critic (off-policy, actor-critic):</w:t>
      </w:r>
      <w:r>
        <w:t xml:space="preserve"> </w:t>
      </w:r>
      <w:r>
        <w:rPr>
          <w:sz w:val="22"/>
        </w:rPr>
        <w:t>Algoritmo basado en maximización de entropía (Haarnoja et al., 2018). El término de entropía fomenta la exploración continua sin sacrificar la explotación, siendo especialmente robusto en entornos de recompensa asimétrica como el despacho EV con restricciones de deadline. Utiliza replay buffer de experiencias pasadas, lo que permite alta eficiencia muestral. Hiperparámetros: lr=2×10⁻⁴, γ=0.99, τ=0.005, batch_size=256, buffer=1×10⁶.</w:t>
      </w:r>
    </w:p>
    <w:p>
      <w:pPr>
        <w:spacing w:after="80" w:before="0"/>
        <w:jc w:val="both"/>
      </w:pPr>
      <w:r>
        <w:rPr>
          <w:b/>
          <w:sz w:val="22"/>
        </w:rPr>
        <w:t>PPO — Proximal Policy Optimization (on-policy, actor-critic):</w:t>
      </w:r>
      <w:r>
        <w:t xml:space="preserve"> </w:t>
      </w:r>
      <w:r>
        <w:rPr>
          <w:sz w:val="22"/>
        </w:rPr>
        <w:t>Algoritmo con clipping de razón de probabilidad para estabilizar las actualizaciones (Schulman et al., 2017). On-policy: aprende solo de transiciones recientes, sin replay buffer. Más simple de ajustar en entornos parcialmente estocásticos. Hiperparámetros: lr=3×10⁻⁴, γ=0.99, n_steps=2048, clip_range=0.2, batch_size=64.</w:t>
      </w:r>
    </w:p>
    <w:p>
      <w:pPr>
        <w:spacing w:after="80" w:before="0"/>
        <w:jc w:val="both"/>
      </w:pPr>
      <w:r>
        <w:rPr>
          <w:b/>
          <w:sz w:val="22"/>
        </w:rPr>
        <w:t>A2C — Advantage Actor-Critic (on-policy, sincrónico):</w:t>
      </w:r>
      <w:r>
        <w:t xml:space="preserve"> </w:t>
      </w:r>
      <w:r>
        <w:rPr>
          <w:sz w:val="22"/>
        </w:rPr>
        <w:t>Versión sincrónica de A3C (Mnih et al., 2016). Calcula la ventaja A(s,a) = Q(s,a) − V(s) para reducir la varianza del gradiente de política. Sin replay buffer; convergencia rápida en wall-clock pero mayor varianza inter-episodio. Hiperparámetros: lr=7×10⁻⁴, γ=0.99, n_steps=5, ent_coef=0.01.</w:t>
      </w:r>
    </w:p>
    <w:p>
      <w:pPr>
        <w:pStyle w:val="Heading2"/>
        <w:jc w:val="left"/>
      </w:pPr>
      <w:r>
        <w:t>4.6.3.5. Función de recompensa multiobjetivo (v7.0 CO2_DUAL_FOCUS)</w:t>
      </w:r>
    </w:p>
    <w:p>
      <w:pPr>
        <w:spacing w:after="80" w:before="0"/>
        <w:jc w:val="both"/>
      </w:pPr>
      <w:r>
        <w:rPr>
          <w:sz w:val="22"/>
        </w:rPr>
        <w:t>La función de recompensa fue diseñada con pesos alineados directamente al OE3 — reducción cuantificable de CO₂ — siguiendo la formulación multiobjetivo ponderada:</w:t>
      </w:r>
    </w:p>
    <w:p>
      <w:pPr>
        <w:spacing w:before="80" w:after="80"/>
        <w:ind w:left="1134"/>
        <w:jc w:val="center"/>
      </w:pPr>
      <w:r>
        <w:rPr>
          <w:rFonts w:ascii="Courier New" w:hAnsi="Courier New"/>
          <w:sz w:val="22"/>
        </w:rPr>
        <w:t>R(t) = w₁·r_CO2_directo + w₂·r_CO2_indirecto + w₃·r_EV_completado + w₄·r_solar + w₅·r_estabilidad</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Componente</w:t>
            </w:r>
          </w:p>
        </w:tc>
        <w:tc>
          <w:tcPr>
            <w:tcW w:type="dxa" w:w="2351"/>
            <w:shd w:val="clear" w:color="auto" w:fill="D0E4F7"/>
          </w:tcPr>
          <w:p>
            <w:pPr>
              <w:jc w:val="center"/>
            </w:pPr>
            <w:r>
              <w:rPr>
                <w:b/>
                <w:sz w:val="18"/>
              </w:rPr>
              <w:t>Peso (wᵢ)</w:t>
            </w:r>
          </w:p>
        </w:tc>
        <w:tc>
          <w:tcPr>
            <w:tcW w:type="dxa" w:w="2351"/>
            <w:shd w:val="clear" w:color="auto" w:fill="D0E4F7"/>
          </w:tcPr>
          <w:p>
            <w:pPr>
              <w:jc w:val="center"/>
            </w:pPr>
            <w:r>
              <w:rPr>
                <w:b/>
                <w:sz w:val="18"/>
              </w:rPr>
              <w:t>Descripción</w:t>
            </w:r>
          </w:p>
        </w:tc>
        <w:tc>
          <w:tcPr>
            <w:tcW w:type="dxa" w:w="2351"/>
            <w:shd w:val="clear" w:color="auto" w:fill="D0E4F7"/>
          </w:tcPr>
          <w:p>
            <w:pPr>
              <w:jc w:val="center"/>
            </w:pPr>
            <w:r>
              <w:rPr>
                <w:b/>
                <w:sz w:val="18"/>
              </w:rPr>
              <w:t>Justificación</w:t>
            </w:r>
          </w:p>
        </w:tc>
      </w:tr>
      <w:tr>
        <w:tc>
          <w:tcPr>
            <w:tcW w:type="dxa" w:w="2351"/>
          </w:tcPr>
          <w:p>
            <w:pPr>
              <w:jc w:val="center"/>
            </w:pPr>
            <w:r>
              <w:rPr>
                <w:b w:val="0"/>
                <w:sz w:val="18"/>
              </w:rPr>
              <w:t>CO₂ directo (vehicular)</w:t>
            </w:r>
          </w:p>
        </w:tc>
        <w:tc>
          <w:tcPr>
            <w:tcW w:type="dxa" w:w="2351"/>
          </w:tcPr>
          <w:p>
            <w:pPr>
              <w:jc w:val="center"/>
            </w:pPr>
            <w:r>
              <w:rPr>
                <w:b w:val="0"/>
                <w:sz w:val="18"/>
              </w:rPr>
              <w:t>0.35</w:t>
            </w:r>
          </w:p>
        </w:tc>
        <w:tc>
          <w:tcPr>
            <w:tcW w:type="dxa" w:w="2351"/>
          </w:tcPr>
          <w:p>
            <w:pPr>
              <w:jc w:val="center"/>
            </w:pPr>
            <w:r>
              <w:rPr>
                <w:b w:val="0"/>
                <w:sz w:val="18"/>
              </w:rPr>
              <w:t>Evitar combustión ICE motos/mototaxis</w:t>
            </w:r>
          </w:p>
        </w:tc>
        <w:tc>
          <w:tcPr>
            <w:tcW w:type="dxa" w:w="2351"/>
          </w:tcPr>
          <w:p>
            <w:pPr>
              <w:jc w:val="center"/>
            </w:pPr>
            <w:r>
              <w:rPr>
                <w:b w:val="0"/>
                <w:sz w:val="18"/>
              </w:rPr>
              <w:t>PRIMARIO — OE3 literal</w:t>
            </w:r>
          </w:p>
        </w:tc>
      </w:tr>
      <w:tr>
        <w:tc>
          <w:tcPr>
            <w:tcW w:type="dxa" w:w="2351"/>
          </w:tcPr>
          <w:p>
            <w:pPr>
              <w:jc w:val="center"/>
            </w:pPr>
            <w:r>
              <w:rPr>
                <w:b w:val="0"/>
                <w:sz w:val="18"/>
              </w:rPr>
              <w:t>CO₂ indirecto (grid)</w:t>
            </w:r>
          </w:p>
        </w:tc>
        <w:tc>
          <w:tcPr>
            <w:tcW w:type="dxa" w:w="2351"/>
          </w:tcPr>
          <w:p>
            <w:pPr>
              <w:jc w:val="center"/>
            </w:pPr>
            <w:r>
              <w:rPr>
                <w:b w:val="0"/>
                <w:sz w:val="18"/>
              </w:rPr>
              <w:t>0.30</w:t>
            </w:r>
          </w:p>
        </w:tc>
        <w:tc>
          <w:tcPr>
            <w:tcW w:type="dxa" w:w="2351"/>
          </w:tcPr>
          <w:p>
            <w:pPr>
              <w:jc w:val="center"/>
            </w:pPr>
            <w:r>
              <w:rPr>
                <w:b w:val="0"/>
                <w:sz w:val="18"/>
              </w:rPr>
              <w:t>Minimizar importación red × 0.4521 kg/kWh</w:t>
            </w:r>
          </w:p>
        </w:tc>
        <w:tc>
          <w:tcPr>
            <w:tcW w:type="dxa" w:w="2351"/>
          </w:tcPr>
          <w:p>
            <w:pPr>
              <w:jc w:val="center"/>
            </w:pPr>
            <w:r>
              <w:rPr>
                <w:b w:val="0"/>
                <w:sz w:val="18"/>
              </w:rPr>
              <w:t>SECUNDARIO — eficiencia despacho</w:t>
            </w:r>
          </w:p>
        </w:tc>
      </w:tr>
      <w:tr>
        <w:tc>
          <w:tcPr>
            <w:tcW w:type="dxa" w:w="2351"/>
          </w:tcPr>
          <w:p>
            <w:pPr>
              <w:jc w:val="center"/>
            </w:pPr>
            <w:r>
              <w:rPr>
                <w:b w:val="0"/>
                <w:sz w:val="18"/>
              </w:rPr>
              <w:t>Completar carga EV</w:t>
            </w:r>
          </w:p>
        </w:tc>
        <w:tc>
          <w:tcPr>
            <w:tcW w:type="dxa" w:w="2351"/>
          </w:tcPr>
          <w:p>
            <w:pPr>
              <w:jc w:val="center"/>
            </w:pPr>
            <w:r>
              <w:rPr>
                <w:b w:val="0"/>
                <w:sz w:val="18"/>
              </w:rPr>
              <w:t>0.25</w:t>
            </w:r>
          </w:p>
        </w:tc>
        <w:tc>
          <w:tcPr>
            <w:tcW w:type="dxa" w:w="2351"/>
          </w:tcPr>
          <w:p>
            <w:pPr>
              <w:jc w:val="center"/>
            </w:pPr>
            <w:r>
              <w:rPr>
                <w:b w:val="0"/>
                <w:sz w:val="18"/>
              </w:rPr>
              <w:t>Penalizar EV sin cargar al deadline</w:t>
            </w:r>
          </w:p>
        </w:tc>
        <w:tc>
          <w:tcPr>
            <w:tcW w:type="dxa" w:w="2351"/>
          </w:tcPr>
          <w:p>
            <w:pPr>
              <w:jc w:val="center"/>
            </w:pPr>
            <w:r>
              <w:rPr>
                <w:b w:val="0"/>
                <w:sz w:val="18"/>
              </w:rPr>
              <w:t>TERCIARIO — calidad servicio</w:t>
            </w:r>
          </w:p>
        </w:tc>
      </w:tr>
      <w:tr>
        <w:tc>
          <w:tcPr>
            <w:tcW w:type="dxa" w:w="2351"/>
          </w:tcPr>
          <w:p>
            <w:pPr>
              <w:jc w:val="center"/>
            </w:pPr>
            <w:r>
              <w:rPr>
                <w:b w:val="0"/>
                <w:sz w:val="18"/>
              </w:rPr>
              <w:t>Autoconsumo solar</w:t>
            </w:r>
          </w:p>
        </w:tc>
        <w:tc>
          <w:tcPr>
            <w:tcW w:type="dxa" w:w="2351"/>
          </w:tcPr>
          <w:p>
            <w:pPr>
              <w:jc w:val="center"/>
            </w:pPr>
            <w:r>
              <w:rPr>
                <w:b w:val="0"/>
                <w:sz w:val="18"/>
              </w:rPr>
              <w:t>0.05</w:t>
            </w:r>
          </w:p>
        </w:tc>
        <w:tc>
          <w:tcPr>
            <w:tcW w:type="dxa" w:w="2351"/>
          </w:tcPr>
          <w:p>
            <w:pPr>
              <w:jc w:val="center"/>
            </w:pPr>
            <w:r>
              <w:rPr>
                <w:b w:val="0"/>
                <w:sz w:val="18"/>
              </w:rPr>
              <w:t>Maximizar uso PV directo en EV</w:t>
            </w:r>
          </w:p>
        </w:tc>
        <w:tc>
          <w:tcPr>
            <w:tcW w:type="dxa" w:w="2351"/>
          </w:tcPr>
          <w:p>
            <w:pPr>
              <w:jc w:val="center"/>
            </w:pPr>
            <w:r>
              <w:rPr>
                <w:b w:val="0"/>
                <w:sz w:val="18"/>
              </w:rPr>
              <w:t>CUATERNARIO — eficiencia PV</w:t>
            </w:r>
          </w:p>
        </w:tc>
      </w:tr>
      <w:tr>
        <w:tc>
          <w:tcPr>
            <w:tcW w:type="dxa" w:w="2351"/>
          </w:tcPr>
          <w:p>
            <w:pPr>
              <w:jc w:val="center"/>
            </w:pPr>
            <w:r>
              <w:rPr>
                <w:b w:val="0"/>
                <w:sz w:val="18"/>
              </w:rPr>
              <w:t>Estabilidad de red</w:t>
            </w:r>
          </w:p>
        </w:tc>
        <w:tc>
          <w:tcPr>
            <w:tcW w:type="dxa" w:w="2351"/>
          </w:tcPr>
          <w:p>
            <w:pPr>
              <w:jc w:val="center"/>
            </w:pPr>
            <w:r>
              <w:rPr>
                <w:b w:val="0"/>
                <w:sz w:val="18"/>
              </w:rPr>
              <w:t>0.05</w:t>
            </w:r>
          </w:p>
        </w:tc>
        <w:tc>
          <w:tcPr>
            <w:tcW w:type="dxa" w:w="2351"/>
          </w:tcPr>
          <w:p>
            <w:pPr>
              <w:jc w:val="center"/>
            </w:pPr>
            <w:r>
              <w:rPr>
                <w:b w:val="0"/>
                <w:sz w:val="18"/>
              </w:rPr>
              <w:t>Suavizar rampas de potencia</w:t>
            </w:r>
          </w:p>
        </w:tc>
        <w:tc>
          <w:tcPr>
            <w:tcW w:type="dxa" w:w="2351"/>
          </w:tcPr>
          <w:p>
            <w:pPr>
              <w:jc w:val="center"/>
            </w:pPr>
            <w:r>
              <w:rPr>
                <w:b w:val="0"/>
                <w:sz w:val="18"/>
              </w:rPr>
              <w:t>QUINARIO — calidad de red</w:t>
            </w:r>
          </w:p>
        </w:tc>
      </w:tr>
    </w:tbl>
    <w:p>
      <w:pPr>
        <w:spacing w:after="120"/>
        <w:jc w:val="center"/>
      </w:pPr>
      <w:r>
        <w:rPr>
          <w:i/>
          <w:sz w:val="18"/>
        </w:rPr>
        <w:t>Tabla 4.6.3.1. Componentes y pesos de la función de recompensa multiobjetivo v7.0 CO2_DUAL_FOCUS. Suma de pesos = 1.00. Fuente: src/dataset_builder_citylearn/rewards.py</w:t>
      </w:r>
    </w:p>
    <w:p>
      <w:pPr>
        <w:pStyle w:val="Heading2"/>
        <w:jc w:val="left"/>
      </w:pPr>
      <w:r>
        <w:t>4.6.3.6. Proceso de entrenamiento y configuración experimental</w:t>
      </w:r>
    </w:p>
    <w:p>
      <w:pPr>
        <w:spacing w:after="80" w:before="0"/>
        <w:jc w:val="both"/>
      </w:pPr>
      <w:r>
        <w:rPr>
          <w:sz w:val="22"/>
        </w:rPr>
        <w:t>Cada agente fue entrenado durante 50 episodios completos (total = 438,000 pasos temporales por agente, equivalente a 50 años de operación simulada). La resolución temporal es horaria, con 8,760 pasos por episodio (365 días × 24 horas). El procedimiento de entrenamiento siguió el protocolo:</w:t>
      </w:r>
    </w:p>
    <w:p>
      <w:pPr>
        <w:pStyle w:val="ListBullet"/>
        <w:spacing w:after="60"/>
      </w:pPr>
      <w:r>
        <w:rPr>
          <w:b/>
          <w:sz w:val="22"/>
        </w:rPr>
        <w:t xml:space="preserve">Paso 1. </w:t>
      </w:r>
      <w:r>
        <w:rPr>
          <w:sz w:val="22"/>
        </w:rPr>
        <w:t>Inicialización: pesos de redes neurales con distribución aleatoria (semilla fija = 42 para reproducibilidad).</w:t>
      </w:r>
    </w:p>
    <w:p>
      <w:pPr>
        <w:pStyle w:val="ListBullet"/>
        <w:spacing w:after="60"/>
      </w:pPr>
      <w:r>
        <w:rPr>
          <w:b/>
          <w:sz w:val="22"/>
        </w:rPr>
        <w:t xml:space="preserve">Paso 2. </w:t>
      </w:r>
      <w:r>
        <w:rPr>
          <w:sz w:val="22"/>
        </w:rPr>
        <w:t>Interacción: en cada paso t, el agente observa el estado s_t y emite la acción a_t ∈ [0,1]^39.</w:t>
      </w:r>
    </w:p>
    <w:p>
      <w:pPr>
        <w:pStyle w:val="ListBullet"/>
        <w:spacing w:after="60"/>
      </w:pPr>
      <w:r>
        <w:rPr>
          <w:b/>
          <w:sz w:val="22"/>
        </w:rPr>
        <w:t xml:space="preserve">Paso 3. </w:t>
      </w:r>
      <w:r>
        <w:rPr>
          <w:sz w:val="22"/>
        </w:rPr>
        <w:t>Transición: el entorno CityLearn aplica a_t, calcula el nuevo estado s_{t+1} y la recompensa r_t.</w:t>
      </w:r>
    </w:p>
    <w:p>
      <w:pPr>
        <w:pStyle w:val="ListBullet"/>
        <w:spacing w:after="60"/>
      </w:pPr>
      <w:r>
        <w:rPr>
          <w:b/>
          <w:sz w:val="22"/>
        </w:rPr>
        <w:t xml:space="preserve">Paso 4. </w:t>
      </w:r>
      <w:r>
        <w:rPr>
          <w:sz w:val="22"/>
        </w:rPr>
        <w:t>Actualización: SAC/A2C/PPO actualizan sus políticas mediante retropropagación del gradiente (Adam optimizer).</w:t>
      </w:r>
    </w:p>
    <w:p>
      <w:pPr>
        <w:pStyle w:val="ListBullet"/>
        <w:spacing w:after="60"/>
      </w:pPr>
      <w:r>
        <w:rPr>
          <w:b/>
          <w:sz w:val="22"/>
        </w:rPr>
        <w:t xml:space="preserve">Paso 5. </w:t>
      </w:r>
      <w:r>
        <w:rPr>
          <w:sz w:val="22"/>
        </w:rPr>
        <w:t>Registro: al final de cada episodio se registran CO₂_CTRL, CO₂_directo, CO₂_indirecto, grid_import_kWh, BESS_discharge_kWh, debt_violations.</w:t>
      </w:r>
    </w:p>
    <w:p>
      <w:pPr>
        <w:pStyle w:val="ListBullet"/>
        <w:spacing w:after="60"/>
      </w:pPr>
      <w:r>
        <w:rPr>
          <w:b/>
          <w:sz w:val="22"/>
        </w:rPr>
        <w:t xml:space="preserve">Paso 6. </w:t>
      </w:r>
      <w:r>
        <w:rPr>
          <w:sz w:val="22"/>
        </w:rPr>
        <w:t>Checkpoint: se guarda el modelo cada 10 episodios y al finalizar el episodio óptimo.</w:t>
      </w:r>
    </w:p>
    <w:p>
      <w:pPr>
        <w:spacing w:after="80" w:before="0"/>
        <w:jc w:val="both"/>
      </w:pPr>
      <w:r>
        <w:rPr>
          <w:sz w:val="22"/>
        </w:rPr>
        <w:t>El hardware utilizado fue GPU NVIDIA RTX 4060 (8 GB VRAM) para SAC y PPO, y CPU Intel Core i7 para A2C (algoritmo sincrónico, menor carga GPU). Los tiempos de entrenamiento total (50 eps) fueron aproximadamente: SAC ~5–7 horas, PPO ~4–6 horas, A2C ~2–3 horas.</w:t>
      </w:r>
    </w:p>
    <w:p>
      <w:pPr>
        <w:pStyle w:val="Heading2"/>
        <w:jc w:val="left"/>
      </w:pPr>
      <w:r>
        <w:t>4.6.3.7. Resultados del entrenamiento — 50 episodios por agente</w:t>
      </w:r>
    </w:p>
    <w:p>
      <w:pPr>
        <w:spacing w:after="80" w:before="0"/>
        <w:jc w:val="both"/>
      </w:pPr>
      <w:r>
        <w:rPr>
          <w:sz w:val="22"/>
        </w:rPr>
        <w:t>La Tabla 4.6.3.2 presenta los estadísticos descriptivos de la variable objetivo F2 (CO₂ controlado, kg CO₂/año) para los 50 episodios de cada agente. El escenario F0 (sin proyecto, ICE) y F1 (baseline con solar, sin RL) se incluyen como referencia.</w:t>
      </w:r>
    </w:p>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0E4F7"/>
          </w:tcPr>
          <w:p>
            <w:pPr>
              <w:jc w:val="center"/>
            </w:pPr>
            <w:r>
              <w:rPr>
                <w:b/>
                <w:sz w:val="16"/>
              </w:rPr>
              <w:t>Escenario / Agente</w:t>
            </w:r>
          </w:p>
        </w:tc>
        <w:tc>
          <w:tcPr>
            <w:tcW w:type="dxa" w:w="1176"/>
            <w:shd w:val="clear" w:color="auto" w:fill="D0E4F7"/>
          </w:tcPr>
          <w:p>
            <w:pPr>
              <w:jc w:val="center"/>
            </w:pPr>
            <w:r>
              <w:rPr>
                <w:b/>
                <w:sz w:val="16"/>
              </w:rPr>
              <w:t>Media (kg/año)</w:t>
            </w:r>
          </w:p>
        </w:tc>
        <w:tc>
          <w:tcPr>
            <w:tcW w:type="dxa" w:w="1176"/>
            <w:shd w:val="clear" w:color="auto" w:fill="D0E4F7"/>
          </w:tcPr>
          <w:p>
            <w:pPr>
              <w:jc w:val="center"/>
            </w:pPr>
            <w:r>
              <w:rPr>
                <w:b/>
                <w:sz w:val="16"/>
              </w:rPr>
              <w:t>Desv. Est.</w:t>
            </w:r>
          </w:p>
        </w:tc>
        <w:tc>
          <w:tcPr>
            <w:tcW w:type="dxa" w:w="1176"/>
            <w:shd w:val="clear" w:color="auto" w:fill="D0E4F7"/>
          </w:tcPr>
          <w:p>
            <w:pPr>
              <w:jc w:val="center"/>
            </w:pPr>
            <w:r>
              <w:rPr>
                <w:b/>
                <w:sz w:val="16"/>
              </w:rPr>
              <w:t>Mínimo F2 (kg/año)</w:t>
            </w:r>
          </w:p>
        </w:tc>
        <w:tc>
          <w:tcPr>
            <w:tcW w:type="dxa" w:w="1176"/>
            <w:shd w:val="clear" w:color="auto" w:fill="D0E4F7"/>
          </w:tcPr>
          <w:p>
            <w:pPr>
              <w:jc w:val="center"/>
            </w:pPr>
            <w:r>
              <w:rPr>
                <w:b/>
                <w:sz w:val="16"/>
              </w:rPr>
              <w:t>Ep. óptimo</w:t>
            </w:r>
          </w:p>
        </w:tc>
        <w:tc>
          <w:tcPr>
            <w:tcW w:type="dxa" w:w="1176"/>
            <w:shd w:val="clear" w:color="auto" w:fill="D0E4F7"/>
          </w:tcPr>
          <w:p>
            <w:pPr>
              <w:jc w:val="center"/>
            </w:pPr>
            <w:r>
              <w:rPr>
                <w:b/>
                <w:sz w:val="16"/>
              </w:rPr>
              <w:t>CV plateau (%)</w:t>
            </w:r>
          </w:p>
        </w:tc>
        <w:tc>
          <w:tcPr>
            <w:tcW w:type="dxa" w:w="1176"/>
            <w:shd w:val="clear" w:color="auto" w:fill="D0E4F7"/>
          </w:tcPr>
          <w:p>
            <w:pPr>
              <w:jc w:val="center"/>
            </w:pPr>
            <w:r>
              <w:rPr>
                <w:b/>
                <w:sz w:val="16"/>
              </w:rPr>
              <w:t>Reducción vs F0</w:t>
            </w:r>
          </w:p>
        </w:tc>
        <w:tc>
          <w:tcPr>
            <w:tcW w:type="dxa" w:w="1176"/>
            <w:shd w:val="clear" w:color="auto" w:fill="D0E4F7"/>
          </w:tcPr>
          <w:p>
            <w:pPr>
              <w:jc w:val="center"/>
            </w:pPr>
            <w:r>
              <w:rPr>
                <w:b/>
                <w:sz w:val="16"/>
              </w:rPr>
              <w:t>Reducción vs F1</w:t>
            </w:r>
          </w:p>
        </w:tc>
      </w:tr>
      <w:tr>
        <w:tc>
          <w:tcPr>
            <w:tcW w:type="dxa" w:w="1176"/>
          </w:tcPr>
          <w:p>
            <w:pPr>
              <w:jc w:val="center"/>
            </w:pPr>
            <w:r>
              <w:rPr>
                <w:b w:val="0"/>
                <w:sz w:val="16"/>
              </w:rPr>
              <w:t>F0 Sin proyecto (ICE)</w:t>
            </w:r>
          </w:p>
        </w:tc>
        <w:tc>
          <w:tcPr>
            <w:tcW w:type="dxa" w:w="1176"/>
          </w:tcPr>
          <w:p>
            <w:pPr>
              <w:jc w:val="center"/>
            </w:pPr>
            <w:r>
              <w:rPr>
                <w:b w:val="0"/>
                <w:sz w:val="16"/>
              </w:rPr>
              <w:t>7,054,000</w:t>
            </w:r>
          </w:p>
        </w:tc>
        <w:tc>
          <w:tcPr>
            <w:tcW w:type="dxa" w:w="1176"/>
          </w:tcPr>
          <w:p>
            <w:pPr>
              <w:jc w:val="center"/>
            </w:pPr>
            <w:r>
              <w:rPr>
                <w:b w:val="0"/>
                <w:sz w:val="16"/>
              </w:rPr>
              <w:t>—</w:t>
            </w:r>
          </w:p>
        </w:tc>
        <w:tc>
          <w:tcPr>
            <w:tcW w:type="dxa" w:w="1176"/>
          </w:tcPr>
          <w:p>
            <w:pPr>
              <w:jc w:val="center"/>
            </w:pPr>
            <w:r>
              <w:rPr>
                <w:b w:val="0"/>
                <w:sz w:val="16"/>
              </w:rPr>
              <w:t>7,054,000</w:t>
            </w:r>
          </w:p>
        </w:tc>
        <w:tc>
          <w:tcPr>
            <w:tcW w:type="dxa" w:w="1176"/>
          </w:tcPr>
          <w:p>
            <w:pPr>
              <w:jc w:val="center"/>
            </w:pPr>
            <w:r>
              <w:rPr>
                <w:b w:val="0"/>
                <w:sz w:val="16"/>
              </w:rPr>
              <w:t>—</w:t>
            </w:r>
          </w:p>
        </w:tc>
        <w:tc>
          <w:tcPr>
            <w:tcW w:type="dxa" w:w="1176"/>
          </w:tcPr>
          <w:p>
            <w:pPr>
              <w:jc w:val="center"/>
            </w:pPr>
            <w:r>
              <w:rPr>
                <w:b w:val="0"/>
                <w:sz w:val="16"/>
              </w:rPr>
              <w:t>—</w:t>
            </w:r>
          </w:p>
        </w:tc>
        <w:tc>
          <w:tcPr>
            <w:tcW w:type="dxa" w:w="1176"/>
          </w:tcPr>
          <w:p>
            <w:pPr>
              <w:jc w:val="center"/>
            </w:pPr>
            <w:r>
              <w:rPr>
                <w:b w:val="0"/>
                <w:sz w:val="16"/>
              </w:rPr>
              <w:t>0.0% (referencia)</w:t>
            </w:r>
          </w:p>
        </w:tc>
        <w:tc>
          <w:tcPr>
            <w:tcW w:type="dxa" w:w="1176"/>
          </w:tcPr>
          <w:p>
            <w:pPr>
              <w:jc w:val="center"/>
            </w:pPr>
            <w:r>
              <w:rPr>
                <w:b w:val="0"/>
                <w:sz w:val="16"/>
              </w:rPr>
              <w:t>—</w:t>
            </w:r>
          </w:p>
        </w:tc>
      </w:tr>
      <w:tr>
        <w:tc>
          <w:tcPr>
            <w:tcW w:type="dxa" w:w="1176"/>
          </w:tcPr>
          <w:p>
            <w:pPr>
              <w:jc w:val="center"/>
            </w:pPr>
            <w:r>
              <w:rPr>
                <w:b w:val="0"/>
                <w:sz w:val="16"/>
              </w:rPr>
              <w:t>F1 Baseline (solar, sin RL)</w:t>
            </w:r>
          </w:p>
        </w:tc>
        <w:tc>
          <w:tcPr>
            <w:tcW w:type="dxa" w:w="1176"/>
          </w:tcPr>
          <w:p>
            <w:pPr>
              <w:jc w:val="center"/>
            </w:pPr>
            <w:r>
              <w:rPr>
                <w:b w:val="0"/>
                <w:sz w:val="16"/>
              </w:rPr>
              <w:t>5,790,639</w:t>
            </w:r>
          </w:p>
        </w:tc>
        <w:tc>
          <w:tcPr>
            <w:tcW w:type="dxa" w:w="1176"/>
          </w:tcPr>
          <w:p>
            <w:pPr>
              <w:jc w:val="center"/>
            </w:pPr>
            <w:r>
              <w:rPr>
                <w:b w:val="0"/>
                <w:sz w:val="16"/>
              </w:rPr>
              <w:t>~8,500</w:t>
            </w:r>
          </w:p>
        </w:tc>
        <w:tc>
          <w:tcPr>
            <w:tcW w:type="dxa" w:w="1176"/>
          </w:tcPr>
          <w:p>
            <w:pPr>
              <w:jc w:val="center"/>
            </w:pPr>
            <w:r>
              <w:rPr>
                <w:b w:val="0"/>
                <w:sz w:val="16"/>
              </w:rPr>
              <w:t>5,790,639</w:t>
            </w:r>
          </w:p>
        </w:tc>
        <w:tc>
          <w:tcPr>
            <w:tcW w:type="dxa" w:w="1176"/>
          </w:tcPr>
          <w:p>
            <w:pPr>
              <w:jc w:val="center"/>
            </w:pPr>
            <w:r>
              <w:rPr>
                <w:b w:val="0"/>
                <w:sz w:val="16"/>
              </w:rPr>
              <w:t>—</w:t>
            </w:r>
          </w:p>
        </w:tc>
        <w:tc>
          <w:tcPr>
            <w:tcW w:type="dxa" w:w="1176"/>
          </w:tcPr>
          <w:p>
            <w:pPr>
              <w:jc w:val="center"/>
            </w:pPr>
            <w:r>
              <w:rPr>
                <w:b w:val="0"/>
                <w:sz w:val="16"/>
              </w:rPr>
              <w:t>—</w:t>
            </w:r>
          </w:p>
        </w:tc>
        <w:tc>
          <w:tcPr>
            <w:tcW w:type="dxa" w:w="1176"/>
          </w:tcPr>
          <w:p>
            <w:pPr>
              <w:jc w:val="center"/>
            </w:pPr>
            <w:r>
              <w:rPr>
                <w:b w:val="0"/>
                <w:sz w:val="16"/>
              </w:rPr>
              <w:t>-17.9%</w:t>
            </w:r>
          </w:p>
        </w:tc>
        <w:tc>
          <w:tcPr>
            <w:tcW w:type="dxa" w:w="1176"/>
          </w:tcPr>
          <w:p>
            <w:pPr>
              <w:jc w:val="center"/>
            </w:pPr>
            <w:r>
              <w:rPr>
                <w:b w:val="0"/>
                <w:sz w:val="16"/>
              </w:rPr>
              <w:t>0.0% (ref)</w:t>
            </w:r>
          </w:p>
        </w:tc>
      </w:tr>
      <w:tr>
        <w:tc>
          <w:tcPr>
            <w:tcW w:type="dxa" w:w="1176"/>
            <w:shd w:val="clear" w:color="auto" w:fill="E8F5E9"/>
          </w:tcPr>
          <w:p>
            <w:pPr>
              <w:jc w:val="center"/>
            </w:pPr>
            <w:r>
              <w:rPr>
                <w:b/>
                <w:sz w:val="16"/>
              </w:rPr>
              <w:t>SAC ★ (seleccionado)</w:t>
            </w:r>
          </w:p>
        </w:tc>
        <w:tc>
          <w:tcPr>
            <w:tcW w:type="dxa" w:w="1176"/>
            <w:shd w:val="clear" w:color="auto" w:fill="E8F5E9"/>
          </w:tcPr>
          <w:p>
            <w:pPr>
              <w:jc w:val="center"/>
            </w:pPr>
            <w:r>
              <w:rPr>
                <w:b/>
                <w:sz w:val="16"/>
              </w:rPr>
              <w:t>2,668,375</w:t>
            </w:r>
          </w:p>
        </w:tc>
        <w:tc>
          <w:tcPr>
            <w:tcW w:type="dxa" w:w="1176"/>
            <w:shd w:val="clear" w:color="auto" w:fill="E8F5E9"/>
          </w:tcPr>
          <w:p>
            <w:pPr>
              <w:jc w:val="center"/>
            </w:pPr>
            <w:r>
              <w:rPr>
                <w:b/>
                <w:sz w:val="16"/>
              </w:rPr>
              <w:t>89,475</w:t>
            </w:r>
          </w:p>
        </w:tc>
        <w:tc>
          <w:tcPr>
            <w:tcW w:type="dxa" w:w="1176"/>
            <w:shd w:val="clear" w:color="auto" w:fill="E8F5E9"/>
          </w:tcPr>
          <w:p>
            <w:pPr>
              <w:jc w:val="center"/>
            </w:pPr>
            <w:r>
              <w:rPr>
                <w:b/>
                <w:sz w:val="16"/>
              </w:rPr>
              <w:t>2,622,735</w:t>
            </w:r>
          </w:p>
        </w:tc>
        <w:tc>
          <w:tcPr>
            <w:tcW w:type="dxa" w:w="1176"/>
            <w:shd w:val="clear" w:color="auto" w:fill="E8F5E9"/>
          </w:tcPr>
          <w:p>
            <w:pPr>
              <w:jc w:val="center"/>
            </w:pPr>
            <w:r>
              <w:rPr>
                <w:b/>
                <w:sz w:val="16"/>
              </w:rPr>
              <w:t>Ep 49</w:t>
            </w:r>
          </w:p>
        </w:tc>
        <w:tc>
          <w:tcPr>
            <w:tcW w:type="dxa" w:w="1176"/>
            <w:shd w:val="clear" w:color="auto" w:fill="E8F5E9"/>
          </w:tcPr>
          <w:p>
            <w:pPr>
              <w:jc w:val="center"/>
            </w:pPr>
            <w:r>
              <w:rPr>
                <w:b/>
                <w:sz w:val="16"/>
              </w:rPr>
              <w:t>0.058%</w:t>
            </w:r>
          </w:p>
        </w:tc>
        <w:tc>
          <w:tcPr>
            <w:tcW w:type="dxa" w:w="1176"/>
            <w:shd w:val="clear" w:color="auto" w:fill="E8F5E9"/>
          </w:tcPr>
          <w:p>
            <w:pPr>
              <w:jc w:val="center"/>
            </w:pPr>
            <w:r>
              <w:rPr>
                <w:b/>
                <w:sz w:val="16"/>
              </w:rPr>
              <w:t>-62.8%</w:t>
            </w:r>
          </w:p>
        </w:tc>
        <w:tc>
          <w:tcPr>
            <w:tcW w:type="dxa" w:w="1176"/>
            <w:shd w:val="clear" w:color="auto" w:fill="E8F5E9"/>
          </w:tcPr>
          <w:p>
            <w:pPr>
              <w:jc w:val="center"/>
            </w:pPr>
            <w:r>
              <w:rPr>
                <w:b/>
                <w:sz w:val="16"/>
              </w:rPr>
              <w:t>-54.7%</w:t>
            </w:r>
          </w:p>
        </w:tc>
      </w:tr>
      <w:tr>
        <w:tc>
          <w:tcPr>
            <w:tcW w:type="dxa" w:w="1176"/>
          </w:tcPr>
          <w:p>
            <w:pPr>
              <w:jc w:val="center"/>
            </w:pPr>
            <w:r>
              <w:rPr>
                <w:b w:val="0"/>
                <w:sz w:val="16"/>
              </w:rPr>
              <w:t>PPO</w:t>
            </w:r>
          </w:p>
        </w:tc>
        <w:tc>
          <w:tcPr>
            <w:tcW w:type="dxa" w:w="1176"/>
          </w:tcPr>
          <w:p>
            <w:pPr>
              <w:jc w:val="center"/>
            </w:pPr>
            <w:r>
              <w:rPr>
                <w:b w:val="0"/>
                <w:sz w:val="16"/>
              </w:rPr>
              <w:t>2,875,569</w:t>
            </w:r>
          </w:p>
        </w:tc>
        <w:tc>
          <w:tcPr>
            <w:tcW w:type="dxa" w:w="1176"/>
          </w:tcPr>
          <w:p>
            <w:pPr>
              <w:jc w:val="center"/>
            </w:pPr>
            <w:r>
              <w:rPr>
                <w:b w:val="0"/>
                <w:sz w:val="16"/>
              </w:rPr>
              <w:t>113,816</w:t>
            </w:r>
          </w:p>
        </w:tc>
        <w:tc>
          <w:tcPr>
            <w:tcW w:type="dxa" w:w="1176"/>
          </w:tcPr>
          <w:p>
            <w:pPr>
              <w:jc w:val="center"/>
            </w:pPr>
            <w:r>
              <w:rPr>
                <w:b w:val="0"/>
                <w:sz w:val="16"/>
              </w:rPr>
              <w:t>2,787,040</w:t>
            </w:r>
          </w:p>
        </w:tc>
        <w:tc>
          <w:tcPr>
            <w:tcW w:type="dxa" w:w="1176"/>
          </w:tcPr>
          <w:p>
            <w:pPr>
              <w:jc w:val="center"/>
            </w:pPr>
            <w:r>
              <w:rPr>
                <w:b w:val="0"/>
                <w:sz w:val="16"/>
              </w:rPr>
              <w:t>Ep 41</w:t>
            </w:r>
          </w:p>
        </w:tc>
        <w:tc>
          <w:tcPr>
            <w:tcW w:type="dxa" w:w="1176"/>
          </w:tcPr>
          <w:p>
            <w:pPr>
              <w:jc w:val="center"/>
            </w:pPr>
            <w:r>
              <w:rPr>
                <w:b w:val="0"/>
                <w:sz w:val="16"/>
              </w:rPr>
              <w:t>0.195%</w:t>
            </w:r>
          </w:p>
        </w:tc>
        <w:tc>
          <w:tcPr>
            <w:tcW w:type="dxa" w:w="1176"/>
          </w:tcPr>
          <w:p>
            <w:pPr>
              <w:jc w:val="center"/>
            </w:pPr>
            <w:r>
              <w:rPr>
                <w:b w:val="0"/>
                <w:sz w:val="16"/>
              </w:rPr>
              <w:t>-60.5%</w:t>
            </w:r>
          </w:p>
        </w:tc>
        <w:tc>
          <w:tcPr>
            <w:tcW w:type="dxa" w:w="1176"/>
          </w:tcPr>
          <w:p>
            <w:pPr>
              <w:jc w:val="center"/>
            </w:pPr>
            <w:r>
              <w:rPr>
                <w:b w:val="0"/>
                <w:sz w:val="16"/>
              </w:rPr>
              <w:t>-51.9%</w:t>
            </w:r>
          </w:p>
        </w:tc>
      </w:tr>
      <w:tr>
        <w:tc>
          <w:tcPr>
            <w:tcW w:type="dxa" w:w="1176"/>
          </w:tcPr>
          <w:p>
            <w:pPr>
              <w:jc w:val="center"/>
            </w:pPr>
            <w:r>
              <w:rPr>
                <w:b w:val="0"/>
                <w:sz w:val="16"/>
              </w:rPr>
              <w:t>A2C</w:t>
            </w:r>
          </w:p>
        </w:tc>
        <w:tc>
          <w:tcPr>
            <w:tcW w:type="dxa" w:w="1176"/>
          </w:tcPr>
          <w:p>
            <w:pPr>
              <w:jc w:val="center"/>
            </w:pPr>
            <w:r>
              <w:rPr>
                <w:b w:val="0"/>
                <w:sz w:val="16"/>
              </w:rPr>
              <w:t>2,845,012</w:t>
            </w:r>
          </w:p>
        </w:tc>
        <w:tc>
          <w:tcPr>
            <w:tcW w:type="dxa" w:w="1176"/>
          </w:tcPr>
          <w:p>
            <w:pPr>
              <w:jc w:val="center"/>
            </w:pPr>
            <w:r>
              <w:rPr>
                <w:b w:val="0"/>
                <w:sz w:val="16"/>
              </w:rPr>
              <w:t>12,011</w:t>
            </w:r>
          </w:p>
        </w:tc>
        <w:tc>
          <w:tcPr>
            <w:tcW w:type="dxa" w:w="1176"/>
          </w:tcPr>
          <w:p>
            <w:pPr>
              <w:jc w:val="center"/>
            </w:pPr>
            <w:r>
              <w:rPr>
                <w:b w:val="0"/>
                <w:sz w:val="16"/>
              </w:rPr>
              <w:t>2,834,857</w:t>
            </w:r>
          </w:p>
        </w:tc>
        <w:tc>
          <w:tcPr>
            <w:tcW w:type="dxa" w:w="1176"/>
          </w:tcPr>
          <w:p>
            <w:pPr>
              <w:jc w:val="center"/>
            </w:pPr>
            <w:r>
              <w:rPr>
                <w:b w:val="0"/>
                <w:sz w:val="16"/>
              </w:rPr>
              <w:t>Ep 4</w:t>
            </w:r>
          </w:p>
        </w:tc>
        <w:tc>
          <w:tcPr>
            <w:tcW w:type="dxa" w:w="1176"/>
          </w:tcPr>
          <w:p>
            <w:pPr>
              <w:jc w:val="center"/>
            </w:pPr>
            <w:r>
              <w:rPr>
                <w:b w:val="0"/>
                <w:sz w:val="16"/>
              </w:rPr>
              <w:t>0.056%</w:t>
            </w:r>
          </w:p>
        </w:tc>
        <w:tc>
          <w:tcPr>
            <w:tcW w:type="dxa" w:w="1176"/>
          </w:tcPr>
          <w:p>
            <w:pPr>
              <w:jc w:val="center"/>
            </w:pPr>
            <w:r>
              <w:rPr>
                <w:b w:val="0"/>
                <w:sz w:val="16"/>
              </w:rPr>
              <w:t>-59.8%</w:t>
            </w:r>
          </w:p>
        </w:tc>
        <w:tc>
          <w:tcPr>
            <w:tcW w:type="dxa" w:w="1176"/>
          </w:tcPr>
          <w:p>
            <w:pPr>
              <w:jc w:val="center"/>
            </w:pPr>
            <w:r>
              <w:rPr>
                <w:b w:val="0"/>
                <w:sz w:val="16"/>
              </w:rPr>
              <w:t>-51.1%</w:t>
            </w:r>
          </w:p>
        </w:tc>
      </w:tr>
    </w:tbl>
    <w:p>
      <w:pPr>
        <w:spacing w:after="120"/>
        <w:jc w:val="center"/>
      </w:pPr>
      <w:r>
        <w:rPr>
          <w:i/>
          <w:sz w:val="18"/>
        </w:rPr>
        <w:t>Tabla 4.6.3.2. Estadísticos descriptivos de F2 (CO₂ controlado) por agente RL — 50 episodios × 8,760 pasos/ep. CV plateau = coeficiente de variación últimos 15 episodios (robustez estocástica). Fuente: sac/ppo/a2c_episodios_history.csv. ★ = agente seleccionado OE3.</w:t>
      </w:r>
    </w:p>
    <w:p>
      <w:pPr>
        <w:spacing w:after="80" w:before="0"/>
        <w:jc w:val="both"/>
      </w:pPr>
      <w:r>
        <w:rPr>
          <w:sz w:val="22"/>
        </w:rPr>
        <w:t>El agente SAC logra el mínimo absoluto de F2 = 2,622,735 kg CO₂/año en el episodio 49, con un coeficiente de variación de plateau de 0.058% (los últimos 15 episodios fluctúan en un rango de ±1,550 kg, indicando convergencia estable). En contraste, PPO presenta el mayor CV de plateau (0.195%), reflejando una política aún en refinamiento al concluir los 50 episodios. A2C alcanza su mínimo en el episodio 4 con fuerte oscilación posterior (std = 12,011 kg entre episodios) y 217 violaciones de deuda energética en su mejor episodio.</w:t>
      </w:r>
    </w:p>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0E4F7"/>
          </w:tcPr>
          <w:p>
            <w:pPr>
              <w:jc w:val="center"/>
            </w:pPr>
            <w:r>
              <w:rPr>
                <w:b/>
                <w:sz w:val="16"/>
              </w:rPr>
              <w:t>Agente</w:t>
            </w:r>
          </w:p>
        </w:tc>
        <w:tc>
          <w:tcPr>
            <w:tcW w:type="dxa" w:w="1344"/>
            <w:shd w:val="clear" w:color="auto" w:fill="D0E4F7"/>
          </w:tcPr>
          <w:p>
            <w:pPr>
              <w:jc w:val="center"/>
            </w:pPr>
            <w:r>
              <w:rPr>
                <w:b/>
                <w:sz w:val="16"/>
              </w:rPr>
              <w:t>Grid import (kWh/año)</w:t>
            </w:r>
          </w:p>
        </w:tc>
        <w:tc>
          <w:tcPr>
            <w:tcW w:type="dxa" w:w="1344"/>
            <w:shd w:val="clear" w:color="auto" w:fill="D0E4F7"/>
          </w:tcPr>
          <w:p>
            <w:pPr>
              <w:jc w:val="center"/>
            </w:pPr>
            <w:r>
              <w:rPr>
                <w:b/>
                <w:sz w:val="16"/>
              </w:rPr>
              <w:t>BESS descarga (kWh/año)</w:t>
            </w:r>
          </w:p>
        </w:tc>
        <w:tc>
          <w:tcPr>
            <w:tcW w:type="dxa" w:w="1344"/>
            <w:shd w:val="clear" w:color="auto" w:fill="D0E4F7"/>
          </w:tcPr>
          <w:p>
            <w:pPr>
              <w:jc w:val="center"/>
            </w:pPr>
            <w:r>
              <w:rPr>
                <w:b/>
                <w:sz w:val="16"/>
              </w:rPr>
              <w:t>CO₂ directo (kg/año)</w:t>
            </w:r>
          </w:p>
        </w:tc>
        <w:tc>
          <w:tcPr>
            <w:tcW w:type="dxa" w:w="1344"/>
            <w:shd w:val="clear" w:color="auto" w:fill="D0E4F7"/>
          </w:tcPr>
          <w:p>
            <w:pPr>
              <w:jc w:val="center"/>
            </w:pPr>
            <w:r>
              <w:rPr>
                <w:b/>
                <w:sz w:val="16"/>
              </w:rPr>
              <w:t>CO₂ indirecto (kg/año)</w:t>
            </w:r>
          </w:p>
        </w:tc>
        <w:tc>
          <w:tcPr>
            <w:tcW w:type="dxa" w:w="1344"/>
            <w:shd w:val="clear" w:color="auto" w:fill="D0E4F7"/>
          </w:tcPr>
          <w:p>
            <w:pPr>
              <w:jc w:val="center"/>
            </w:pPr>
            <w:r>
              <w:rPr>
                <w:b/>
                <w:sz w:val="16"/>
              </w:rPr>
              <w:t>CO₂ total evitado (kg/año)</w:t>
            </w:r>
          </w:p>
        </w:tc>
        <w:tc>
          <w:tcPr>
            <w:tcW w:type="dxa" w:w="1344"/>
            <w:shd w:val="clear" w:color="auto" w:fill="D0E4F7"/>
          </w:tcPr>
          <w:p>
            <w:pPr>
              <w:jc w:val="center"/>
            </w:pPr>
            <w:r>
              <w:rPr>
                <w:b/>
                <w:sz w:val="16"/>
              </w:rPr>
              <w:t>Debt violations</w:t>
            </w:r>
          </w:p>
        </w:tc>
      </w:tr>
      <w:tr>
        <w:tc>
          <w:tcPr>
            <w:tcW w:type="dxa" w:w="1344"/>
            <w:shd w:val="clear" w:color="auto" w:fill="E8F5E9"/>
          </w:tcPr>
          <w:p>
            <w:pPr>
              <w:jc w:val="center"/>
            </w:pPr>
            <w:r>
              <w:rPr>
                <w:b/>
                <w:sz w:val="16"/>
              </w:rPr>
              <w:t>SAC ★</w:t>
            </w:r>
          </w:p>
        </w:tc>
        <w:tc>
          <w:tcPr>
            <w:tcW w:type="dxa" w:w="1344"/>
            <w:shd w:val="clear" w:color="auto" w:fill="E8F5E9"/>
          </w:tcPr>
          <w:p>
            <w:pPr>
              <w:jc w:val="center"/>
            </w:pPr>
            <w:r>
              <w:rPr>
                <w:b/>
                <w:sz w:val="16"/>
              </w:rPr>
              <w:t>5,801,227</w:t>
            </w:r>
          </w:p>
        </w:tc>
        <w:tc>
          <w:tcPr>
            <w:tcW w:type="dxa" w:w="1344"/>
            <w:shd w:val="clear" w:color="auto" w:fill="E8F5E9"/>
          </w:tcPr>
          <w:p>
            <w:pPr>
              <w:jc w:val="center"/>
            </w:pPr>
            <w:r>
              <w:rPr>
                <w:b/>
                <w:sz w:val="16"/>
              </w:rPr>
              <w:t>875,699</w:t>
            </w:r>
          </w:p>
        </w:tc>
        <w:tc>
          <w:tcPr>
            <w:tcW w:type="dxa" w:w="1344"/>
            <w:shd w:val="clear" w:color="auto" w:fill="E8F5E9"/>
          </w:tcPr>
          <w:p>
            <w:pPr>
              <w:jc w:val="center"/>
            </w:pPr>
            <w:r>
              <w:rPr>
                <w:b/>
                <w:sz w:val="16"/>
              </w:rPr>
              <w:t>328,736</w:t>
            </w:r>
          </w:p>
        </w:tc>
        <w:tc>
          <w:tcPr>
            <w:tcW w:type="dxa" w:w="1344"/>
            <w:shd w:val="clear" w:color="auto" w:fill="E8F5E9"/>
          </w:tcPr>
          <w:p>
            <w:pPr>
              <w:jc w:val="center"/>
            </w:pPr>
            <w:r>
              <w:rPr>
                <w:b/>
                <w:sz w:val="16"/>
              </w:rPr>
              <w:t>3,223,884</w:t>
            </w:r>
          </w:p>
        </w:tc>
        <w:tc>
          <w:tcPr>
            <w:tcW w:type="dxa" w:w="1344"/>
            <w:shd w:val="clear" w:color="auto" w:fill="E8F5E9"/>
          </w:tcPr>
          <w:p>
            <w:pPr>
              <w:jc w:val="center"/>
            </w:pPr>
            <w:r>
              <w:rPr>
                <w:b/>
                <w:sz w:val="16"/>
              </w:rPr>
              <w:t>3,552,620</w:t>
            </w:r>
          </w:p>
        </w:tc>
        <w:tc>
          <w:tcPr>
            <w:tcW w:type="dxa" w:w="1344"/>
            <w:shd w:val="clear" w:color="auto" w:fill="E8F5E9"/>
          </w:tcPr>
          <w:p>
            <w:pPr>
              <w:jc w:val="center"/>
            </w:pPr>
            <w:r>
              <w:rPr>
                <w:b/>
                <w:sz w:val="16"/>
              </w:rPr>
              <w:t>0</w:t>
            </w:r>
          </w:p>
        </w:tc>
      </w:tr>
      <w:tr>
        <w:tc>
          <w:tcPr>
            <w:tcW w:type="dxa" w:w="1344"/>
          </w:tcPr>
          <w:p>
            <w:pPr>
              <w:jc w:val="center"/>
            </w:pPr>
            <w:r>
              <w:rPr>
                <w:b w:val="0"/>
                <w:sz w:val="16"/>
              </w:rPr>
              <w:t>PPO</w:t>
            </w:r>
          </w:p>
        </w:tc>
        <w:tc>
          <w:tcPr>
            <w:tcW w:type="dxa" w:w="1344"/>
          </w:tcPr>
          <w:p>
            <w:pPr>
              <w:jc w:val="center"/>
            </w:pPr>
            <w:r>
              <w:rPr>
                <w:b w:val="0"/>
                <w:sz w:val="16"/>
              </w:rPr>
              <w:t>6,164,654</w:t>
            </w:r>
          </w:p>
        </w:tc>
        <w:tc>
          <w:tcPr>
            <w:tcW w:type="dxa" w:w="1344"/>
          </w:tcPr>
          <w:p>
            <w:pPr>
              <w:jc w:val="center"/>
            </w:pPr>
            <w:r>
              <w:rPr>
                <w:b w:val="0"/>
                <w:sz w:val="16"/>
              </w:rPr>
              <w:t>919,034</w:t>
            </w:r>
          </w:p>
        </w:tc>
        <w:tc>
          <w:tcPr>
            <w:tcW w:type="dxa" w:w="1344"/>
          </w:tcPr>
          <w:p>
            <w:pPr>
              <w:jc w:val="center"/>
            </w:pPr>
            <w:r>
              <w:rPr>
                <w:b w:val="0"/>
                <w:sz w:val="16"/>
              </w:rPr>
              <w:t>334,103</w:t>
            </w:r>
          </w:p>
        </w:tc>
        <w:tc>
          <w:tcPr>
            <w:tcW w:type="dxa" w:w="1344"/>
          </w:tcPr>
          <w:p>
            <w:pPr>
              <w:jc w:val="center"/>
            </w:pPr>
            <w:r>
              <w:rPr>
                <w:b w:val="0"/>
                <w:sz w:val="16"/>
              </w:rPr>
              <w:t>3,052,176</w:t>
            </w:r>
          </w:p>
        </w:tc>
        <w:tc>
          <w:tcPr>
            <w:tcW w:type="dxa" w:w="1344"/>
          </w:tcPr>
          <w:p>
            <w:pPr>
              <w:jc w:val="center"/>
            </w:pPr>
            <w:r>
              <w:rPr>
                <w:b w:val="0"/>
                <w:sz w:val="16"/>
              </w:rPr>
              <w:t>3,386,279</w:t>
            </w:r>
          </w:p>
        </w:tc>
        <w:tc>
          <w:tcPr>
            <w:tcW w:type="dxa" w:w="1344"/>
          </w:tcPr>
          <w:p>
            <w:pPr>
              <w:jc w:val="center"/>
            </w:pPr>
            <w:r>
              <w:rPr>
                <w:b w:val="0"/>
                <w:sz w:val="16"/>
              </w:rPr>
              <w:t>0</w:t>
            </w:r>
          </w:p>
        </w:tc>
      </w:tr>
      <w:tr>
        <w:tc>
          <w:tcPr>
            <w:tcW w:type="dxa" w:w="1344"/>
          </w:tcPr>
          <w:p>
            <w:pPr>
              <w:jc w:val="center"/>
            </w:pPr>
            <w:r>
              <w:rPr>
                <w:b w:val="0"/>
                <w:sz w:val="16"/>
              </w:rPr>
              <w:t>A2C</w:t>
            </w:r>
          </w:p>
        </w:tc>
        <w:tc>
          <w:tcPr>
            <w:tcW w:type="dxa" w:w="1344"/>
          </w:tcPr>
          <w:p>
            <w:pPr>
              <w:jc w:val="center"/>
            </w:pPr>
            <w:r>
              <w:rPr>
                <w:b w:val="0"/>
                <w:sz w:val="16"/>
              </w:rPr>
              <w:t>6,270,421</w:t>
            </w:r>
          </w:p>
        </w:tc>
        <w:tc>
          <w:tcPr>
            <w:tcW w:type="dxa" w:w="1344"/>
          </w:tcPr>
          <w:p>
            <w:pPr>
              <w:jc w:val="center"/>
            </w:pPr>
            <w:r>
              <w:rPr>
                <w:b w:val="0"/>
                <w:sz w:val="16"/>
              </w:rPr>
              <w:t>744,718</w:t>
            </w:r>
          </w:p>
        </w:tc>
        <w:tc>
          <w:tcPr>
            <w:tcW w:type="dxa" w:w="1344"/>
          </w:tcPr>
          <w:p>
            <w:pPr>
              <w:jc w:val="center"/>
            </w:pPr>
            <w:r>
              <w:rPr>
                <w:b w:val="0"/>
                <w:sz w:val="16"/>
              </w:rPr>
              <w:t>301,293</w:t>
            </w:r>
          </w:p>
        </w:tc>
        <w:tc>
          <w:tcPr>
            <w:tcW w:type="dxa" w:w="1344"/>
          </w:tcPr>
          <w:p>
            <w:pPr>
              <w:jc w:val="center"/>
            </w:pPr>
            <w:r>
              <w:rPr>
                <w:b w:val="0"/>
                <w:sz w:val="16"/>
              </w:rPr>
              <w:t>2,985,752</w:t>
            </w:r>
          </w:p>
        </w:tc>
        <w:tc>
          <w:tcPr>
            <w:tcW w:type="dxa" w:w="1344"/>
          </w:tcPr>
          <w:p>
            <w:pPr>
              <w:jc w:val="center"/>
            </w:pPr>
            <w:r>
              <w:rPr>
                <w:b w:val="0"/>
                <w:sz w:val="16"/>
              </w:rPr>
              <w:t>3,287,045</w:t>
            </w:r>
          </w:p>
        </w:tc>
        <w:tc>
          <w:tcPr>
            <w:tcW w:type="dxa" w:w="1344"/>
          </w:tcPr>
          <w:p>
            <w:pPr>
              <w:jc w:val="center"/>
            </w:pPr>
            <w:r>
              <w:rPr>
                <w:b w:val="0"/>
                <w:sz w:val="16"/>
              </w:rPr>
              <w:t>217</w:t>
            </w:r>
          </w:p>
        </w:tc>
      </w:tr>
    </w:tbl>
    <w:p>
      <w:pPr>
        <w:spacing w:after="120"/>
        <w:jc w:val="center"/>
      </w:pPr>
      <w:r>
        <w:rPr>
          <w:i/>
          <w:sz w:val="18"/>
        </w:rPr>
        <w:t>Tabla 4.6.3.3. Desglose de componentes energéticas y de CO₂ en el episodio óptimo de cada agente. CO₂ total evitado = CO₂ directo + CO₂ indirecto. Debt violations = número de timesteps en que un EV no completó su carga al deadline.</w:t>
      </w:r>
    </w:p>
    <w:p>
      <w:pPr>
        <w:pStyle w:val="Heading2"/>
        <w:jc w:val="left"/>
      </w:pPr>
      <w:r>
        <w:t>4.6.3.8. Validación estadística de la reducción de CO₂</w:t>
      </w:r>
    </w:p>
    <w:p>
      <w:pPr>
        <w:spacing w:after="80" w:before="0"/>
        <w:jc w:val="both"/>
      </w:pPr>
      <w:r>
        <w:rPr>
          <w:sz w:val="22"/>
        </w:rPr>
        <w:t>Para garantizar que la reducción de CO₂ observada no sea producto del azar del proceso de entrenamiento estocástico, se aplicó un protocolo estadístico no paramétrico. La Figura 4.6.3.1 ilustra las curvas de convergencia de los tres agentes durante 50 episodios.</w:t>
      </w:r>
    </w:p>
    <w:p>
      <w:pPr>
        <w:spacing w:after="80" w:before="0"/>
        <w:jc w:val="both"/>
      </w:pPr>
      <w:r>
        <w:rPr>
          <w:b/>
          <w:sz w:val="22"/>
        </w:rPr>
        <w:t>4.6.3.8.1. Prueba de normalidad — Shapiro-Wilk:</w:t>
      </w:r>
      <w:r>
        <w:t xml:space="preserve"> </w:t>
      </w:r>
      <w:r>
        <w:rPr>
          <w:sz w:val="22"/>
        </w:rPr>
        <w:t>Se aplicó la prueba Shapiro-Wilk (α = 0.05) a las distribuciones de F2 de los 50 episodios de cada agente. Los resultados rechazan la hipótesis de normalidad en los cuatro grupos (F1 baseline, SAC, PPO, A2C) con p &lt;&lt; 0.001. Consecuencia metodológica: se emplearon exclusivamente pruebas no paramétricas para la inferencia estadística.</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0E4F7"/>
          </w:tcPr>
          <w:p>
            <w:pPr>
              <w:jc w:val="center"/>
            </w:pPr>
            <w:r>
              <w:rPr>
                <w:b/>
                <w:sz w:val="18"/>
              </w:rPr>
              <w:t>Grupo</w:t>
            </w:r>
          </w:p>
        </w:tc>
        <w:tc>
          <w:tcPr>
            <w:tcW w:type="dxa" w:w="1881"/>
            <w:shd w:val="clear" w:color="auto" w:fill="D0E4F7"/>
          </w:tcPr>
          <w:p>
            <w:pPr>
              <w:jc w:val="center"/>
            </w:pPr>
            <w:r>
              <w:rPr>
                <w:b/>
                <w:sz w:val="18"/>
              </w:rPr>
              <w:t>n</w:t>
            </w:r>
          </w:p>
        </w:tc>
        <w:tc>
          <w:tcPr>
            <w:tcW w:type="dxa" w:w="1881"/>
            <w:shd w:val="clear" w:color="auto" w:fill="D0E4F7"/>
          </w:tcPr>
          <w:p>
            <w:pPr>
              <w:jc w:val="center"/>
            </w:pPr>
            <w:r>
              <w:rPr>
                <w:b/>
                <w:sz w:val="18"/>
              </w:rPr>
              <w:t>Estadístico W</w:t>
            </w:r>
          </w:p>
        </w:tc>
        <w:tc>
          <w:tcPr>
            <w:tcW w:type="dxa" w:w="1881"/>
            <w:shd w:val="clear" w:color="auto" w:fill="D0E4F7"/>
          </w:tcPr>
          <w:p>
            <w:pPr>
              <w:jc w:val="center"/>
            </w:pPr>
            <w:r>
              <w:rPr>
                <w:b/>
                <w:sz w:val="18"/>
              </w:rPr>
              <w:t>p-value</w:t>
            </w:r>
          </w:p>
        </w:tc>
        <w:tc>
          <w:tcPr>
            <w:tcW w:type="dxa" w:w="1881"/>
            <w:shd w:val="clear" w:color="auto" w:fill="D0E4F7"/>
          </w:tcPr>
          <w:p>
            <w:pPr>
              <w:jc w:val="center"/>
            </w:pPr>
            <w:r>
              <w:rPr>
                <w:b/>
                <w:sz w:val="18"/>
              </w:rPr>
              <w:t>Distribución normal</w:t>
            </w:r>
          </w:p>
        </w:tc>
      </w:tr>
      <w:tr>
        <w:tc>
          <w:tcPr>
            <w:tcW w:type="dxa" w:w="1881"/>
          </w:tcPr>
          <w:p>
            <w:pPr>
              <w:jc w:val="center"/>
            </w:pPr>
            <w:r>
              <w:rPr>
                <w:sz w:val="18"/>
              </w:rPr>
              <w:t>F1 Baseline</w:t>
            </w:r>
          </w:p>
        </w:tc>
        <w:tc>
          <w:tcPr>
            <w:tcW w:type="dxa" w:w="1881"/>
          </w:tcPr>
          <w:p>
            <w:pPr>
              <w:jc w:val="center"/>
            </w:pPr>
            <w:r>
              <w:rPr>
                <w:sz w:val="18"/>
              </w:rPr>
              <w:t>50</w:t>
            </w:r>
          </w:p>
        </w:tc>
        <w:tc>
          <w:tcPr>
            <w:tcW w:type="dxa" w:w="1881"/>
          </w:tcPr>
          <w:p>
            <w:pPr>
              <w:jc w:val="center"/>
            </w:pPr>
            <w:r>
              <w:rPr>
                <w:sz w:val="18"/>
              </w:rPr>
              <w:t>0.847</w:t>
            </w:r>
          </w:p>
        </w:tc>
        <w:tc>
          <w:tcPr>
            <w:tcW w:type="dxa" w:w="1881"/>
          </w:tcPr>
          <w:p>
            <w:pPr>
              <w:jc w:val="center"/>
            </w:pPr>
            <w:r>
              <w:rPr>
                <w:sz w:val="18"/>
              </w:rPr>
              <w:t>p &lt; 0.001</w:t>
            </w:r>
          </w:p>
        </w:tc>
        <w:tc>
          <w:tcPr>
            <w:tcW w:type="dxa" w:w="1881"/>
          </w:tcPr>
          <w:p>
            <w:pPr>
              <w:jc w:val="center"/>
            </w:pPr>
            <w:r>
              <w:rPr>
                <w:sz w:val="18"/>
              </w:rPr>
              <w:t>No ✗</w:t>
            </w:r>
          </w:p>
        </w:tc>
      </w:tr>
      <w:tr>
        <w:tc>
          <w:tcPr>
            <w:tcW w:type="dxa" w:w="1881"/>
          </w:tcPr>
          <w:p>
            <w:pPr>
              <w:jc w:val="center"/>
            </w:pPr>
            <w:r>
              <w:rPr>
                <w:sz w:val="18"/>
              </w:rPr>
              <w:t>SAC</w:t>
            </w:r>
          </w:p>
        </w:tc>
        <w:tc>
          <w:tcPr>
            <w:tcW w:type="dxa" w:w="1881"/>
          </w:tcPr>
          <w:p>
            <w:pPr>
              <w:jc w:val="center"/>
            </w:pPr>
            <w:r>
              <w:rPr>
                <w:sz w:val="18"/>
              </w:rPr>
              <w:t>50</w:t>
            </w:r>
          </w:p>
        </w:tc>
        <w:tc>
          <w:tcPr>
            <w:tcW w:type="dxa" w:w="1881"/>
          </w:tcPr>
          <w:p>
            <w:pPr>
              <w:jc w:val="center"/>
            </w:pPr>
            <w:r>
              <w:rPr>
                <w:sz w:val="18"/>
              </w:rPr>
              <w:t>0.921</w:t>
            </w:r>
          </w:p>
        </w:tc>
        <w:tc>
          <w:tcPr>
            <w:tcW w:type="dxa" w:w="1881"/>
          </w:tcPr>
          <w:p>
            <w:pPr>
              <w:jc w:val="center"/>
            </w:pPr>
            <w:r>
              <w:rPr>
                <w:sz w:val="18"/>
              </w:rPr>
              <w:t>p &lt; 0.001</w:t>
            </w:r>
          </w:p>
        </w:tc>
        <w:tc>
          <w:tcPr>
            <w:tcW w:type="dxa" w:w="1881"/>
          </w:tcPr>
          <w:p>
            <w:pPr>
              <w:jc w:val="center"/>
            </w:pPr>
            <w:r>
              <w:rPr>
                <w:sz w:val="18"/>
              </w:rPr>
              <w:t>No ✗</w:t>
            </w:r>
          </w:p>
        </w:tc>
      </w:tr>
      <w:tr>
        <w:tc>
          <w:tcPr>
            <w:tcW w:type="dxa" w:w="1881"/>
          </w:tcPr>
          <w:p>
            <w:pPr>
              <w:jc w:val="center"/>
            </w:pPr>
            <w:r>
              <w:rPr>
                <w:sz w:val="18"/>
              </w:rPr>
              <w:t>PPO</w:t>
            </w:r>
          </w:p>
        </w:tc>
        <w:tc>
          <w:tcPr>
            <w:tcW w:type="dxa" w:w="1881"/>
          </w:tcPr>
          <w:p>
            <w:pPr>
              <w:jc w:val="center"/>
            </w:pPr>
            <w:r>
              <w:rPr>
                <w:sz w:val="18"/>
              </w:rPr>
              <w:t>50</w:t>
            </w:r>
          </w:p>
        </w:tc>
        <w:tc>
          <w:tcPr>
            <w:tcW w:type="dxa" w:w="1881"/>
          </w:tcPr>
          <w:p>
            <w:pPr>
              <w:jc w:val="center"/>
            </w:pPr>
            <w:r>
              <w:rPr>
                <w:sz w:val="18"/>
              </w:rPr>
              <w:t>0.934</w:t>
            </w:r>
          </w:p>
        </w:tc>
        <w:tc>
          <w:tcPr>
            <w:tcW w:type="dxa" w:w="1881"/>
          </w:tcPr>
          <w:p>
            <w:pPr>
              <w:jc w:val="center"/>
            </w:pPr>
            <w:r>
              <w:rPr>
                <w:sz w:val="18"/>
              </w:rPr>
              <w:t>p &lt; 0.001</w:t>
            </w:r>
          </w:p>
        </w:tc>
        <w:tc>
          <w:tcPr>
            <w:tcW w:type="dxa" w:w="1881"/>
          </w:tcPr>
          <w:p>
            <w:pPr>
              <w:jc w:val="center"/>
            </w:pPr>
            <w:r>
              <w:rPr>
                <w:sz w:val="18"/>
              </w:rPr>
              <w:t>No ✗</w:t>
            </w:r>
          </w:p>
        </w:tc>
      </w:tr>
      <w:tr>
        <w:tc>
          <w:tcPr>
            <w:tcW w:type="dxa" w:w="1881"/>
          </w:tcPr>
          <w:p>
            <w:pPr>
              <w:jc w:val="center"/>
            </w:pPr>
            <w:r>
              <w:rPr>
                <w:sz w:val="18"/>
              </w:rPr>
              <w:t>A2C</w:t>
            </w:r>
          </w:p>
        </w:tc>
        <w:tc>
          <w:tcPr>
            <w:tcW w:type="dxa" w:w="1881"/>
          </w:tcPr>
          <w:p>
            <w:pPr>
              <w:jc w:val="center"/>
            </w:pPr>
            <w:r>
              <w:rPr>
                <w:sz w:val="18"/>
              </w:rPr>
              <w:t>50</w:t>
            </w:r>
          </w:p>
        </w:tc>
        <w:tc>
          <w:tcPr>
            <w:tcW w:type="dxa" w:w="1881"/>
          </w:tcPr>
          <w:p>
            <w:pPr>
              <w:jc w:val="center"/>
            </w:pPr>
            <w:r>
              <w:rPr>
                <w:sz w:val="18"/>
              </w:rPr>
              <w:t>0.961</w:t>
            </w:r>
          </w:p>
        </w:tc>
        <w:tc>
          <w:tcPr>
            <w:tcW w:type="dxa" w:w="1881"/>
          </w:tcPr>
          <w:p>
            <w:pPr>
              <w:jc w:val="center"/>
            </w:pPr>
            <w:r>
              <w:rPr>
                <w:sz w:val="18"/>
              </w:rPr>
              <w:t>p &lt; 0.001</w:t>
            </w:r>
          </w:p>
        </w:tc>
        <w:tc>
          <w:tcPr>
            <w:tcW w:type="dxa" w:w="1881"/>
          </w:tcPr>
          <w:p>
            <w:pPr>
              <w:jc w:val="center"/>
            </w:pPr>
            <w:r>
              <w:rPr>
                <w:sz w:val="18"/>
              </w:rPr>
              <w:t>No ✗</w:t>
            </w:r>
          </w:p>
        </w:tc>
      </w:tr>
    </w:tbl>
    <w:p>
      <w:pPr>
        <w:spacing w:after="120"/>
        <w:jc w:val="center"/>
      </w:pPr>
      <w:r>
        <w:rPr>
          <w:i/>
          <w:sz w:val="18"/>
        </w:rPr>
        <w:t>Tabla 4.6.3.4. Prueba de normalidad Shapiro-Wilk (n=50 episodios por grupo). Ningún grupo sigue distribución normal → pruebas no paramétricas.</w:t>
      </w:r>
    </w:p>
    <w:p>
      <w:pPr>
        <w:spacing w:after="80" w:before="0"/>
        <w:jc w:val="both"/>
      </w:pPr>
      <w:r>
        <w:rPr>
          <w:b/>
          <w:sz w:val="22"/>
        </w:rPr>
        <w:t>4.6.3.8.2. Prueba de Wilcoxon de rangos con signo (F1 vs cada agente):</w:t>
      </w:r>
      <w:r>
        <w:t xml:space="preserve"> </w:t>
      </w:r>
      <w:r>
        <w:rPr>
          <w:sz w:val="22"/>
        </w:rPr>
        <w:t>La hipótesis nula H₀: la mediana de F2 del agente RL ≥ mediana de F1 (el agente RL no mejora el baseline). Se aplica la prueba de Wilcoxon signed-rank con alternativa 'greater' (F1 &gt; F2):</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D0E4F7"/>
          </w:tcPr>
          <w:p>
            <w:pPr>
              <w:jc w:val="center"/>
            </w:pPr>
            <w:r>
              <w:rPr>
                <w:b/>
                <w:sz w:val="18"/>
              </w:rPr>
              <w:t>Comparación</w:t>
            </w:r>
          </w:p>
        </w:tc>
        <w:tc>
          <w:tcPr>
            <w:tcW w:type="dxa" w:w="1568"/>
            <w:shd w:val="clear" w:color="auto" w:fill="D0E4F7"/>
          </w:tcPr>
          <w:p>
            <w:pPr>
              <w:jc w:val="center"/>
            </w:pPr>
            <w:r>
              <w:rPr>
                <w:b/>
                <w:sz w:val="18"/>
              </w:rPr>
              <w:t>Prueba</w:t>
            </w:r>
          </w:p>
        </w:tc>
        <w:tc>
          <w:tcPr>
            <w:tcW w:type="dxa" w:w="1568"/>
            <w:shd w:val="clear" w:color="auto" w:fill="D0E4F7"/>
          </w:tcPr>
          <w:p>
            <w:pPr>
              <w:jc w:val="center"/>
            </w:pPr>
            <w:r>
              <w:rPr>
                <w:b/>
                <w:sz w:val="18"/>
              </w:rPr>
              <w:t>Estadístico</w:t>
            </w:r>
          </w:p>
        </w:tc>
        <w:tc>
          <w:tcPr>
            <w:tcW w:type="dxa" w:w="1568"/>
            <w:shd w:val="clear" w:color="auto" w:fill="D0E4F7"/>
          </w:tcPr>
          <w:p>
            <w:pPr>
              <w:jc w:val="center"/>
            </w:pPr>
            <w:r>
              <w:rPr>
                <w:b/>
                <w:sz w:val="18"/>
              </w:rPr>
              <w:t>p-value</w:t>
            </w:r>
          </w:p>
        </w:tc>
        <w:tc>
          <w:tcPr>
            <w:tcW w:type="dxa" w:w="1568"/>
            <w:shd w:val="clear" w:color="auto" w:fill="D0E4F7"/>
          </w:tcPr>
          <w:p>
            <w:pPr>
              <w:jc w:val="center"/>
            </w:pPr>
            <w:r>
              <w:rPr>
                <w:b/>
                <w:sz w:val="18"/>
              </w:rPr>
              <w:t>Rechaza H₀</w:t>
            </w:r>
          </w:p>
        </w:tc>
        <w:tc>
          <w:tcPr>
            <w:tcW w:type="dxa" w:w="1568"/>
            <w:shd w:val="clear" w:color="auto" w:fill="D0E4F7"/>
          </w:tcPr>
          <w:p>
            <w:pPr>
              <w:jc w:val="center"/>
            </w:pPr>
            <w:r>
              <w:rPr>
                <w:b/>
                <w:sz w:val="18"/>
              </w:rPr>
              <w:t>d de Cohen</w:t>
            </w:r>
          </w:p>
        </w:tc>
      </w:tr>
      <w:tr>
        <w:tc>
          <w:tcPr>
            <w:tcW w:type="dxa" w:w="1568"/>
            <w:shd w:val="clear" w:color="auto" w:fill="E8F5E9"/>
          </w:tcPr>
          <w:p>
            <w:pPr>
              <w:jc w:val="center"/>
            </w:pPr>
            <w:r>
              <w:rPr>
                <w:sz w:val="17"/>
              </w:rPr>
              <w:t>F1 vs SAC</w:t>
            </w:r>
          </w:p>
        </w:tc>
        <w:tc>
          <w:tcPr>
            <w:tcW w:type="dxa" w:w="1568"/>
            <w:shd w:val="clear" w:color="auto" w:fill="E8F5E9"/>
          </w:tcPr>
          <w:p>
            <w:pPr>
              <w:jc w:val="center"/>
            </w:pPr>
            <w:r>
              <w:rPr>
                <w:sz w:val="17"/>
              </w:rPr>
              <w:t>Wilcoxon signed-rank</w:t>
            </w:r>
          </w:p>
        </w:tc>
        <w:tc>
          <w:tcPr>
            <w:tcW w:type="dxa" w:w="1568"/>
            <w:shd w:val="clear" w:color="auto" w:fill="E8F5E9"/>
          </w:tcPr>
          <w:p>
            <w:pPr>
              <w:jc w:val="center"/>
            </w:pPr>
            <w:r>
              <w:rPr>
                <w:sz w:val="17"/>
              </w:rPr>
              <w:t>1,275.0</w:t>
            </w:r>
          </w:p>
        </w:tc>
        <w:tc>
          <w:tcPr>
            <w:tcW w:type="dxa" w:w="1568"/>
            <w:shd w:val="clear" w:color="auto" w:fill="E8F5E9"/>
          </w:tcPr>
          <w:p>
            <w:pPr>
              <w:jc w:val="center"/>
            </w:pPr>
            <w:r>
              <w:rPr>
                <w:sz w:val="17"/>
              </w:rPr>
              <w:t>8.882 × 10⁻¹⁶</w:t>
            </w:r>
          </w:p>
        </w:tc>
        <w:tc>
          <w:tcPr>
            <w:tcW w:type="dxa" w:w="1568"/>
            <w:shd w:val="clear" w:color="auto" w:fill="E8F5E9"/>
          </w:tcPr>
          <w:p>
            <w:pPr>
              <w:jc w:val="center"/>
            </w:pPr>
            <w:r>
              <w:rPr>
                <w:sz w:val="17"/>
              </w:rPr>
              <w:t>Sí (p ≪ 0.05)</w:t>
            </w:r>
          </w:p>
        </w:tc>
        <w:tc>
          <w:tcPr>
            <w:tcW w:type="dxa" w:w="1568"/>
            <w:shd w:val="clear" w:color="auto" w:fill="E8F5E9"/>
          </w:tcPr>
          <w:p>
            <w:pPr>
              <w:jc w:val="center"/>
            </w:pPr>
            <w:r>
              <w:rPr>
                <w:sz w:val="17"/>
              </w:rPr>
              <w:t>49.23 (GIGANTE)</w:t>
            </w:r>
          </w:p>
        </w:tc>
      </w:tr>
      <w:tr>
        <w:tc>
          <w:tcPr>
            <w:tcW w:type="dxa" w:w="1568"/>
          </w:tcPr>
          <w:p>
            <w:pPr>
              <w:jc w:val="center"/>
            </w:pPr>
            <w:r>
              <w:rPr>
                <w:sz w:val="17"/>
              </w:rPr>
              <w:t>F1 vs PPO</w:t>
            </w:r>
          </w:p>
        </w:tc>
        <w:tc>
          <w:tcPr>
            <w:tcW w:type="dxa" w:w="1568"/>
          </w:tcPr>
          <w:p>
            <w:pPr>
              <w:jc w:val="center"/>
            </w:pPr>
            <w:r>
              <w:rPr>
                <w:sz w:val="17"/>
              </w:rPr>
              <w:t>Wilcoxon signed-rank</w:t>
            </w:r>
          </w:p>
        </w:tc>
        <w:tc>
          <w:tcPr>
            <w:tcW w:type="dxa" w:w="1568"/>
          </w:tcPr>
          <w:p>
            <w:pPr>
              <w:jc w:val="center"/>
            </w:pPr>
            <w:r>
              <w:rPr>
                <w:sz w:val="17"/>
              </w:rPr>
              <w:t>1,275.0</w:t>
            </w:r>
          </w:p>
        </w:tc>
        <w:tc>
          <w:tcPr>
            <w:tcW w:type="dxa" w:w="1568"/>
          </w:tcPr>
          <w:p>
            <w:pPr>
              <w:jc w:val="center"/>
            </w:pPr>
            <w:r>
              <w:rPr>
                <w:sz w:val="17"/>
              </w:rPr>
              <w:t>8.882 × 10⁻¹⁶</w:t>
            </w:r>
          </w:p>
        </w:tc>
        <w:tc>
          <w:tcPr>
            <w:tcW w:type="dxa" w:w="1568"/>
          </w:tcPr>
          <w:p>
            <w:pPr>
              <w:jc w:val="center"/>
            </w:pPr>
            <w:r>
              <w:rPr>
                <w:sz w:val="17"/>
              </w:rPr>
              <w:t>Sí (p ≪ 0.05)</w:t>
            </w:r>
          </w:p>
        </w:tc>
        <w:tc>
          <w:tcPr>
            <w:tcW w:type="dxa" w:w="1568"/>
          </w:tcPr>
          <w:p>
            <w:pPr>
              <w:jc w:val="center"/>
            </w:pPr>
            <w:r>
              <w:rPr>
                <w:sz w:val="17"/>
              </w:rPr>
              <w:t>27.61 (GIGANTE)</w:t>
            </w:r>
          </w:p>
        </w:tc>
      </w:tr>
      <w:tr>
        <w:tc>
          <w:tcPr>
            <w:tcW w:type="dxa" w:w="1568"/>
          </w:tcPr>
          <w:p>
            <w:pPr>
              <w:jc w:val="center"/>
            </w:pPr>
            <w:r>
              <w:rPr>
                <w:sz w:val="17"/>
              </w:rPr>
              <w:t>F1 vs A2C</w:t>
            </w:r>
          </w:p>
        </w:tc>
        <w:tc>
          <w:tcPr>
            <w:tcW w:type="dxa" w:w="1568"/>
          </w:tcPr>
          <w:p>
            <w:pPr>
              <w:jc w:val="center"/>
            </w:pPr>
            <w:r>
              <w:rPr>
                <w:sz w:val="17"/>
              </w:rPr>
              <w:t>Wilcoxon signed-rank</w:t>
            </w:r>
          </w:p>
        </w:tc>
        <w:tc>
          <w:tcPr>
            <w:tcW w:type="dxa" w:w="1568"/>
          </w:tcPr>
          <w:p>
            <w:pPr>
              <w:jc w:val="center"/>
            </w:pPr>
            <w:r>
              <w:rPr>
                <w:sz w:val="17"/>
              </w:rPr>
              <w:t>1,275.0</w:t>
            </w:r>
          </w:p>
        </w:tc>
        <w:tc>
          <w:tcPr>
            <w:tcW w:type="dxa" w:w="1568"/>
          </w:tcPr>
          <w:p>
            <w:pPr>
              <w:jc w:val="center"/>
            </w:pPr>
            <w:r>
              <w:rPr>
                <w:sz w:val="17"/>
              </w:rPr>
              <w:t>8.882 × 10⁻¹⁶</w:t>
            </w:r>
          </w:p>
        </w:tc>
        <w:tc>
          <w:tcPr>
            <w:tcW w:type="dxa" w:w="1568"/>
          </w:tcPr>
          <w:p>
            <w:pPr>
              <w:jc w:val="center"/>
            </w:pPr>
            <w:r>
              <w:rPr>
                <w:sz w:val="17"/>
              </w:rPr>
              <w:t>Sí (p ≪ 0.05)</w:t>
            </w:r>
          </w:p>
        </w:tc>
        <w:tc>
          <w:tcPr>
            <w:tcW w:type="dxa" w:w="1568"/>
          </w:tcPr>
          <w:p>
            <w:pPr>
              <w:jc w:val="center"/>
            </w:pPr>
            <w:r>
              <w:rPr>
                <w:sz w:val="17"/>
              </w:rPr>
              <w:t>138.32 (GIGANTE)</w:t>
            </w:r>
          </w:p>
        </w:tc>
      </w:tr>
      <w:tr>
        <w:tc>
          <w:tcPr>
            <w:tcW w:type="dxa" w:w="1568"/>
            <w:shd w:val="clear" w:color="auto" w:fill="FFF3CD"/>
          </w:tcPr>
          <w:p>
            <w:pPr>
              <w:jc w:val="center"/>
            </w:pPr>
            <w:r>
              <w:rPr>
                <w:sz w:val="17"/>
              </w:rPr>
              <w:t>SAC vs PPO vs A2C</w:t>
            </w:r>
          </w:p>
        </w:tc>
        <w:tc>
          <w:tcPr>
            <w:tcW w:type="dxa" w:w="1568"/>
            <w:shd w:val="clear" w:color="auto" w:fill="FFF3CD"/>
          </w:tcPr>
          <w:p>
            <w:pPr>
              <w:jc w:val="center"/>
            </w:pPr>
            <w:r>
              <w:rPr>
                <w:sz w:val="17"/>
              </w:rPr>
              <w:t>Kruskal-Wallis</w:t>
            </w:r>
          </w:p>
        </w:tc>
        <w:tc>
          <w:tcPr>
            <w:tcW w:type="dxa" w:w="1568"/>
            <w:shd w:val="clear" w:color="auto" w:fill="FFF3CD"/>
          </w:tcPr>
          <w:p>
            <w:pPr>
              <w:jc w:val="center"/>
            </w:pPr>
            <w:r>
              <w:rPr>
                <w:sz w:val="17"/>
              </w:rPr>
              <w:t>H = 81.65</w:t>
            </w:r>
          </w:p>
        </w:tc>
        <w:tc>
          <w:tcPr>
            <w:tcW w:type="dxa" w:w="1568"/>
            <w:shd w:val="clear" w:color="auto" w:fill="FFF3CD"/>
          </w:tcPr>
          <w:p>
            <w:pPr>
              <w:jc w:val="center"/>
            </w:pPr>
            <w:r>
              <w:rPr>
                <w:sz w:val="17"/>
              </w:rPr>
              <w:t>1.861 × 10⁻¹⁸</w:t>
            </w:r>
          </w:p>
        </w:tc>
        <w:tc>
          <w:tcPr>
            <w:tcW w:type="dxa" w:w="1568"/>
            <w:shd w:val="clear" w:color="auto" w:fill="FFF3CD"/>
          </w:tcPr>
          <w:p>
            <w:pPr>
              <w:jc w:val="center"/>
            </w:pPr>
            <w:r>
              <w:rPr>
                <w:sz w:val="17"/>
              </w:rPr>
              <w:t>Sí (p ≪ 0.05)</w:t>
            </w:r>
          </w:p>
        </w:tc>
        <w:tc>
          <w:tcPr>
            <w:tcW w:type="dxa" w:w="1568"/>
            <w:shd w:val="clear" w:color="auto" w:fill="FFF3CD"/>
          </w:tcPr>
          <w:p>
            <w:pPr>
              <w:jc w:val="center"/>
            </w:pPr>
            <w:r>
              <w:rPr>
                <w:sz w:val="17"/>
              </w:rPr>
              <w:t>—</w:t>
            </w:r>
          </w:p>
        </w:tc>
      </w:tr>
      <w:tr>
        <w:tc>
          <w:tcPr>
            <w:tcW w:type="dxa" w:w="1568"/>
            <w:shd w:val="clear" w:color="auto" w:fill="E8F5E9"/>
          </w:tcPr>
          <w:p>
            <w:pPr>
              <w:jc w:val="center"/>
            </w:pPr>
            <w:r>
              <w:rPr>
                <w:sz w:val="17"/>
              </w:rPr>
              <w:t>SAC vs PPO</w:t>
            </w:r>
          </w:p>
        </w:tc>
        <w:tc>
          <w:tcPr>
            <w:tcW w:type="dxa" w:w="1568"/>
            <w:shd w:val="clear" w:color="auto" w:fill="E8F5E9"/>
          </w:tcPr>
          <w:p>
            <w:pPr>
              <w:jc w:val="center"/>
            </w:pPr>
            <w:r>
              <w:rPr>
                <w:sz w:val="17"/>
              </w:rPr>
              <w:t>Mann-Whitney U</w:t>
            </w:r>
          </w:p>
        </w:tc>
        <w:tc>
          <w:tcPr>
            <w:tcW w:type="dxa" w:w="1568"/>
            <w:shd w:val="clear" w:color="auto" w:fill="E8F5E9"/>
          </w:tcPr>
          <w:p>
            <w:pPr>
              <w:jc w:val="center"/>
            </w:pPr>
            <w:r>
              <w:rPr>
                <w:sz w:val="17"/>
              </w:rPr>
              <w:t>121.0</w:t>
            </w:r>
          </w:p>
        </w:tc>
        <w:tc>
          <w:tcPr>
            <w:tcW w:type="dxa" w:w="1568"/>
            <w:shd w:val="clear" w:color="auto" w:fill="E8F5E9"/>
          </w:tcPr>
          <w:p>
            <w:pPr>
              <w:jc w:val="center"/>
            </w:pPr>
            <w:r>
              <w:rPr>
                <w:sz w:val="17"/>
              </w:rPr>
              <w:t>3.636 × 10⁻¹⁵</w:t>
            </w:r>
          </w:p>
        </w:tc>
        <w:tc>
          <w:tcPr>
            <w:tcW w:type="dxa" w:w="1568"/>
            <w:shd w:val="clear" w:color="auto" w:fill="E8F5E9"/>
          </w:tcPr>
          <w:p>
            <w:pPr>
              <w:jc w:val="center"/>
            </w:pPr>
            <w:r>
              <w:rPr>
                <w:sz w:val="17"/>
              </w:rPr>
              <w:t>Sí (p ≪ 0.05)</w:t>
            </w:r>
          </w:p>
        </w:tc>
        <w:tc>
          <w:tcPr>
            <w:tcW w:type="dxa" w:w="1568"/>
            <w:shd w:val="clear" w:color="auto" w:fill="E8F5E9"/>
          </w:tcPr>
          <w:p>
            <w:pPr>
              <w:jc w:val="center"/>
            </w:pPr>
            <w:r>
              <w:rPr>
                <w:sz w:val="17"/>
              </w:rPr>
              <w:t>2.43 (GIGANTE)</w:t>
            </w:r>
          </w:p>
        </w:tc>
      </w:tr>
      <w:tr>
        <w:tc>
          <w:tcPr>
            <w:tcW w:type="dxa" w:w="1568"/>
            <w:shd w:val="clear" w:color="auto" w:fill="E8F5E9"/>
          </w:tcPr>
          <w:p>
            <w:pPr>
              <w:jc w:val="center"/>
            </w:pPr>
            <w:r>
              <w:rPr>
                <w:sz w:val="17"/>
              </w:rPr>
              <w:t>SAC vs A2C</w:t>
            </w:r>
          </w:p>
        </w:tc>
        <w:tc>
          <w:tcPr>
            <w:tcW w:type="dxa" w:w="1568"/>
            <w:shd w:val="clear" w:color="auto" w:fill="E8F5E9"/>
          </w:tcPr>
          <w:p>
            <w:pPr>
              <w:jc w:val="center"/>
            </w:pPr>
            <w:r>
              <w:rPr>
                <w:sz w:val="17"/>
              </w:rPr>
              <w:t>Mann-Whitney U</w:t>
            </w:r>
          </w:p>
        </w:tc>
        <w:tc>
          <w:tcPr>
            <w:tcW w:type="dxa" w:w="1568"/>
            <w:shd w:val="clear" w:color="auto" w:fill="E8F5E9"/>
          </w:tcPr>
          <w:p>
            <w:pPr>
              <w:jc w:val="center"/>
            </w:pPr>
            <w:r>
              <w:rPr>
                <w:sz w:val="17"/>
              </w:rPr>
              <w:t>149.0</w:t>
            </w:r>
          </w:p>
        </w:tc>
        <w:tc>
          <w:tcPr>
            <w:tcW w:type="dxa" w:w="1568"/>
            <w:shd w:val="clear" w:color="auto" w:fill="E8F5E9"/>
          </w:tcPr>
          <w:p>
            <w:pPr>
              <w:jc w:val="center"/>
            </w:pPr>
            <w:r>
              <w:rPr>
                <w:sz w:val="17"/>
              </w:rPr>
              <w:t>1.641 × 10⁻¹⁴</w:t>
            </w:r>
          </w:p>
        </w:tc>
        <w:tc>
          <w:tcPr>
            <w:tcW w:type="dxa" w:w="1568"/>
            <w:shd w:val="clear" w:color="auto" w:fill="E8F5E9"/>
          </w:tcPr>
          <w:p>
            <w:pPr>
              <w:jc w:val="center"/>
            </w:pPr>
            <w:r>
              <w:rPr>
                <w:sz w:val="17"/>
              </w:rPr>
              <w:t>Sí (p ≪ 0.05)</w:t>
            </w:r>
          </w:p>
        </w:tc>
        <w:tc>
          <w:tcPr>
            <w:tcW w:type="dxa" w:w="1568"/>
            <w:shd w:val="clear" w:color="auto" w:fill="E8F5E9"/>
          </w:tcPr>
          <w:p>
            <w:pPr>
              <w:jc w:val="center"/>
            </w:pPr>
            <w:r>
              <w:rPr>
                <w:sz w:val="17"/>
              </w:rPr>
              <w:t>2.16 (GIGANTE)</w:t>
            </w:r>
          </w:p>
        </w:tc>
      </w:tr>
      <w:tr>
        <w:tc>
          <w:tcPr>
            <w:tcW w:type="dxa" w:w="1568"/>
          </w:tcPr>
          <w:p>
            <w:pPr>
              <w:jc w:val="center"/>
            </w:pPr>
            <w:r>
              <w:rPr>
                <w:sz w:val="17"/>
              </w:rPr>
              <w:t>PPO vs A2C</w:t>
            </w:r>
          </w:p>
        </w:tc>
        <w:tc>
          <w:tcPr>
            <w:tcW w:type="dxa" w:w="1568"/>
          </w:tcPr>
          <w:p>
            <w:pPr>
              <w:jc w:val="center"/>
            </w:pPr>
            <w:r>
              <w:rPr>
                <w:sz w:val="17"/>
              </w:rPr>
              <w:t>Mann-Whitney U</w:t>
            </w:r>
          </w:p>
        </w:tc>
        <w:tc>
          <w:tcPr>
            <w:tcW w:type="dxa" w:w="1568"/>
          </w:tcPr>
          <w:p>
            <w:pPr>
              <w:jc w:val="center"/>
            </w:pPr>
            <w:r>
              <w:rPr>
                <w:sz w:val="17"/>
              </w:rPr>
              <w:t>885.0</w:t>
            </w:r>
          </w:p>
        </w:tc>
        <w:tc>
          <w:tcPr>
            <w:tcW w:type="dxa" w:w="1568"/>
          </w:tcPr>
          <w:p>
            <w:pPr>
              <w:jc w:val="center"/>
            </w:pPr>
            <w:r>
              <w:rPr>
                <w:sz w:val="17"/>
              </w:rPr>
              <w:t>5.989 × 10⁻³</w:t>
            </w:r>
          </w:p>
        </w:tc>
        <w:tc>
          <w:tcPr>
            <w:tcW w:type="dxa" w:w="1568"/>
          </w:tcPr>
          <w:p>
            <w:pPr>
              <w:jc w:val="center"/>
            </w:pPr>
            <w:r>
              <w:rPr>
                <w:sz w:val="17"/>
              </w:rPr>
              <w:t>Sí (p &lt; 0.05)</w:t>
            </w:r>
          </w:p>
        </w:tc>
        <w:tc>
          <w:tcPr>
            <w:tcW w:type="dxa" w:w="1568"/>
          </w:tcPr>
          <w:p>
            <w:pPr>
              <w:jc w:val="center"/>
            </w:pPr>
            <w:r>
              <w:rPr>
                <w:sz w:val="17"/>
              </w:rPr>
              <w:t>-0.28 (pequeño)</w:t>
            </w:r>
          </w:p>
        </w:tc>
      </w:tr>
    </w:tbl>
    <w:p>
      <w:pPr>
        <w:spacing w:after="120"/>
        <w:jc w:val="center"/>
      </w:pPr>
      <w:r>
        <w:rPr>
          <w:i/>
          <w:sz w:val="18"/>
        </w:rPr>
        <w:t>Tabla 4.6.3.5. Pruebas inferenciales no paramétricas. d de Cohen interpretado según Cohen (1988): pequeño |d|&lt;0.5, mediano |d|&lt;0.8, grande |d|&lt;1.2, gigante |d|≥2.0. Todas las comparaciones son estadísticamente significativas (p ≪ 0.05). Fuente: scripts/analysis/seccion52_estadistica.py</w:t>
      </w:r>
    </w:p>
    <w:p>
      <w:pPr>
        <w:spacing w:after="80" w:before="0"/>
        <w:jc w:val="both"/>
      </w:pPr>
      <w:r>
        <w:rPr>
          <w:sz w:val="22"/>
        </w:rPr>
        <w:t>Los resultados estadísticos permiten concluir con una probabilidad de error tipo I menor a 10⁻¹⁵ que los tres agentes RL reducen significativamente las emisiones CO₂ respecto al baseline (F1), y que SAC es estadísticamente superior a PPO (d = 2.43) y a A2C (d = 2.16), con efectos de magnitud GIGANTE según la clasificación de Cohen (1988). El test de Kruskal-Wallis (H = 81.65, p = 1.86 × 10⁻¹⁸) confirma que los tres agentes no son equivalentes entre sí.</w:t>
      </w:r>
    </w:p>
    <w:p>
      <w:pPr>
        <w:pStyle w:val="Heading2"/>
        <w:jc w:val="left"/>
      </w:pPr>
      <w:r>
        <w:t>4.6.3.9. Selección del agente óptimo — SAC</w:t>
      </w:r>
    </w:p>
    <w:p>
      <w:pPr>
        <w:spacing w:after="80" w:before="0"/>
        <w:jc w:val="both"/>
      </w:pPr>
      <w:r>
        <w:rPr>
          <w:sz w:val="22"/>
        </w:rPr>
        <w:t>Con base en el análisis cuantitativo y la validación estadística, se selecciona el agente SAC (Soft Actor-Critic) como el agente de inteligencia artificial óptimo para la infraestructura de carga inteligente de motos y mototaxis eléctricas en Iquitos. Los criterios de selección y su cumplimiento se detallan en la Tabla 4.6.3.6:</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Criterio de selección OE3</w:t>
            </w:r>
          </w:p>
        </w:tc>
        <w:tc>
          <w:tcPr>
            <w:tcW w:type="dxa" w:w="2351"/>
            <w:shd w:val="clear" w:color="auto" w:fill="D0E4F7"/>
          </w:tcPr>
          <w:p>
            <w:pPr>
              <w:jc w:val="center"/>
            </w:pPr>
            <w:r>
              <w:rPr>
                <w:b/>
                <w:sz w:val="18"/>
              </w:rPr>
              <w:t>SAC ★</w:t>
            </w:r>
          </w:p>
        </w:tc>
        <w:tc>
          <w:tcPr>
            <w:tcW w:type="dxa" w:w="2351"/>
            <w:shd w:val="clear" w:color="auto" w:fill="D0E4F7"/>
          </w:tcPr>
          <w:p>
            <w:pPr>
              <w:jc w:val="center"/>
            </w:pPr>
            <w:r>
              <w:rPr>
                <w:b/>
                <w:sz w:val="18"/>
              </w:rPr>
              <w:t>PPO</w:t>
            </w:r>
          </w:p>
        </w:tc>
        <w:tc>
          <w:tcPr>
            <w:tcW w:type="dxa" w:w="2351"/>
            <w:shd w:val="clear" w:color="auto" w:fill="D0E4F7"/>
          </w:tcPr>
          <w:p>
            <w:pPr>
              <w:jc w:val="center"/>
            </w:pPr>
            <w:r>
              <w:rPr>
                <w:b/>
                <w:sz w:val="18"/>
              </w:rPr>
              <w:t>A2C</w:t>
            </w:r>
          </w:p>
        </w:tc>
      </w:tr>
      <w:tr>
        <w:tc>
          <w:tcPr>
            <w:tcW w:type="dxa" w:w="2351"/>
          </w:tcPr>
          <w:p>
            <w:pPr>
              <w:jc w:val="center"/>
            </w:pPr>
            <w:r>
              <w:rPr>
                <w:b w:val="0"/>
                <w:sz w:val="18"/>
              </w:rPr>
              <w:t>F2 mínimo (kg CO₂/año) ↓</w:t>
            </w:r>
          </w:p>
        </w:tc>
        <w:tc>
          <w:tcPr>
            <w:tcW w:type="dxa" w:w="2351"/>
            <w:shd w:val="clear" w:color="auto" w:fill="C8E6C9"/>
          </w:tcPr>
          <w:p>
            <w:pPr>
              <w:jc w:val="center"/>
            </w:pPr>
            <w:r>
              <w:rPr>
                <w:b/>
                <w:sz w:val="18"/>
              </w:rPr>
              <w:t>2,622,735 ✓</w:t>
            </w:r>
          </w:p>
        </w:tc>
        <w:tc>
          <w:tcPr>
            <w:tcW w:type="dxa" w:w="2351"/>
          </w:tcPr>
          <w:p>
            <w:pPr>
              <w:jc w:val="center"/>
            </w:pPr>
            <w:r>
              <w:rPr>
                <w:b w:val="0"/>
                <w:sz w:val="18"/>
              </w:rPr>
              <w:t>2,787,040</w:t>
            </w:r>
          </w:p>
        </w:tc>
        <w:tc>
          <w:tcPr>
            <w:tcW w:type="dxa" w:w="2351"/>
          </w:tcPr>
          <w:p>
            <w:pPr>
              <w:jc w:val="center"/>
            </w:pPr>
            <w:r>
              <w:rPr>
                <w:b w:val="0"/>
                <w:sz w:val="18"/>
              </w:rPr>
              <w:t>2,834,857</w:t>
            </w:r>
          </w:p>
        </w:tc>
      </w:tr>
      <w:tr>
        <w:tc>
          <w:tcPr>
            <w:tcW w:type="dxa" w:w="2351"/>
          </w:tcPr>
          <w:p>
            <w:pPr>
              <w:jc w:val="center"/>
            </w:pPr>
            <w:r>
              <w:rPr>
                <w:b w:val="0"/>
                <w:sz w:val="18"/>
              </w:rPr>
              <w:t>Reducción vs F0 (%) ↑</w:t>
            </w:r>
          </w:p>
        </w:tc>
        <w:tc>
          <w:tcPr>
            <w:tcW w:type="dxa" w:w="2351"/>
            <w:shd w:val="clear" w:color="auto" w:fill="C8E6C9"/>
          </w:tcPr>
          <w:p>
            <w:pPr>
              <w:jc w:val="center"/>
            </w:pPr>
            <w:r>
              <w:rPr>
                <w:b/>
                <w:sz w:val="18"/>
              </w:rPr>
              <w:t>62.8% ✓</w:t>
            </w:r>
          </w:p>
        </w:tc>
        <w:tc>
          <w:tcPr>
            <w:tcW w:type="dxa" w:w="2351"/>
          </w:tcPr>
          <w:p>
            <w:pPr>
              <w:jc w:val="center"/>
            </w:pPr>
            <w:r>
              <w:rPr>
                <w:b w:val="0"/>
                <w:sz w:val="18"/>
              </w:rPr>
              <w:t>60.5%</w:t>
            </w:r>
          </w:p>
        </w:tc>
        <w:tc>
          <w:tcPr>
            <w:tcW w:type="dxa" w:w="2351"/>
          </w:tcPr>
          <w:p>
            <w:pPr>
              <w:jc w:val="center"/>
            </w:pPr>
            <w:r>
              <w:rPr>
                <w:b w:val="0"/>
                <w:sz w:val="18"/>
              </w:rPr>
              <w:t>59.8%</w:t>
            </w:r>
          </w:p>
        </w:tc>
      </w:tr>
      <w:tr>
        <w:tc>
          <w:tcPr>
            <w:tcW w:type="dxa" w:w="2351"/>
          </w:tcPr>
          <w:p>
            <w:pPr>
              <w:jc w:val="center"/>
            </w:pPr>
            <w:r>
              <w:rPr>
                <w:b w:val="0"/>
                <w:sz w:val="18"/>
              </w:rPr>
              <w:t>Reducción vs F1 (%) ↑</w:t>
            </w:r>
          </w:p>
        </w:tc>
        <w:tc>
          <w:tcPr>
            <w:tcW w:type="dxa" w:w="2351"/>
            <w:shd w:val="clear" w:color="auto" w:fill="C8E6C9"/>
          </w:tcPr>
          <w:p>
            <w:pPr>
              <w:jc w:val="center"/>
            </w:pPr>
            <w:r>
              <w:rPr>
                <w:b/>
                <w:sz w:val="18"/>
              </w:rPr>
              <w:t>54.7% ✓</w:t>
            </w:r>
          </w:p>
        </w:tc>
        <w:tc>
          <w:tcPr>
            <w:tcW w:type="dxa" w:w="2351"/>
          </w:tcPr>
          <w:p>
            <w:pPr>
              <w:jc w:val="center"/>
            </w:pPr>
            <w:r>
              <w:rPr>
                <w:b w:val="0"/>
                <w:sz w:val="18"/>
              </w:rPr>
              <w:t>51.9%</w:t>
            </w:r>
          </w:p>
        </w:tc>
        <w:tc>
          <w:tcPr>
            <w:tcW w:type="dxa" w:w="2351"/>
          </w:tcPr>
          <w:p>
            <w:pPr>
              <w:jc w:val="center"/>
            </w:pPr>
            <w:r>
              <w:rPr>
                <w:b w:val="0"/>
                <w:sz w:val="18"/>
              </w:rPr>
              <w:t>51.1%</w:t>
            </w:r>
          </w:p>
        </w:tc>
      </w:tr>
      <w:tr>
        <w:tc>
          <w:tcPr>
            <w:tcW w:type="dxa" w:w="2351"/>
          </w:tcPr>
          <w:p>
            <w:pPr>
              <w:jc w:val="center"/>
            </w:pPr>
            <w:r>
              <w:rPr>
                <w:b w:val="0"/>
                <w:sz w:val="18"/>
              </w:rPr>
              <w:t>Media 50 eps ↓</w:t>
            </w:r>
          </w:p>
        </w:tc>
        <w:tc>
          <w:tcPr>
            <w:tcW w:type="dxa" w:w="2351"/>
            <w:shd w:val="clear" w:color="auto" w:fill="C8E6C9"/>
          </w:tcPr>
          <w:p>
            <w:pPr>
              <w:jc w:val="center"/>
            </w:pPr>
            <w:r>
              <w:rPr>
                <w:b/>
                <w:sz w:val="18"/>
              </w:rPr>
              <w:t>2,668,375 ✓</w:t>
            </w:r>
          </w:p>
        </w:tc>
        <w:tc>
          <w:tcPr>
            <w:tcW w:type="dxa" w:w="2351"/>
          </w:tcPr>
          <w:p>
            <w:pPr>
              <w:jc w:val="center"/>
            </w:pPr>
            <w:r>
              <w:rPr>
                <w:b w:val="0"/>
                <w:sz w:val="18"/>
              </w:rPr>
              <w:t>2,875,569</w:t>
            </w:r>
          </w:p>
        </w:tc>
        <w:tc>
          <w:tcPr>
            <w:tcW w:type="dxa" w:w="2351"/>
          </w:tcPr>
          <w:p>
            <w:pPr>
              <w:jc w:val="center"/>
            </w:pPr>
            <w:r>
              <w:rPr>
                <w:b w:val="0"/>
                <w:sz w:val="18"/>
              </w:rPr>
              <w:t>2,845,012</w:t>
            </w:r>
          </w:p>
        </w:tc>
      </w:tr>
      <w:tr>
        <w:tc>
          <w:tcPr>
            <w:tcW w:type="dxa" w:w="2351"/>
          </w:tcPr>
          <w:p>
            <w:pPr>
              <w:jc w:val="center"/>
            </w:pPr>
            <w:r>
              <w:rPr>
                <w:b w:val="0"/>
                <w:sz w:val="18"/>
              </w:rPr>
              <w:t>Desv. estándar 50 eps ↓</w:t>
            </w:r>
          </w:p>
        </w:tc>
        <w:tc>
          <w:tcPr>
            <w:tcW w:type="dxa" w:w="2351"/>
            <w:shd w:val="clear" w:color="auto" w:fill="C8E6C9"/>
          </w:tcPr>
          <w:p>
            <w:pPr>
              <w:jc w:val="center"/>
            </w:pPr>
            <w:r>
              <w:rPr>
                <w:b/>
                <w:sz w:val="18"/>
              </w:rPr>
              <w:t>89,475 ✓</w:t>
            </w:r>
          </w:p>
        </w:tc>
        <w:tc>
          <w:tcPr>
            <w:tcW w:type="dxa" w:w="2351"/>
          </w:tcPr>
          <w:p>
            <w:pPr>
              <w:jc w:val="center"/>
            </w:pPr>
            <w:r>
              <w:rPr>
                <w:b w:val="0"/>
                <w:sz w:val="18"/>
              </w:rPr>
              <w:t>113,816</w:t>
            </w:r>
          </w:p>
        </w:tc>
        <w:tc>
          <w:tcPr>
            <w:tcW w:type="dxa" w:w="2351"/>
          </w:tcPr>
          <w:p>
            <w:pPr>
              <w:jc w:val="center"/>
            </w:pPr>
            <w:r>
              <w:rPr>
                <w:b w:val="0"/>
                <w:sz w:val="18"/>
              </w:rPr>
              <w:t>12,011</w:t>
            </w:r>
          </w:p>
        </w:tc>
      </w:tr>
      <w:tr>
        <w:tc>
          <w:tcPr>
            <w:tcW w:type="dxa" w:w="2351"/>
          </w:tcPr>
          <w:p>
            <w:pPr>
              <w:jc w:val="center"/>
            </w:pPr>
            <w:r>
              <w:rPr>
                <w:b w:val="0"/>
                <w:sz w:val="18"/>
              </w:rPr>
              <w:t>CV plateau (%) ↓</w:t>
            </w:r>
          </w:p>
        </w:tc>
        <w:tc>
          <w:tcPr>
            <w:tcW w:type="dxa" w:w="2351"/>
            <w:shd w:val="clear" w:color="auto" w:fill="C8E6C9"/>
          </w:tcPr>
          <w:p>
            <w:pPr>
              <w:jc w:val="center"/>
            </w:pPr>
            <w:r>
              <w:rPr>
                <w:b/>
                <w:sz w:val="18"/>
              </w:rPr>
              <w:t>0.058% ✓</w:t>
            </w:r>
          </w:p>
        </w:tc>
        <w:tc>
          <w:tcPr>
            <w:tcW w:type="dxa" w:w="2351"/>
          </w:tcPr>
          <w:p>
            <w:pPr>
              <w:jc w:val="center"/>
            </w:pPr>
            <w:r>
              <w:rPr>
                <w:b w:val="0"/>
                <w:sz w:val="18"/>
              </w:rPr>
              <w:t>0.195%</w:t>
            </w:r>
          </w:p>
        </w:tc>
        <w:tc>
          <w:tcPr>
            <w:tcW w:type="dxa" w:w="2351"/>
          </w:tcPr>
          <w:p>
            <w:pPr>
              <w:jc w:val="center"/>
            </w:pPr>
            <w:r>
              <w:rPr>
                <w:b w:val="0"/>
                <w:sz w:val="18"/>
              </w:rPr>
              <w:t>0.056%*</w:t>
            </w:r>
          </w:p>
        </w:tc>
      </w:tr>
      <w:tr>
        <w:tc>
          <w:tcPr>
            <w:tcW w:type="dxa" w:w="2351"/>
          </w:tcPr>
          <w:p>
            <w:pPr>
              <w:jc w:val="center"/>
            </w:pPr>
            <w:r>
              <w:rPr>
                <w:b w:val="0"/>
                <w:sz w:val="18"/>
              </w:rPr>
              <w:t>Debt violations (ep ópt.)</w:t>
            </w:r>
          </w:p>
        </w:tc>
        <w:tc>
          <w:tcPr>
            <w:tcW w:type="dxa" w:w="2351"/>
            <w:shd w:val="clear" w:color="auto" w:fill="C8E6C9"/>
          </w:tcPr>
          <w:p>
            <w:pPr>
              <w:jc w:val="center"/>
            </w:pPr>
            <w:r>
              <w:rPr>
                <w:b/>
                <w:sz w:val="18"/>
              </w:rPr>
              <w:t>0 ✓</w:t>
            </w:r>
          </w:p>
        </w:tc>
        <w:tc>
          <w:tcPr>
            <w:tcW w:type="dxa" w:w="2351"/>
          </w:tcPr>
          <w:p>
            <w:pPr>
              <w:jc w:val="center"/>
            </w:pPr>
            <w:r>
              <w:rPr>
                <w:b w:val="0"/>
                <w:sz w:val="18"/>
              </w:rPr>
              <w:t>0</w:t>
            </w:r>
          </w:p>
        </w:tc>
        <w:tc>
          <w:tcPr>
            <w:tcW w:type="dxa" w:w="2351"/>
          </w:tcPr>
          <w:p>
            <w:pPr>
              <w:jc w:val="center"/>
            </w:pPr>
            <w:r>
              <w:rPr>
                <w:b w:val="0"/>
                <w:sz w:val="18"/>
              </w:rPr>
              <w:t>217 ✗</w:t>
            </w:r>
          </w:p>
        </w:tc>
      </w:tr>
      <w:tr>
        <w:tc>
          <w:tcPr>
            <w:tcW w:type="dxa" w:w="2351"/>
          </w:tcPr>
          <w:p>
            <w:pPr>
              <w:jc w:val="center"/>
            </w:pPr>
            <w:r>
              <w:rPr>
                <w:b w:val="0"/>
                <w:sz w:val="18"/>
              </w:rPr>
              <w:t>Mann-Whitney vs SAC</w:t>
            </w:r>
          </w:p>
        </w:tc>
        <w:tc>
          <w:tcPr>
            <w:tcW w:type="dxa" w:w="2351"/>
            <w:shd w:val="clear" w:color="auto" w:fill="C8E6C9"/>
          </w:tcPr>
          <w:p>
            <w:pPr>
              <w:jc w:val="center"/>
            </w:pPr>
            <w:r>
              <w:rPr>
                <w:b/>
                <w:sz w:val="18"/>
              </w:rPr>
              <w:t>GANADOR</w:t>
            </w:r>
          </w:p>
        </w:tc>
        <w:tc>
          <w:tcPr>
            <w:tcW w:type="dxa" w:w="2351"/>
          </w:tcPr>
          <w:p>
            <w:pPr>
              <w:jc w:val="center"/>
            </w:pPr>
            <w:r>
              <w:rPr>
                <w:b w:val="0"/>
                <w:sz w:val="18"/>
              </w:rPr>
              <w:t>p=3.6×10⁻¹⁵</w:t>
            </w:r>
          </w:p>
        </w:tc>
        <w:tc>
          <w:tcPr>
            <w:tcW w:type="dxa" w:w="2351"/>
          </w:tcPr>
          <w:p>
            <w:pPr>
              <w:jc w:val="center"/>
            </w:pPr>
            <w:r>
              <w:rPr>
                <w:b w:val="0"/>
                <w:sz w:val="18"/>
              </w:rPr>
              <w:t>p=1.6×10⁻¹⁴</w:t>
            </w:r>
          </w:p>
        </w:tc>
      </w:tr>
      <w:tr>
        <w:tc>
          <w:tcPr>
            <w:tcW w:type="dxa" w:w="2351"/>
          </w:tcPr>
          <w:p>
            <w:pPr>
              <w:jc w:val="center"/>
            </w:pPr>
            <w:r>
              <w:rPr>
                <w:b w:val="0"/>
                <w:sz w:val="18"/>
              </w:rPr>
              <w:t>d de Cohen vs SAC</w:t>
            </w:r>
          </w:p>
        </w:tc>
        <w:tc>
          <w:tcPr>
            <w:tcW w:type="dxa" w:w="2351"/>
            <w:shd w:val="clear" w:color="auto" w:fill="C8E6C9"/>
          </w:tcPr>
          <w:p>
            <w:pPr>
              <w:jc w:val="center"/>
            </w:pPr>
            <w:r>
              <w:rPr>
                <w:b/>
                <w:sz w:val="18"/>
              </w:rPr>
              <w:t>GANADOR</w:t>
            </w:r>
          </w:p>
        </w:tc>
        <w:tc>
          <w:tcPr>
            <w:tcW w:type="dxa" w:w="2351"/>
          </w:tcPr>
          <w:p>
            <w:pPr>
              <w:jc w:val="center"/>
            </w:pPr>
            <w:r>
              <w:rPr>
                <w:b w:val="0"/>
                <w:sz w:val="18"/>
              </w:rPr>
              <w:t>2.43 (gigante)</w:t>
            </w:r>
          </w:p>
        </w:tc>
        <w:tc>
          <w:tcPr>
            <w:tcW w:type="dxa" w:w="2351"/>
          </w:tcPr>
          <w:p>
            <w:pPr>
              <w:jc w:val="center"/>
            </w:pPr>
            <w:r>
              <w:rPr>
                <w:b w:val="0"/>
                <w:sz w:val="18"/>
              </w:rPr>
              <w:t>2.16 (gigante)</w:t>
            </w:r>
          </w:p>
        </w:tc>
      </w:tr>
    </w:tbl>
    <w:p>
      <w:pPr>
        <w:spacing w:after="120"/>
        <w:jc w:val="center"/>
      </w:pPr>
      <w:r>
        <w:rPr>
          <w:i/>
          <w:sz w:val="18"/>
        </w:rPr>
        <w:t>Tabla 4.6.3.6. Criterios de selección del agente RL óptimo para OE3. ★ = seleccionado. * A2C tiene bajo CV en plateau pero su mejor episodio (Ep 4) sugiere que el mínimo no es reproducible en producción. ↓ = menor es mejor. ↑ = mayor es mejor.</w:t>
      </w:r>
    </w:p>
    <w:p>
      <w:pPr>
        <w:spacing w:after="80" w:before="0"/>
        <w:jc w:val="both"/>
      </w:pPr>
      <w:r>
        <w:rPr>
          <w:sz w:val="22"/>
        </w:rPr>
        <w:t>SAC es el agente seleccionado por las siguientes razones técnicas: (1) obtiene el menor F2 absoluto (2,622,735 kg CO₂/año), superando a PPO en 164,305 kg CO₂/año y a A2C en 212,122 kg CO₂/año; (2) su episodio óptimo (Ep 49) ocurre al final del entrenamiento, indicando mejora continua sostenida; (3) no registra violaciones de deuda energética (debt_violations = 0), garantizando que todos los vehículos completan su carga al deadline; (4) el efecto estadístico de su superioridad sobre los otros agentes es GIGANTE (d &gt; 2.0 en ambas comparaciones), descartando que la diferencia sea aleatoria.</w:t>
      </w:r>
    </w:p>
    <w:p>
      <w:pPr>
        <w:pStyle w:val="Heading2"/>
        <w:jc w:val="left"/>
      </w:pPr>
      <w:r>
        <w:t>4.6.3.10. Cuantificación final de la reducción de CO₂ con el agente SAC</w:t>
      </w:r>
    </w:p>
    <w:p>
      <w:pPr>
        <w:spacing w:after="80" w:before="0"/>
        <w:jc w:val="both"/>
      </w:pPr>
      <w:r>
        <w:rPr>
          <w:sz w:val="22"/>
        </w:rPr>
        <w:t>Una vez seleccionado el agente SAC, se cuantifica la contribución total del sistema PVBESSCAR a la reducción de emisiones de CO₂ en Iquitos, descomponiendo el impacto en sus tres niveles de intervención:</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Componente de reducción</w:t>
            </w:r>
          </w:p>
        </w:tc>
        <w:tc>
          <w:tcPr>
            <w:tcW w:type="dxa" w:w="2351"/>
            <w:shd w:val="clear" w:color="auto" w:fill="D0E4F7"/>
          </w:tcPr>
          <w:p>
            <w:pPr>
              <w:jc w:val="center"/>
            </w:pPr>
            <w:r>
              <w:rPr>
                <w:b/>
                <w:sz w:val="18"/>
              </w:rPr>
              <w:t>kg CO₂/año</w:t>
            </w:r>
          </w:p>
        </w:tc>
        <w:tc>
          <w:tcPr>
            <w:tcW w:type="dxa" w:w="2351"/>
            <w:shd w:val="clear" w:color="auto" w:fill="D0E4F7"/>
          </w:tcPr>
          <w:p>
            <w:pPr>
              <w:jc w:val="center"/>
            </w:pPr>
            <w:r>
              <w:rPr>
                <w:b/>
                <w:sz w:val="18"/>
              </w:rPr>
              <w:t>% sobre F0</w:t>
            </w:r>
          </w:p>
        </w:tc>
        <w:tc>
          <w:tcPr>
            <w:tcW w:type="dxa" w:w="2351"/>
            <w:shd w:val="clear" w:color="auto" w:fill="D0E4F7"/>
          </w:tcPr>
          <w:p>
            <w:pPr>
              <w:jc w:val="center"/>
            </w:pPr>
            <w:r>
              <w:rPr>
                <w:b/>
                <w:sz w:val="18"/>
              </w:rPr>
              <w:t>Mecanismo</w:t>
            </w:r>
          </w:p>
        </w:tc>
      </w:tr>
      <w:tr>
        <w:tc>
          <w:tcPr>
            <w:tcW w:type="dxa" w:w="2351"/>
          </w:tcPr>
          <w:p>
            <w:pPr>
              <w:jc w:val="center"/>
            </w:pPr>
            <w:r>
              <w:rPr>
                <w:b w:val="0"/>
                <w:sz w:val="18"/>
              </w:rPr>
              <w:t>F0 → F1: Solar 4,050 kWp</w:t>
            </w:r>
          </w:p>
        </w:tc>
        <w:tc>
          <w:tcPr>
            <w:tcW w:type="dxa" w:w="2351"/>
          </w:tcPr>
          <w:p>
            <w:pPr>
              <w:jc w:val="center"/>
            </w:pPr>
            <w:r>
              <w:rPr>
                <w:b w:val="0"/>
                <w:sz w:val="18"/>
              </w:rPr>
              <w:t>1,263,361</w:t>
            </w:r>
          </w:p>
        </w:tc>
        <w:tc>
          <w:tcPr>
            <w:tcW w:type="dxa" w:w="2351"/>
          </w:tcPr>
          <w:p>
            <w:pPr>
              <w:jc w:val="center"/>
            </w:pPr>
            <w:r>
              <w:rPr>
                <w:b w:val="0"/>
                <w:sz w:val="18"/>
              </w:rPr>
              <w:t>17.9%</w:t>
            </w:r>
          </w:p>
        </w:tc>
        <w:tc>
          <w:tcPr>
            <w:tcW w:type="dxa" w:w="2351"/>
          </w:tcPr>
          <w:p>
            <w:pPr>
              <w:jc w:val="center"/>
            </w:pPr>
            <w:r>
              <w:rPr>
                <w:b w:val="0"/>
                <w:sz w:val="18"/>
              </w:rPr>
              <w:t>PV desplaza generación diésel (sin RL)</w:t>
            </w:r>
          </w:p>
        </w:tc>
      </w:tr>
      <w:tr>
        <w:tc>
          <w:tcPr>
            <w:tcW w:type="dxa" w:w="2351"/>
          </w:tcPr>
          <w:p>
            <w:pPr>
              <w:jc w:val="center"/>
            </w:pPr>
            <w:r>
              <w:rPr>
                <w:b w:val="0"/>
                <w:sz w:val="18"/>
              </w:rPr>
              <w:t>F1 → F2: CO₂ directo (SAC)</w:t>
            </w:r>
          </w:p>
        </w:tc>
        <w:tc>
          <w:tcPr>
            <w:tcW w:type="dxa" w:w="2351"/>
          </w:tcPr>
          <w:p>
            <w:pPr>
              <w:jc w:val="center"/>
            </w:pPr>
            <w:r>
              <w:rPr>
                <w:b w:val="0"/>
                <w:sz w:val="18"/>
              </w:rPr>
              <w:t>328,736</w:t>
            </w:r>
          </w:p>
        </w:tc>
        <w:tc>
          <w:tcPr>
            <w:tcW w:type="dxa" w:w="2351"/>
          </w:tcPr>
          <w:p>
            <w:pPr>
              <w:jc w:val="center"/>
            </w:pPr>
            <w:r>
              <w:rPr>
                <w:b w:val="0"/>
                <w:sz w:val="18"/>
              </w:rPr>
              <w:t>4.7%</w:t>
            </w:r>
          </w:p>
        </w:tc>
        <w:tc>
          <w:tcPr>
            <w:tcW w:type="dxa" w:w="2351"/>
          </w:tcPr>
          <w:p>
            <w:pPr>
              <w:jc w:val="center"/>
            </w:pPr>
            <w:r>
              <w:rPr>
                <w:b w:val="0"/>
                <w:sz w:val="18"/>
              </w:rPr>
              <w:t>Electrificación EV reemplaza motos/mototaxis ICE; combustible evitado calculado por charger_timeseries</w:t>
            </w:r>
          </w:p>
        </w:tc>
      </w:tr>
      <w:tr>
        <w:tc>
          <w:tcPr>
            <w:tcW w:type="dxa" w:w="2351"/>
          </w:tcPr>
          <w:p>
            <w:pPr>
              <w:jc w:val="center"/>
            </w:pPr>
            <w:r>
              <w:rPr>
                <w:b w:val="0"/>
                <w:sz w:val="18"/>
              </w:rPr>
              <w:t>F1 → F2: CO₂ indirecto (SAC)</w:t>
            </w:r>
          </w:p>
        </w:tc>
        <w:tc>
          <w:tcPr>
            <w:tcW w:type="dxa" w:w="2351"/>
          </w:tcPr>
          <w:p>
            <w:pPr>
              <w:jc w:val="center"/>
            </w:pPr>
            <w:r>
              <w:rPr>
                <w:b w:val="0"/>
                <w:sz w:val="18"/>
              </w:rPr>
              <w:t>3,223,884</w:t>
            </w:r>
          </w:p>
        </w:tc>
        <w:tc>
          <w:tcPr>
            <w:tcW w:type="dxa" w:w="2351"/>
          </w:tcPr>
          <w:p>
            <w:pPr>
              <w:jc w:val="center"/>
            </w:pPr>
            <w:r>
              <w:rPr>
                <w:b w:val="0"/>
                <w:sz w:val="18"/>
              </w:rPr>
              <w:t>45.7%</w:t>
            </w:r>
          </w:p>
        </w:tc>
        <w:tc>
          <w:tcPr>
            <w:tcW w:type="dxa" w:w="2351"/>
          </w:tcPr>
          <w:p>
            <w:pPr>
              <w:jc w:val="center"/>
            </w:pPr>
            <w:r>
              <w:rPr>
                <w:b w:val="0"/>
                <w:sz w:val="18"/>
              </w:rPr>
              <w:t>Agente RL minimiza grid_import × 0.4521 kg/kWh; BESS 875,699 kWh/año descargados</w:t>
            </w:r>
          </w:p>
        </w:tc>
      </w:tr>
      <w:tr>
        <w:tc>
          <w:tcPr>
            <w:tcW w:type="dxa" w:w="2351"/>
            <w:shd w:val="clear" w:color="auto" w:fill="C8E6C9"/>
          </w:tcPr>
          <w:p>
            <w:pPr>
              <w:jc w:val="center"/>
            </w:pPr>
            <w:r>
              <w:rPr>
                <w:b/>
                <w:sz w:val="18"/>
              </w:rPr>
              <w:t>TOTAL F0 → F2 (acumulado)</w:t>
            </w:r>
          </w:p>
        </w:tc>
        <w:tc>
          <w:tcPr>
            <w:tcW w:type="dxa" w:w="2351"/>
            <w:shd w:val="clear" w:color="auto" w:fill="C8E6C9"/>
          </w:tcPr>
          <w:p>
            <w:pPr>
              <w:jc w:val="center"/>
            </w:pPr>
            <w:r>
              <w:rPr>
                <w:b/>
                <w:sz w:val="18"/>
              </w:rPr>
              <w:t>4,431,265</w:t>
            </w:r>
          </w:p>
        </w:tc>
        <w:tc>
          <w:tcPr>
            <w:tcW w:type="dxa" w:w="2351"/>
            <w:shd w:val="clear" w:color="auto" w:fill="C8E6C9"/>
          </w:tcPr>
          <w:p>
            <w:pPr>
              <w:jc w:val="center"/>
            </w:pPr>
            <w:r>
              <w:rPr>
                <w:b/>
                <w:sz w:val="18"/>
              </w:rPr>
              <w:t>62.8%</w:t>
            </w:r>
          </w:p>
        </w:tc>
        <w:tc>
          <w:tcPr>
            <w:tcW w:type="dxa" w:w="2351"/>
            <w:shd w:val="clear" w:color="auto" w:fill="C8E6C9"/>
          </w:tcPr>
          <w:p>
            <w:pPr>
              <w:jc w:val="center"/>
            </w:pPr>
            <w:r>
              <w:rPr>
                <w:b/>
                <w:sz w:val="18"/>
              </w:rPr>
              <w:t>Reducción total confirmada estadísticamente p = 8.882 × 10⁻¹⁶</w:t>
            </w:r>
          </w:p>
        </w:tc>
      </w:tr>
    </w:tbl>
    <w:p>
      <w:pPr>
        <w:spacing w:after="120"/>
        <w:jc w:val="center"/>
      </w:pPr>
      <w:r>
        <w:rPr>
          <w:i/>
          <w:sz w:val="18"/>
        </w:rPr>
        <w:t>Tabla 4.6.3.7. Cuantificación de la reducción de CO₂ por componente con el agente SAC (episodio óptimo Ep 49). Factor emisión red Iquitos = 0.4521 kg CO₂/kWh (MINEM Perú). CO₂ total evitado = 4,431,265 kg CO₂/año ≡ 203,549 árboles ≡ 2,216 autos retirados de circulación.</w:t>
      </w:r>
    </w:p>
    <w:p>
      <w:pPr>
        <w:spacing w:after="80" w:before="0"/>
        <w:jc w:val="both"/>
      </w:pPr>
      <w:r>
        <w:rPr>
          <w:sz w:val="22"/>
        </w:rPr>
        <w:t>El sistema PVBESSCAR gestionado por el agente SAC evita un total de 4,431,265 kg CO₂/año respecto al escenario sin proyecto (reducción del 62.8%). De esta reducción, 328,736 kg CO₂/año corresponden a la electrificación vehicular (reducción directa de Scope 1) y 3,223,884 kg CO₂/año a la optimización del despacho solar+BESS por el agente RL (reducción indirecta de Scope 2). En términos de equivalencias medioambientales, esto representa la absorción anual de 203,549 árboles maduros o el retiro de 2,216 automóviles de gasolina de la circulación.</w:t>
      </w:r>
    </w:p>
    <w:p>
      <w:pPr>
        <w:pStyle w:val="Heading2"/>
        <w:jc w:val="left"/>
      </w:pPr>
      <w:r>
        <w:t>4.6.3.11. Conclusiones del procedimiento OE3</w:t>
      </w:r>
    </w:p>
    <w:p>
      <w:pPr>
        <w:pStyle w:val="ListBullet"/>
        <w:spacing w:after="60"/>
      </w:pPr>
      <w:r>
        <w:rPr>
          <w:b/>
          <w:sz w:val="22"/>
        </w:rPr>
        <w:t xml:space="preserve">C1. </w:t>
      </w:r>
      <w:r>
        <w:rPr>
          <w:sz w:val="22"/>
        </w:rPr>
        <w:t>El agente SAC (Soft Actor-Critic) es el agente de inteligencia artificial seleccionado para la infraestructura de carga inteligente EV de Iquitos, obteniendo F2 = 2,622,735 kg CO₂/año en su episodio óptimo (Ep 49/50), con debt_violations = 0 y CV plateau = 0.058%.</w:t>
      </w:r>
    </w:p>
    <w:p>
      <w:pPr>
        <w:pStyle w:val="ListBullet"/>
        <w:spacing w:after="60"/>
      </w:pPr>
      <w:r>
        <w:rPr>
          <w:b/>
          <w:sz w:val="22"/>
        </w:rPr>
        <w:t xml:space="preserve">C2. </w:t>
      </w:r>
      <w:r>
        <w:rPr>
          <w:sz w:val="22"/>
        </w:rPr>
        <w:t>La reducción de CO₂ cuantificable del agente SAC es de 4,431,265 kg CO₂/año (62.8% vs F0 sin proyecto), validada estadísticamente mediante Wilcoxon signed-rank (p = 8.882 × 10⁻¹⁶) con efecto GIGANTE (Cohen d = 49.23).</w:t>
      </w:r>
    </w:p>
    <w:p>
      <w:pPr>
        <w:pStyle w:val="ListBullet"/>
        <w:spacing w:after="60"/>
      </w:pPr>
      <w:r>
        <w:rPr>
          <w:b/>
          <w:sz w:val="22"/>
        </w:rPr>
        <w:t xml:space="preserve">C3. </w:t>
      </w:r>
      <w:r>
        <w:rPr>
          <w:sz w:val="22"/>
        </w:rPr>
        <w:t>La superioridad de SAC sobre PPO y A2C es estadísticamente significativa (Kruskal-Wallis H = 81.65, p = 1.86 × 10⁻¹⁸; Mann-Whitney SAC&lt;PPO p = 3.636 × 10⁻¹⁵, d = 2.43; Mann-Whitney SAC&lt;A2C p = 1.641 × 10⁻¹⁴, d = 2.16), descartando resultados fortuitos.</w:t>
      </w:r>
    </w:p>
    <w:p>
      <w:pPr>
        <w:pStyle w:val="ListBullet"/>
        <w:spacing w:after="60"/>
      </w:pPr>
      <w:r>
        <w:rPr>
          <w:b/>
          <w:sz w:val="22"/>
        </w:rPr>
        <w:t xml:space="preserve">C4. </w:t>
      </w:r>
      <w:r>
        <w:rPr>
          <w:sz w:val="22"/>
        </w:rPr>
        <w:t>Las fórmulas de cuantificación CO₂ implementadas en co2_formulas.py (Fórmulas F0, F1, F2) son consistentes con el GHG Protocol Corporate Standard e ISO 14064-1, garantizando la trazabilidad y auditabilidad de la reducción reportada.</w:t>
      </w:r>
    </w:p>
    <w:p>
      <w:pPr>
        <w:pStyle w:val="ListBullet"/>
        <w:spacing w:after="60"/>
      </w:pPr>
      <w:r>
        <w:rPr>
          <w:b/>
          <w:sz w:val="22"/>
        </w:rPr>
        <w:t xml:space="preserve">C5. </w:t>
      </w:r>
      <w:r>
        <w:rPr>
          <w:sz w:val="22"/>
        </w:rPr>
        <w:t>El procedimiento OE3 confirma la hipótesis específica H.E.3: la selección del agente SAC contribuye de manera cuantificable a la reducción de emisiones de CO₂ en Iquitos, constituyendo evidencia empírica robusta para fundamentar la decisión de implementación de la infraestructura de carga inteligente PVBESSCAR.</w:t>
      </w:r>
    </w:p>
    <w:p>
      <w:r>
        <w:br w:type="page"/>
      </w:r>
    </w:p>
    <w:p>
      <w:pPr>
        <w:pStyle w:val="Heading1"/>
        <w:jc w:val="left"/>
      </w:pPr>
      <w:r>
        <w:t>5.1. Resultados descriptivos del dimensionamiento del sistema PVBESSCAR (OE2)</w:t>
      </w:r>
    </w:p>
    <w:p>
      <w:pPr>
        <w:spacing w:after="80" w:before="0"/>
        <w:jc w:val="both"/>
      </w:pPr>
      <w:r>
        <w:rPr>
          <w:sz w:val="22"/>
        </w:rPr>
        <w:t>El Objetivo Específico 2 (OE2) del proyecto PVBESSCAR comprende el dimensionamiento integral de la infraestructura de generación solar fotovoltaica (FV), almacenamiento en baterías (BESS) y cargadores de vehículos eléctricos (EVs), destinada a satisfacer la demanda de recarga de motos y mototaxis eléctricas en el entorno del mall de Iquitos, Perú. Los resultados del dimensionamiento constituyen los artefactos de entrada del entorno de simulación CityLearn v2 utilizado en OE3. Las sub-secciones siguientes presentan los resultados descriptivos de cada componente del sistema, con base en los datos horarios reales del año 2024 (8,760 registros de resolución horaria).</w:t>
      </w:r>
    </w:p>
    <w:p>
      <w:pPr>
        <w:pStyle w:val="Heading2"/>
        <w:jc w:val="left"/>
      </w:pPr>
      <w:r>
        <w:t>5.1.2. Resultados descriptivos del dimensionamiento de la capacidad de generación solar</w:t>
      </w:r>
    </w:p>
    <w:p>
      <w:pPr>
        <w:spacing w:after="80" w:before="0"/>
        <w:jc w:val="both"/>
      </w:pPr>
      <w:r>
        <w:rPr>
          <w:b/>
          <w:sz w:val="22"/>
        </w:rPr>
        <w:t>5.1.2.1. Especificaciones técnicas del sistema fotovoltaico</w:t>
      </w:r>
      <w:r>
        <w:t xml:space="preserve"> </w:t>
      </w:r>
      <w:r>
        <w:rPr>
          <w:sz w:val="22"/>
        </w:rPr>
      </w:r>
    </w:p>
    <w:p>
      <w:pPr>
        <w:spacing w:after="80" w:before="0"/>
        <w:jc w:val="both"/>
      </w:pPr>
      <w:r>
        <w:rPr>
          <w:sz w:val="22"/>
        </w:rPr>
        <w:t>El sistema fotovoltaico fue dimensionado para cubrir la demanda base del mall (12,368,653 kWh/año) más la demanda de recarga EV (408,282 kWh/año), aprovechando el excelente recurso solar de Iquitos (irradiancia global horizontal promedio de 189.49 W/m²). El dimensionamiento utilizó la herramienta pvlib (National Renewable Energy Laboratory) con datos TMY (Typical Meteorological Year) del repositorio PVGIS de la Comisión Europea — resolución horaria, año 2024, coordenadas -3.75°S, -73.25°O, altitud 104 msnm.</w:t>
      </w:r>
    </w:p>
    <w:p/>
    <w:tbl>
      <w:tblPr>
        <w:tblStyle w:val="TableGrid"/>
        <w:tblW w:type="auto" w:w="0"/>
        <w:tblLook w:firstColumn="1" w:firstRow="1" w:lastColumn="0" w:lastRow="0" w:noHBand="0" w:noVBand="1" w:val="04A0"/>
      </w:tblPr>
      <w:tblGrid>
        <w:gridCol w:w="4703"/>
        <w:gridCol w:w="4703"/>
      </w:tblGrid>
      <w:tr>
        <w:tc>
          <w:tcPr>
            <w:tcW w:type="dxa" w:w="4703"/>
            <w:shd w:val="clear" w:color="auto" w:fill="D0E4F7"/>
          </w:tcPr>
          <w:p>
            <w:pPr>
              <w:jc w:val="center"/>
            </w:pPr>
            <w:r>
              <w:rPr>
                <w:b/>
                <w:sz w:val="18"/>
              </w:rPr>
              <w:t>Parámetro de diseño</w:t>
            </w:r>
          </w:p>
        </w:tc>
        <w:tc>
          <w:tcPr>
            <w:tcW w:type="dxa" w:w="4703"/>
            <w:shd w:val="clear" w:color="auto" w:fill="D0E4F7"/>
          </w:tcPr>
          <w:p>
            <w:pPr>
              <w:jc w:val="center"/>
            </w:pPr>
            <w:r>
              <w:rPr>
                <w:b/>
                <w:sz w:val="18"/>
              </w:rPr>
              <w:t>Valor</w:t>
            </w:r>
          </w:p>
        </w:tc>
      </w:tr>
      <w:tr>
        <w:tc>
          <w:tcPr>
            <w:tcW w:type="dxa" w:w="4703"/>
          </w:tcPr>
          <w:p>
            <w:pPr>
              <w:jc w:val="center"/>
            </w:pPr>
            <w:r>
              <w:rPr>
                <w:b w:val="0"/>
                <w:sz w:val="18"/>
              </w:rPr>
              <w:t>Potencia instalada pico (Wp)</w:t>
            </w:r>
          </w:p>
        </w:tc>
        <w:tc>
          <w:tcPr>
            <w:tcW w:type="dxa" w:w="4703"/>
          </w:tcPr>
          <w:p>
            <w:pPr>
              <w:jc w:val="center"/>
            </w:pPr>
            <w:r>
              <w:rPr>
                <w:b w:val="0"/>
                <w:sz w:val="18"/>
              </w:rPr>
              <w:t>4,050 kWp</w:t>
            </w:r>
          </w:p>
        </w:tc>
      </w:tr>
      <w:tr>
        <w:tc>
          <w:tcPr>
            <w:tcW w:type="dxa" w:w="4703"/>
          </w:tcPr>
          <w:p>
            <w:pPr>
              <w:jc w:val="center"/>
            </w:pPr>
            <w:r>
              <w:rPr>
                <w:b w:val="0"/>
                <w:sz w:val="18"/>
              </w:rPr>
              <w:t>Área total de paneles</w:t>
            </w:r>
          </w:p>
        </w:tc>
        <w:tc>
          <w:tcPr>
            <w:tcW w:type="dxa" w:w="4703"/>
          </w:tcPr>
          <w:p>
            <w:pPr>
              <w:jc w:val="center"/>
            </w:pPr>
            <w:r>
              <w:rPr>
                <w:b w:val="0"/>
                <w:sz w:val="18"/>
              </w:rPr>
              <w:t>20,637 m²</w:t>
            </w:r>
          </w:p>
        </w:tc>
      </w:tr>
      <w:tr>
        <w:tc>
          <w:tcPr>
            <w:tcW w:type="dxa" w:w="4703"/>
          </w:tcPr>
          <w:p>
            <w:pPr>
              <w:jc w:val="center"/>
            </w:pPr>
            <w:r>
              <w:rPr>
                <w:b w:val="0"/>
                <w:sz w:val="18"/>
              </w:rPr>
              <w:t>Módulo fotovoltaico</w:t>
            </w:r>
          </w:p>
        </w:tc>
        <w:tc>
          <w:tcPr>
            <w:tcW w:type="dxa" w:w="4703"/>
          </w:tcPr>
          <w:p>
            <w:pPr>
              <w:jc w:val="center"/>
            </w:pPr>
            <w:r>
              <w:rPr>
                <w:b w:val="0"/>
                <w:sz w:val="18"/>
              </w:rPr>
              <w:t>Kyocera Solar KS20 (20.2 W, η=22.5%)</w:t>
            </w:r>
          </w:p>
        </w:tc>
      </w:tr>
      <w:tr>
        <w:tc>
          <w:tcPr>
            <w:tcW w:type="dxa" w:w="4703"/>
          </w:tcPr>
          <w:p>
            <w:pPr>
              <w:jc w:val="center"/>
            </w:pPr>
            <w:r>
              <w:rPr>
                <w:b w:val="0"/>
                <w:sz w:val="18"/>
              </w:rPr>
              <w:t>Inversor</w:t>
            </w:r>
          </w:p>
        </w:tc>
        <w:tc>
          <w:tcPr>
            <w:tcW w:type="dxa" w:w="4703"/>
          </w:tcPr>
          <w:p>
            <w:pPr>
              <w:jc w:val="center"/>
            </w:pPr>
            <w:r>
              <w:rPr>
                <w:b w:val="0"/>
                <w:sz w:val="18"/>
              </w:rPr>
              <w:t>Eaton Xpert 1670 (3,201.2 kW AC nominal)</w:t>
            </w:r>
          </w:p>
        </w:tc>
      </w:tr>
      <w:tr>
        <w:tc>
          <w:tcPr>
            <w:tcW w:type="dxa" w:w="4703"/>
          </w:tcPr>
          <w:p>
            <w:pPr>
              <w:jc w:val="center"/>
            </w:pPr>
            <w:r>
              <w:rPr>
                <w:b w:val="0"/>
                <w:sz w:val="18"/>
              </w:rPr>
              <w:t>Inclinación de array (tilt)</w:t>
            </w:r>
          </w:p>
        </w:tc>
        <w:tc>
          <w:tcPr>
            <w:tcW w:type="dxa" w:w="4703"/>
          </w:tcPr>
          <w:p>
            <w:pPr>
              <w:jc w:val="center"/>
            </w:pPr>
            <w:r>
              <w:rPr>
                <w:b w:val="0"/>
                <w:sz w:val="18"/>
              </w:rPr>
              <w:t>10° (orientación Norte, azimut 0°)</w:t>
            </w:r>
          </w:p>
        </w:tc>
      </w:tr>
      <w:tr>
        <w:tc>
          <w:tcPr>
            <w:tcW w:type="dxa" w:w="4703"/>
          </w:tcPr>
          <w:p>
            <w:pPr>
              <w:jc w:val="center"/>
            </w:pPr>
            <w:r>
              <w:rPr>
                <w:b w:val="0"/>
                <w:sz w:val="18"/>
              </w:rPr>
              <w:t>Ubicación</w:t>
            </w:r>
          </w:p>
        </w:tc>
        <w:tc>
          <w:tcPr>
            <w:tcW w:type="dxa" w:w="4703"/>
          </w:tcPr>
          <w:p>
            <w:pPr>
              <w:jc w:val="center"/>
            </w:pPr>
            <w:r>
              <w:rPr>
                <w:b w:val="0"/>
                <w:sz w:val="18"/>
              </w:rPr>
              <w:t>Iquitos, Loreto — -3.75°S, -73.25°O, 104 msnm</w:t>
            </w:r>
          </w:p>
        </w:tc>
      </w:tr>
      <w:tr>
        <w:tc>
          <w:tcPr>
            <w:tcW w:type="dxa" w:w="4703"/>
          </w:tcPr>
          <w:p>
            <w:pPr>
              <w:jc w:val="center"/>
            </w:pPr>
            <w:r>
              <w:rPr>
                <w:b w:val="0"/>
                <w:sz w:val="18"/>
              </w:rPr>
              <w:t>Factor de diseño (eficiencia sistema)</w:t>
            </w:r>
          </w:p>
        </w:tc>
        <w:tc>
          <w:tcPr>
            <w:tcW w:type="dxa" w:w="4703"/>
          </w:tcPr>
          <w:p>
            <w:pPr>
              <w:jc w:val="center"/>
            </w:pPr>
            <w:r>
              <w:rPr>
                <w:b w:val="0"/>
                <w:sz w:val="18"/>
              </w:rPr>
              <w:t>0.70 (incluye pérdidas cableado, temperatura, suciedad)</w:t>
            </w:r>
          </w:p>
        </w:tc>
      </w:tr>
      <w:tr>
        <w:tc>
          <w:tcPr>
            <w:tcW w:type="dxa" w:w="4703"/>
          </w:tcPr>
          <w:p>
            <w:pPr>
              <w:jc w:val="center"/>
            </w:pPr>
            <w:r>
              <w:rPr>
                <w:b w:val="0"/>
                <w:sz w:val="18"/>
              </w:rPr>
              <w:t>Norma aplicada</w:t>
            </w:r>
          </w:p>
        </w:tc>
        <w:tc>
          <w:tcPr>
            <w:tcW w:type="dxa" w:w="4703"/>
          </w:tcPr>
          <w:p>
            <w:pPr>
              <w:jc w:val="center"/>
            </w:pPr>
            <w:r>
              <w:rPr>
                <w:b w:val="0"/>
                <w:sz w:val="18"/>
              </w:rPr>
              <w:t>IEC 61215, IEC 61730 (módulos); IEC 62109 (inversores)</w:t>
            </w:r>
          </w:p>
        </w:tc>
      </w:tr>
      <w:tr>
        <w:tc>
          <w:tcPr>
            <w:tcW w:type="dxa" w:w="4703"/>
          </w:tcPr>
          <w:p>
            <w:pPr>
              <w:jc w:val="center"/>
            </w:pPr>
            <w:r>
              <w:rPr>
                <w:b w:val="0"/>
                <w:sz w:val="18"/>
              </w:rPr>
              <w:t>Fuente de datos meteorológicos</w:t>
            </w:r>
          </w:p>
        </w:tc>
        <w:tc>
          <w:tcPr>
            <w:tcW w:type="dxa" w:w="4703"/>
          </w:tcPr>
          <w:p>
            <w:pPr>
              <w:jc w:val="center"/>
            </w:pPr>
            <w:r>
              <w:rPr>
                <w:b w:val="0"/>
                <w:sz w:val="18"/>
              </w:rPr>
              <w:t>PVGIS TMY — Comisión Europea JRC (2024)</w:t>
            </w:r>
          </w:p>
        </w:tc>
      </w:tr>
      <w:tr>
        <w:tc>
          <w:tcPr>
            <w:tcW w:type="dxa" w:w="4703"/>
          </w:tcPr>
          <w:p>
            <w:pPr>
              <w:jc w:val="center"/>
            </w:pPr>
            <w:r>
              <w:rPr>
                <w:b w:val="0"/>
                <w:sz w:val="18"/>
              </w:rPr>
              <w:t>Resolución temporal simulación</w:t>
            </w:r>
          </w:p>
        </w:tc>
        <w:tc>
          <w:tcPr>
            <w:tcW w:type="dxa" w:w="4703"/>
          </w:tcPr>
          <w:p>
            <w:pPr>
              <w:jc w:val="center"/>
            </w:pPr>
            <w:r>
              <w:rPr>
                <w:b w:val="0"/>
                <w:sz w:val="18"/>
              </w:rPr>
              <w:t>Horaria (1 h) — 8,760 pasos / año</w:t>
            </w:r>
          </w:p>
        </w:tc>
      </w:tr>
    </w:tbl>
    <w:p>
      <w:pPr>
        <w:spacing w:after="120"/>
        <w:jc w:val="center"/>
      </w:pPr>
      <w:r>
        <w:rPr>
          <w:i/>
          <w:sz w:val="18"/>
        </w:rPr>
        <w:t>Tabla 5.1.2.1. Especificaciones técnicas del sistema fotovoltaico 4,050 kWp. Fuente: src/dimensionamiento/oe2/generacionsolar/disenopvlib/solar_pvlib.py</w:t>
      </w:r>
    </w:p>
    <w:p>
      <w:pPr>
        <w:spacing w:after="80" w:before="0"/>
        <w:jc w:val="both"/>
      </w:pPr>
      <w:r>
        <w:rPr>
          <w:b/>
          <w:sz w:val="22"/>
        </w:rPr>
        <w:t>5.1.2.2. Resultados de generación anual</w:t>
      </w:r>
      <w:r>
        <w:t xml:space="preserve"> </w:t>
      </w:r>
      <w:r>
        <w:rPr>
          <w:sz w:val="22"/>
        </w:rPr>
      </w:r>
    </w:p>
    <w:p>
      <w:pPr>
        <w:spacing w:after="80" w:before="0"/>
        <w:jc w:val="both"/>
      </w:pPr>
      <w:r>
        <w:rPr>
          <w:sz w:val="22"/>
        </w:rPr>
        <w:t>La simulación pvlib con datos PVGIS 2024 arroja una generación anual de 8,292,514 kWh/año (8.29 GWh/año). La generación media diaria es de 22,719 kWh/día, con una potencia AC máxima instantánea de 2,886.69 kW (alcanzada en los meses de mayor irradiancia: julio–octubre). El sistema opera activamente en 4,259 horas al año (de 8,760 totales), con un factor de planta (capacity factor) de 23.37%.</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0E4F7"/>
          </w:tcPr>
          <w:p>
            <w:pPr>
              <w:jc w:val="center"/>
            </w:pPr>
            <w:r>
              <w:rPr>
                <w:b/>
                <w:sz w:val="18"/>
              </w:rPr>
              <w:t>Mes</w:t>
            </w:r>
          </w:p>
        </w:tc>
        <w:tc>
          <w:tcPr>
            <w:tcW w:type="dxa" w:w="1881"/>
            <w:shd w:val="clear" w:color="auto" w:fill="D0E4F7"/>
          </w:tcPr>
          <w:p>
            <w:pPr>
              <w:jc w:val="center"/>
            </w:pPr>
            <w:r>
              <w:rPr>
                <w:b/>
                <w:sz w:val="18"/>
              </w:rPr>
              <w:t>PV generado (kWh)</w:t>
            </w:r>
          </w:p>
        </w:tc>
        <w:tc>
          <w:tcPr>
            <w:tcW w:type="dxa" w:w="1881"/>
            <w:shd w:val="clear" w:color="auto" w:fill="D0E4F7"/>
          </w:tcPr>
          <w:p>
            <w:pPr>
              <w:jc w:val="center"/>
            </w:pPr>
            <w:r>
              <w:rPr>
                <w:b/>
                <w:sz w:val="18"/>
              </w:rPr>
              <w:t>Demanda EV (kWh)</w:t>
            </w:r>
          </w:p>
        </w:tc>
        <w:tc>
          <w:tcPr>
            <w:tcW w:type="dxa" w:w="1881"/>
            <w:shd w:val="clear" w:color="auto" w:fill="D0E4F7"/>
          </w:tcPr>
          <w:p>
            <w:pPr>
              <w:jc w:val="center"/>
            </w:pPr>
            <w:r>
              <w:rPr>
                <w:b/>
                <w:sz w:val="18"/>
              </w:rPr>
              <w:t>Grid import (kWh)</w:t>
            </w:r>
          </w:p>
        </w:tc>
        <w:tc>
          <w:tcPr>
            <w:tcW w:type="dxa" w:w="1881"/>
            <w:shd w:val="clear" w:color="auto" w:fill="D0E4F7"/>
          </w:tcPr>
          <w:p>
            <w:pPr>
              <w:jc w:val="center"/>
            </w:pPr>
            <w:r>
              <w:rPr>
                <w:b/>
                <w:sz w:val="18"/>
              </w:rPr>
              <w:t>BESS acción (kWh)</w:t>
            </w:r>
          </w:p>
        </w:tc>
      </w:tr>
      <w:tr>
        <w:tc>
          <w:tcPr>
            <w:tcW w:type="dxa" w:w="1881"/>
          </w:tcPr>
          <w:p>
            <w:pPr>
              <w:jc w:val="center"/>
            </w:pPr>
            <w:r>
              <w:rPr>
                <w:b w:val="0"/>
                <w:sz w:val="18"/>
              </w:rPr>
              <w:t>Enero</w:t>
            </w:r>
          </w:p>
        </w:tc>
        <w:tc>
          <w:tcPr>
            <w:tcW w:type="dxa" w:w="1881"/>
          </w:tcPr>
          <w:p>
            <w:pPr>
              <w:jc w:val="center"/>
            </w:pPr>
            <w:r>
              <w:rPr>
                <w:b w:val="0"/>
                <w:sz w:val="18"/>
              </w:rPr>
              <w:t>676,769</w:t>
            </w:r>
          </w:p>
        </w:tc>
        <w:tc>
          <w:tcPr>
            <w:tcW w:type="dxa" w:w="1881"/>
          </w:tcPr>
          <w:p>
            <w:pPr>
              <w:jc w:val="center"/>
            </w:pPr>
            <w:r>
              <w:rPr>
                <w:b w:val="0"/>
                <w:sz w:val="18"/>
              </w:rPr>
              <w:t>34,777</w:t>
            </w:r>
          </w:p>
        </w:tc>
        <w:tc>
          <w:tcPr>
            <w:tcW w:type="dxa" w:w="1881"/>
          </w:tcPr>
          <w:p>
            <w:pPr>
              <w:jc w:val="center"/>
            </w:pPr>
            <w:r>
              <w:rPr>
                <w:b w:val="0"/>
                <w:sz w:val="18"/>
              </w:rPr>
              <w:t>571,276</w:t>
            </w:r>
          </w:p>
        </w:tc>
        <w:tc>
          <w:tcPr>
            <w:tcW w:type="dxa" w:w="1881"/>
          </w:tcPr>
          <w:p>
            <w:pPr>
              <w:jc w:val="center"/>
            </w:pPr>
            <w:r>
              <w:rPr>
                <w:b w:val="0"/>
                <w:sz w:val="18"/>
              </w:rPr>
              <w:t>104,540</w:t>
            </w:r>
          </w:p>
        </w:tc>
      </w:tr>
      <w:tr>
        <w:tc>
          <w:tcPr>
            <w:tcW w:type="dxa" w:w="1881"/>
          </w:tcPr>
          <w:p>
            <w:pPr>
              <w:jc w:val="center"/>
            </w:pPr>
            <w:r>
              <w:rPr>
                <w:b w:val="0"/>
                <w:sz w:val="18"/>
              </w:rPr>
              <w:t>Febrero</w:t>
            </w:r>
          </w:p>
        </w:tc>
        <w:tc>
          <w:tcPr>
            <w:tcW w:type="dxa" w:w="1881"/>
          </w:tcPr>
          <w:p>
            <w:pPr>
              <w:jc w:val="center"/>
            </w:pPr>
            <w:r>
              <w:rPr>
                <w:b w:val="0"/>
                <w:sz w:val="18"/>
              </w:rPr>
              <w:t>590,946</w:t>
            </w:r>
          </w:p>
        </w:tc>
        <w:tc>
          <w:tcPr>
            <w:tcW w:type="dxa" w:w="1881"/>
          </w:tcPr>
          <w:p>
            <w:pPr>
              <w:jc w:val="center"/>
            </w:pPr>
            <w:r>
              <w:rPr>
                <w:b w:val="0"/>
                <w:sz w:val="18"/>
              </w:rPr>
              <w:t>32,653</w:t>
            </w:r>
          </w:p>
        </w:tc>
        <w:tc>
          <w:tcPr>
            <w:tcW w:type="dxa" w:w="1881"/>
          </w:tcPr>
          <w:p>
            <w:pPr>
              <w:jc w:val="center"/>
            </w:pPr>
            <w:r>
              <w:rPr>
                <w:b w:val="0"/>
                <w:sz w:val="18"/>
              </w:rPr>
              <w:t>575,307</w:t>
            </w:r>
          </w:p>
        </w:tc>
        <w:tc>
          <w:tcPr>
            <w:tcW w:type="dxa" w:w="1881"/>
          </w:tcPr>
          <w:p>
            <w:pPr>
              <w:jc w:val="center"/>
            </w:pPr>
            <w:r>
              <w:rPr>
                <w:b w:val="0"/>
                <w:sz w:val="18"/>
              </w:rPr>
              <w:t>98,128</w:t>
            </w:r>
          </w:p>
        </w:tc>
      </w:tr>
      <w:tr>
        <w:tc>
          <w:tcPr>
            <w:tcW w:type="dxa" w:w="1881"/>
          </w:tcPr>
          <w:p>
            <w:pPr>
              <w:jc w:val="center"/>
            </w:pPr>
            <w:r>
              <w:rPr>
                <w:b w:val="0"/>
                <w:sz w:val="18"/>
              </w:rPr>
              <w:t>Marzo</w:t>
            </w:r>
          </w:p>
        </w:tc>
        <w:tc>
          <w:tcPr>
            <w:tcW w:type="dxa" w:w="1881"/>
          </w:tcPr>
          <w:p>
            <w:pPr>
              <w:jc w:val="center"/>
            </w:pPr>
            <w:r>
              <w:rPr>
                <w:b w:val="0"/>
                <w:sz w:val="18"/>
              </w:rPr>
              <w:t>717,204</w:t>
            </w:r>
          </w:p>
        </w:tc>
        <w:tc>
          <w:tcPr>
            <w:tcW w:type="dxa" w:w="1881"/>
          </w:tcPr>
          <w:p>
            <w:pPr>
              <w:jc w:val="center"/>
            </w:pPr>
            <w:r>
              <w:rPr>
                <w:b w:val="0"/>
                <w:sz w:val="18"/>
              </w:rPr>
              <w:t>34,511</w:t>
            </w:r>
          </w:p>
        </w:tc>
        <w:tc>
          <w:tcPr>
            <w:tcW w:type="dxa" w:w="1881"/>
          </w:tcPr>
          <w:p>
            <w:pPr>
              <w:jc w:val="center"/>
            </w:pPr>
            <w:r>
              <w:rPr>
                <w:b w:val="0"/>
                <w:sz w:val="18"/>
              </w:rPr>
              <w:t>520,725</w:t>
            </w:r>
          </w:p>
        </w:tc>
        <w:tc>
          <w:tcPr>
            <w:tcW w:type="dxa" w:w="1881"/>
          </w:tcPr>
          <w:p>
            <w:pPr>
              <w:jc w:val="center"/>
            </w:pPr>
            <w:r>
              <w:rPr>
                <w:b w:val="0"/>
                <w:sz w:val="18"/>
              </w:rPr>
              <w:t>91,245</w:t>
            </w:r>
          </w:p>
        </w:tc>
      </w:tr>
      <w:tr>
        <w:tc>
          <w:tcPr>
            <w:tcW w:type="dxa" w:w="1881"/>
          </w:tcPr>
          <w:p>
            <w:pPr>
              <w:jc w:val="center"/>
            </w:pPr>
            <w:r>
              <w:rPr>
                <w:b w:val="0"/>
                <w:sz w:val="18"/>
              </w:rPr>
              <w:t>Abril</w:t>
            </w:r>
          </w:p>
        </w:tc>
        <w:tc>
          <w:tcPr>
            <w:tcW w:type="dxa" w:w="1881"/>
          </w:tcPr>
          <w:p>
            <w:pPr>
              <w:jc w:val="center"/>
            </w:pPr>
            <w:r>
              <w:rPr>
                <w:b w:val="0"/>
                <w:sz w:val="18"/>
              </w:rPr>
              <w:t>668,941</w:t>
            </w:r>
          </w:p>
        </w:tc>
        <w:tc>
          <w:tcPr>
            <w:tcW w:type="dxa" w:w="1881"/>
          </w:tcPr>
          <w:p>
            <w:pPr>
              <w:jc w:val="center"/>
            </w:pPr>
            <w:r>
              <w:rPr>
                <w:b w:val="0"/>
                <w:sz w:val="18"/>
              </w:rPr>
              <w:t>33,791</w:t>
            </w:r>
          </w:p>
        </w:tc>
        <w:tc>
          <w:tcPr>
            <w:tcW w:type="dxa" w:w="1881"/>
          </w:tcPr>
          <w:p>
            <w:pPr>
              <w:jc w:val="center"/>
            </w:pPr>
            <w:r>
              <w:rPr>
                <w:b w:val="0"/>
                <w:sz w:val="18"/>
              </w:rPr>
              <w:t>523,754</w:t>
            </w:r>
          </w:p>
        </w:tc>
        <w:tc>
          <w:tcPr>
            <w:tcW w:type="dxa" w:w="1881"/>
          </w:tcPr>
          <w:p>
            <w:pPr>
              <w:jc w:val="center"/>
            </w:pPr>
            <w:r>
              <w:rPr>
                <w:b w:val="0"/>
                <w:sz w:val="18"/>
              </w:rPr>
              <w:t>98,844</w:t>
            </w:r>
          </w:p>
        </w:tc>
      </w:tr>
      <w:tr>
        <w:tc>
          <w:tcPr>
            <w:tcW w:type="dxa" w:w="1881"/>
          </w:tcPr>
          <w:p>
            <w:pPr>
              <w:jc w:val="center"/>
            </w:pPr>
            <w:r>
              <w:rPr>
                <w:b w:val="0"/>
                <w:sz w:val="18"/>
              </w:rPr>
              <w:t>Mayo</w:t>
            </w:r>
          </w:p>
        </w:tc>
        <w:tc>
          <w:tcPr>
            <w:tcW w:type="dxa" w:w="1881"/>
          </w:tcPr>
          <w:p>
            <w:pPr>
              <w:jc w:val="center"/>
            </w:pPr>
            <w:r>
              <w:rPr>
                <w:b w:val="0"/>
                <w:sz w:val="18"/>
              </w:rPr>
              <w:t>697,094</w:t>
            </w:r>
          </w:p>
        </w:tc>
        <w:tc>
          <w:tcPr>
            <w:tcW w:type="dxa" w:w="1881"/>
          </w:tcPr>
          <w:p>
            <w:pPr>
              <w:jc w:val="center"/>
            </w:pPr>
            <w:r>
              <w:rPr>
                <w:b w:val="0"/>
                <w:sz w:val="18"/>
              </w:rPr>
              <w:t>34,635</w:t>
            </w:r>
          </w:p>
        </w:tc>
        <w:tc>
          <w:tcPr>
            <w:tcW w:type="dxa" w:w="1881"/>
          </w:tcPr>
          <w:p>
            <w:pPr>
              <w:jc w:val="center"/>
            </w:pPr>
            <w:r>
              <w:rPr>
                <w:b w:val="0"/>
                <w:sz w:val="18"/>
              </w:rPr>
              <w:t>514,813</w:t>
            </w:r>
          </w:p>
        </w:tc>
        <w:tc>
          <w:tcPr>
            <w:tcW w:type="dxa" w:w="1881"/>
          </w:tcPr>
          <w:p>
            <w:pPr>
              <w:jc w:val="center"/>
            </w:pPr>
            <w:r>
              <w:rPr>
                <w:b w:val="0"/>
                <w:sz w:val="18"/>
              </w:rPr>
              <w:t>94,509</w:t>
            </w:r>
          </w:p>
        </w:tc>
      </w:tr>
      <w:tr>
        <w:tc>
          <w:tcPr>
            <w:tcW w:type="dxa" w:w="1881"/>
          </w:tcPr>
          <w:p>
            <w:pPr>
              <w:jc w:val="center"/>
            </w:pPr>
            <w:r>
              <w:rPr>
                <w:b w:val="0"/>
                <w:sz w:val="18"/>
              </w:rPr>
              <w:t>Junio</w:t>
            </w:r>
          </w:p>
        </w:tc>
        <w:tc>
          <w:tcPr>
            <w:tcW w:type="dxa" w:w="1881"/>
          </w:tcPr>
          <w:p>
            <w:pPr>
              <w:jc w:val="center"/>
            </w:pPr>
            <w:r>
              <w:rPr>
                <w:b w:val="0"/>
                <w:sz w:val="18"/>
              </w:rPr>
              <w:t>687,133</w:t>
            </w:r>
          </w:p>
        </w:tc>
        <w:tc>
          <w:tcPr>
            <w:tcW w:type="dxa" w:w="1881"/>
          </w:tcPr>
          <w:p>
            <w:pPr>
              <w:jc w:val="center"/>
            </w:pPr>
            <w:r>
              <w:rPr>
                <w:b w:val="0"/>
                <w:sz w:val="18"/>
              </w:rPr>
              <w:t>33,749</w:t>
            </w:r>
          </w:p>
        </w:tc>
        <w:tc>
          <w:tcPr>
            <w:tcW w:type="dxa" w:w="1881"/>
          </w:tcPr>
          <w:p>
            <w:pPr>
              <w:jc w:val="center"/>
            </w:pPr>
            <w:r>
              <w:rPr>
                <w:b w:val="0"/>
                <w:sz w:val="18"/>
              </w:rPr>
              <w:t>485,556</w:t>
            </w:r>
          </w:p>
        </w:tc>
        <w:tc>
          <w:tcPr>
            <w:tcW w:type="dxa" w:w="1881"/>
          </w:tcPr>
          <w:p>
            <w:pPr>
              <w:jc w:val="center"/>
            </w:pPr>
            <w:r>
              <w:rPr>
                <w:b w:val="0"/>
                <w:sz w:val="18"/>
              </w:rPr>
              <w:t>87,244</w:t>
            </w:r>
          </w:p>
        </w:tc>
      </w:tr>
      <w:tr>
        <w:tc>
          <w:tcPr>
            <w:tcW w:type="dxa" w:w="1881"/>
          </w:tcPr>
          <w:p>
            <w:pPr>
              <w:jc w:val="center"/>
            </w:pPr>
            <w:r>
              <w:rPr>
                <w:b w:val="0"/>
                <w:sz w:val="18"/>
              </w:rPr>
              <w:t>Julio</w:t>
            </w:r>
          </w:p>
        </w:tc>
        <w:tc>
          <w:tcPr>
            <w:tcW w:type="dxa" w:w="1881"/>
          </w:tcPr>
          <w:p>
            <w:pPr>
              <w:jc w:val="center"/>
            </w:pPr>
            <w:r>
              <w:rPr>
                <w:b w:val="0"/>
                <w:sz w:val="18"/>
              </w:rPr>
              <w:t>719,079</w:t>
            </w:r>
          </w:p>
        </w:tc>
        <w:tc>
          <w:tcPr>
            <w:tcW w:type="dxa" w:w="1881"/>
          </w:tcPr>
          <w:p>
            <w:pPr>
              <w:jc w:val="center"/>
            </w:pPr>
            <w:r>
              <w:rPr>
                <w:b w:val="0"/>
                <w:sz w:val="18"/>
              </w:rPr>
              <w:t>34,428</w:t>
            </w:r>
          </w:p>
        </w:tc>
        <w:tc>
          <w:tcPr>
            <w:tcW w:type="dxa" w:w="1881"/>
          </w:tcPr>
          <w:p>
            <w:pPr>
              <w:jc w:val="center"/>
            </w:pPr>
            <w:r>
              <w:rPr>
                <w:b w:val="0"/>
                <w:sz w:val="18"/>
              </w:rPr>
              <w:t>515,353</w:t>
            </w:r>
          </w:p>
        </w:tc>
        <w:tc>
          <w:tcPr>
            <w:tcW w:type="dxa" w:w="1881"/>
          </w:tcPr>
          <w:p>
            <w:pPr>
              <w:jc w:val="center"/>
            </w:pPr>
            <w:r>
              <w:rPr>
                <w:b w:val="0"/>
                <w:sz w:val="18"/>
              </w:rPr>
              <w:t>89,854</w:t>
            </w:r>
          </w:p>
        </w:tc>
      </w:tr>
      <w:tr>
        <w:tc>
          <w:tcPr>
            <w:tcW w:type="dxa" w:w="1881"/>
            <w:shd w:val="clear" w:color="auto" w:fill="E8F5E9"/>
          </w:tcPr>
          <w:p>
            <w:pPr>
              <w:jc w:val="center"/>
            </w:pPr>
            <w:r>
              <w:rPr>
                <w:b w:val="0"/>
                <w:sz w:val="18"/>
              </w:rPr>
              <w:t>Agosto</w:t>
            </w:r>
          </w:p>
        </w:tc>
        <w:tc>
          <w:tcPr>
            <w:tcW w:type="dxa" w:w="1881"/>
            <w:shd w:val="clear" w:color="auto" w:fill="E8F5E9"/>
          </w:tcPr>
          <w:p>
            <w:pPr>
              <w:jc w:val="center"/>
            </w:pPr>
            <w:r>
              <w:rPr>
                <w:b w:val="0"/>
                <w:sz w:val="18"/>
              </w:rPr>
              <w:t>759,620</w:t>
            </w:r>
          </w:p>
        </w:tc>
        <w:tc>
          <w:tcPr>
            <w:tcW w:type="dxa" w:w="1881"/>
            <w:shd w:val="clear" w:color="auto" w:fill="E8F5E9"/>
          </w:tcPr>
          <w:p>
            <w:pPr>
              <w:jc w:val="center"/>
            </w:pPr>
            <w:r>
              <w:rPr>
                <w:b w:val="0"/>
                <w:sz w:val="18"/>
              </w:rPr>
              <w:t>35,080</w:t>
            </w:r>
          </w:p>
        </w:tc>
        <w:tc>
          <w:tcPr>
            <w:tcW w:type="dxa" w:w="1881"/>
            <w:shd w:val="clear" w:color="auto" w:fill="E8F5E9"/>
          </w:tcPr>
          <w:p>
            <w:pPr>
              <w:jc w:val="center"/>
            </w:pPr>
            <w:r>
              <w:rPr>
                <w:b w:val="0"/>
                <w:sz w:val="18"/>
              </w:rPr>
              <w:t>521,343</w:t>
            </w:r>
          </w:p>
        </w:tc>
        <w:tc>
          <w:tcPr>
            <w:tcW w:type="dxa" w:w="1881"/>
            <w:shd w:val="clear" w:color="auto" w:fill="E8F5E9"/>
          </w:tcPr>
          <w:p>
            <w:pPr>
              <w:jc w:val="center"/>
            </w:pPr>
            <w:r>
              <w:rPr>
                <w:b w:val="0"/>
                <w:sz w:val="18"/>
              </w:rPr>
              <w:t>99,415</w:t>
            </w:r>
          </w:p>
        </w:tc>
      </w:tr>
      <w:tr>
        <w:tc>
          <w:tcPr>
            <w:tcW w:type="dxa" w:w="1881"/>
          </w:tcPr>
          <w:p>
            <w:pPr>
              <w:jc w:val="center"/>
            </w:pPr>
            <w:r>
              <w:rPr>
                <w:b w:val="0"/>
                <w:sz w:val="18"/>
              </w:rPr>
              <w:t>Septiembre</w:t>
            </w:r>
          </w:p>
        </w:tc>
        <w:tc>
          <w:tcPr>
            <w:tcW w:type="dxa" w:w="1881"/>
          </w:tcPr>
          <w:p>
            <w:pPr>
              <w:jc w:val="center"/>
            </w:pPr>
            <w:r>
              <w:rPr>
                <w:b w:val="0"/>
                <w:sz w:val="18"/>
              </w:rPr>
              <w:t>728,083</w:t>
            </w:r>
          </w:p>
        </w:tc>
        <w:tc>
          <w:tcPr>
            <w:tcW w:type="dxa" w:w="1881"/>
          </w:tcPr>
          <w:p>
            <w:pPr>
              <w:jc w:val="center"/>
            </w:pPr>
            <w:r>
              <w:rPr>
                <w:b w:val="0"/>
                <w:sz w:val="18"/>
              </w:rPr>
              <w:t>33,171</w:t>
            </w:r>
          </w:p>
        </w:tc>
        <w:tc>
          <w:tcPr>
            <w:tcW w:type="dxa" w:w="1881"/>
          </w:tcPr>
          <w:p>
            <w:pPr>
              <w:jc w:val="center"/>
            </w:pPr>
            <w:r>
              <w:rPr>
                <w:b w:val="0"/>
                <w:sz w:val="18"/>
              </w:rPr>
              <w:t>555,063</w:t>
            </w:r>
          </w:p>
        </w:tc>
        <w:tc>
          <w:tcPr>
            <w:tcW w:type="dxa" w:w="1881"/>
          </w:tcPr>
          <w:p>
            <w:pPr>
              <w:jc w:val="center"/>
            </w:pPr>
            <w:r>
              <w:rPr>
                <w:b w:val="0"/>
                <w:sz w:val="18"/>
              </w:rPr>
              <w:t>115,194</w:t>
            </w:r>
          </w:p>
        </w:tc>
      </w:tr>
      <w:tr>
        <w:tc>
          <w:tcPr>
            <w:tcW w:type="dxa" w:w="1881"/>
          </w:tcPr>
          <w:p>
            <w:pPr>
              <w:jc w:val="center"/>
            </w:pPr>
            <w:r>
              <w:rPr>
                <w:b w:val="0"/>
                <w:sz w:val="18"/>
              </w:rPr>
              <w:t>Octubre</w:t>
            </w:r>
          </w:p>
        </w:tc>
        <w:tc>
          <w:tcPr>
            <w:tcW w:type="dxa" w:w="1881"/>
          </w:tcPr>
          <w:p>
            <w:pPr>
              <w:jc w:val="center"/>
            </w:pPr>
            <w:r>
              <w:rPr>
                <w:b w:val="0"/>
                <w:sz w:val="18"/>
              </w:rPr>
              <w:t>741,874</w:t>
            </w:r>
          </w:p>
        </w:tc>
        <w:tc>
          <w:tcPr>
            <w:tcW w:type="dxa" w:w="1881"/>
          </w:tcPr>
          <w:p>
            <w:pPr>
              <w:jc w:val="center"/>
            </w:pPr>
            <w:r>
              <w:rPr>
                <w:b w:val="0"/>
                <w:sz w:val="18"/>
              </w:rPr>
              <w:t>34,204</w:t>
            </w:r>
          </w:p>
        </w:tc>
        <w:tc>
          <w:tcPr>
            <w:tcW w:type="dxa" w:w="1881"/>
          </w:tcPr>
          <w:p>
            <w:pPr>
              <w:jc w:val="center"/>
            </w:pPr>
            <w:r>
              <w:rPr>
                <w:b w:val="0"/>
                <w:sz w:val="18"/>
              </w:rPr>
              <w:t>572,250</w:t>
            </w:r>
          </w:p>
        </w:tc>
        <w:tc>
          <w:tcPr>
            <w:tcW w:type="dxa" w:w="1881"/>
          </w:tcPr>
          <w:p>
            <w:pPr>
              <w:jc w:val="center"/>
            </w:pPr>
            <w:r>
              <w:rPr>
                <w:b w:val="0"/>
                <w:sz w:val="18"/>
              </w:rPr>
              <w:t>116,604</w:t>
            </w:r>
          </w:p>
        </w:tc>
      </w:tr>
      <w:tr>
        <w:tc>
          <w:tcPr>
            <w:tcW w:type="dxa" w:w="1881"/>
          </w:tcPr>
          <w:p>
            <w:pPr>
              <w:jc w:val="center"/>
            </w:pPr>
            <w:r>
              <w:rPr>
                <w:b w:val="0"/>
                <w:sz w:val="18"/>
              </w:rPr>
              <w:t>Noviembre</w:t>
            </w:r>
          </w:p>
        </w:tc>
        <w:tc>
          <w:tcPr>
            <w:tcW w:type="dxa" w:w="1881"/>
          </w:tcPr>
          <w:p>
            <w:pPr>
              <w:jc w:val="center"/>
            </w:pPr>
            <w:r>
              <w:rPr>
                <w:b w:val="0"/>
                <w:sz w:val="18"/>
              </w:rPr>
              <w:t>679,244</w:t>
            </w:r>
          </w:p>
        </w:tc>
        <w:tc>
          <w:tcPr>
            <w:tcW w:type="dxa" w:w="1881"/>
          </w:tcPr>
          <w:p>
            <w:pPr>
              <w:jc w:val="center"/>
            </w:pPr>
            <w:r>
              <w:rPr>
                <w:b w:val="0"/>
                <w:sz w:val="18"/>
              </w:rPr>
              <w:t>33,763</w:t>
            </w:r>
          </w:p>
        </w:tc>
        <w:tc>
          <w:tcPr>
            <w:tcW w:type="dxa" w:w="1881"/>
          </w:tcPr>
          <w:p>
            <w:pPr>
              <w:jc w:val="center"/>
            </w:pPr>
            <w:r>
              <w:rPr>
                <w:b w:val="0"/>
                <w:sz w:val="18"/>
              </w:rPr>
              <w:t>560,218</w:t>
            </w:r>
          </w:p>
        </w:tc>
        <w:tc>
          <w:tcPr>
            <w:tcW w:type="dxa" w:w="1881"/>
          </w:tcPr>
          <w:p>
            <w:pPr>
              <w:jc w:val="center"/>
            </w:pPr>
            <w:r>
              <w:rPr>
                <w:b w:val="0"/>
                <w:sz w:val="18"/>
              </w:rPr>
              <w:t>111,747</w:t>
            </w:r>
          </w:p>
        </w:tc>
      </w:tr>
      <w:tr>
        <w:tc>
          <w:tcPr>
            <w:tcW w:type="dxa" w:w="1881"/>
          </w:tcPr>
          <w:p>
            <w:pPr>
              <w:jc w:val="center"/>
            </w:pPr>
            <w:r>
              <w:rPr>
                <w:b w:val="0"/>
                <w:sz w:val="18"/>
              </w:rPr>
              <w:t>Diciembre</w:t>
            </w:r>
          </w:p>
        </w:tc>
        <w:tc>
          <w:tcPr>
            <w:tcW w:type="dxa" w:w="1881"/>
          </w:tcPr>
          <w:p>
            <w:pPr>
              <w:jc w:val="center"/>
            </w:pPr>
            <w:r>
              <w:rPr>
                <w:b w:val="0"/>
                <w:sz w:val="18"/>
              </w:rPr>
              <w:t>626,526</w:t>
            </w:r>
          </w:p>
        </w:tc>
        <w:tc>
          <w:tcPr>
            <w:tcW w:type="dxa" w:w="1881"/>
          </w:tcPr>
          <w:p>
            <w:pPr>
              <w:jc w:val="center"/>
            </w:pPr>
            <w:r>
              <w:rPr>
                <w:b w:val="0"/>
                <w:sz w:val="18"/>
              </w:rPr>
              <w:t>33,520</w:t>
            </w:r>
          </w:p>
        </w:tc>
        <w:tc>
          <w:tcPr>
            <w:tcW w:type="dxa" w:w="1881"/>
          </w:tcPr>
          <w:p>
            <w:pPr>
              <w:jc w:val="center"/>
            </w:pPr>
            <w:r>
              <w:rPr>
                <w:b w:val="0"/>
                <w:sz w:val="18"/>
              </w:rPr>
              <w:t>588,793</w:t>
            </w:r>
          </w:p>
        </w:tc>
        <w:tc>
          <w:tcPr>
            <w:tcW w:type="dxa" w:w="1881"/>
          </w:tcPr>
          <w:p>
            <w:pPr>
              <w:jc w:val="center"/>
            </w:pPr>
            <w:r>
              <w:rPr>
                <w:b w:val="0"/>
                <w:sz w:val="18"/>
              </w:rPr>
              <w:t>111,152</w:t>
            </w:r>
          </w:p>
        </w:tc>
      </w:tr>
      <w:tr>
        <w:tc>
          <w:tcPr>
            <w:tcW w:type="dxa" w:w="1881"/>
            <w:shd w:val="clear" w:color="auto" w:fill="C8E6C9"/>
          </w:tcPr>
          <w:p>
            <w:pPr>
              <w:jc w:val="center"/>
            </w:pPr>
            <w:r>
              <w:rPr>
                <w:b/>
                <w:sz w:val="18"/>
              </w:rPr>
              <w:t>TOTAL ANUAL</w:t>
            </w:r>
          </w:p>
        </w:tc>
        <w:tc>
          <w:tcPr>
            <w:tcW w:type="dxa" w:w="1881"/>
            <w:shd w:val="clear" w:color="auto" w:fill="C8E6C9"/>
          </w:tcPr>
          <w:p>
            <w:pPr>
              <w:jc w:val="center"/>
            </w:pPr>
            <w:r>
              <w:rPr>
                <w:b/>
                <w:sz w:val="18"/>
              </w:rPr>
              <w:t>8,292,513</w:t>
            </w:r>
          </w:p>
        </w:tc>
        <w:tc>
          <w:tcPr>
            <w:tcW w:type="dxa" w:w="1881"/>
            <w:shd w:val="clear" w:color="auto" w:fill="C8E6C9"/>
          </w:tcPr>
          <w:p>
            <w:pPr>
              <w:jc w:val="center"/>
            </w:pPr>
            <w:r>
              <w:rPr>
                <w:b/>
                <w:sz w:val="18"/>
              </w:rPr>
              <w:t>408,282</w:t>
            </w:r>
          </w:p>
        </w:tc>
        <w:tc>
          <w:tcPr>
            <w:tcW w:type="dxa" w:w="1881"/>
            <w:shd w:val="clear" w:color="auto" w:fill="C8E6C9"/>
          </w:tcPr>
          <w:p>
            <w:pPr>
              <w:jc w:val="center"/>
            </w:pPr>
            <w:r>
              <w:rPr>
                <w:b/>
                <w:sz w:val="18"/>
              </w:rPr>
              <w:t>6,504,451</w:t>
            </w:r>
          </w:p>
        </w:tc>
        <w:tc>
          <w:tcPr>
            <w:tcW w:type="dxa" w:w="1881"/>
            <w:shd w:val="clear" w:color="auto" w:fill="C8E6C9"/>
          </w:tcPr>
          <w:p>
            <w:pPr>
              <w:jc w:val="center"/>
            </w:pPr>
            <w:r>
              <w:rPr>
                <w:b/>
                <w:sz w:val="18"/>
              </w:rPr>
              <w:t>1,218,476</w:t>
            </w:r>
          </w:p>
        </w:tc>
      </w:tr>
    </w:tbl>
    <w:p>
      <w:pPr>
        <w:spacing w:after="120"/>
        <w:jc w:val="center"/>
      </w:pPr>
      <w:r>
        <w:rPr>
          <w:i/>
          <w:sz w:val="18"/>
        </w:rPr>
        <w:t>Tabla 5.1.2.2. Resumen mensual de energía solar generada, demanda EV, importación de red y acción del BESS (kWh). Fila verde = mes de mayor generación solar. Fuente: data/oe2/bess/bess_ano_2024.csv (8,760 registros horarios).</w:t>
      </w:r>
    </w:p>
    <w:p>
      <w:pPr>
        <w:spacing w:after="80" w:before="0"/>
        <w:jc w:val="both"/>
      </w:pPr>
      <w:r>
        <w:rPr>
          <w:b/>
          <w:sz w:val="22"/>
        </w:rPr>
        <w:t>5.1.2.3. Balance de despacho solar</w:t>
      </w:r>
      <w:r>
        <w:t xml:space="preserve"> </w:t>
      </w:r>
      <w:r>
        <w:rPr>
          <w:sz w:val="22"/>
        </w:rPr>
      </w:r>
    </w:p>
    <w:p>
      <w:pPr>
        <w:spacing w:after="80" w:before="0"/>
        <w:jc w:val="both"/>
      </w:pPr>
      <w:r>
        <w:rPr>
          <w:sz w:val="22"/>
        </w:rPr>
        <w:t>De los 8,292,514 kWh generados anualmente, el despacho solar se distribuye según la estrategia solar-priority del sistema:</w:t>
      </w:r>
    </w:p>
    <w:p>
      <w:pPr>
        <w:pStyle w:val="ListBullet"/>
        <w:spacing w:after="60"/>
      </w:pPr>
      <w:r>
        <w:rPr>
          <w:b/>
          <w:sz w:val="22"/>
        </w:rPr>
        <w:t xml:space="preserve">• </w:t>
      </w:r>
      <w:r>
        <w:rPr>
          <w:sz w:val="22"/>
        </w:rPr>
        <w:t>PV → Carga directa Mall: 5,037,162 kWh/año (60.7% de generación) — prioridad máxima para cubrir demanda inmediata del mall.</w:t>
      </w:r>
    </w:p>
    <w:p>
      <w:pPr>
        <w:pStyle w:val="ListBullet"/>
        <w:spacing w:after="60"/>
      </w:pPr>
      <w:r>
        <w:rPr>
          <w:b/>
          <w:sz w:val="22"/>
        </w:rPr>
        <w:t xml:space="preserve">• </w:t>
      </w:r>
      <w:r>
        <w:rPr>
          <w:sz w:val="22"/>
        </w:rPr>
        <w:t>PV → Almacenamiento BESS: 677,795 kWh/año (8.2%) — excedente solar almacenado para descarga en periodo punta.</w:t>
      </w:r>
    </w:p>
    <w:p>
      <w:pPr>
        <w:pStyle w:val="ListBullet"/>
        <w:spacing w:after="60"/>
      </w:pPr>
      <w:r>
        <w:rPr>
          <w:b/>
          <w:sz w:val="22"/>
        </w:rPr>
        <w:t xml:space="preserve">• </w:t>
      </w:r>
      <w:r>
        <w:rPr>
          <w:sz w:val="22"/>
        </w:rPr>
        <w:t>PV → Carga directa EV: 256,672 kWh/año (3.1%) — carga directa de motos y mototaxis cuando hay solapamiento solar–demanda EV.</w:t>
      </w:r>
    </w:p>
    <w:p>
      <w:pPr>
        <w:pStyle w:val="ListBullet"/>
        <w:spacing w:after="60"/>
      </w:pPr>
      <w:r>
        <w:rPr>
          <w:b/>
          <w:sz w:val="22"/>
        </w:rPr>
        <w:t xml:space="preserve">• </w:t>
      </w:r>
      <w:r>
        <w:rPr>
          <w:sz w:val="22"/>
        </w:rPr>
        <w:t>PV → Exportación a red: 1,484,110 kWh/año (17.9%) — excedente en 4101 horas cuando BESS está en SOC máximo y demand &lt; generación.</w:t>
      </w:r>
    </w:p>
    <w:p>
      <w:pPr>
        <w:spacing w:after="80" w:before="0"/>
        <w:jc w:val="both"/>
      </w:pPr>
      <w:r>
        <w:rPr>
          <w:sz w:val="22"/>
        </w:rPr>
        <w:t>El índice de autoconsumo solar (proporción de generación consumida localmente sin exportar) es del 71.9% (5,971,629 kWh/año). La energía solar desplaza generación diésel del sistema aislado de Iquitos a razón de 0.4521 kg CO₂/kWh (MINEM Perú), evitando 230,494 kg CO₂/año de emisiones indirectas en el escenario baseline (sin BESS activo ni agente RL).</w:t>
      </w:r>
    </w:p>
    <w:p>
      <w:pPr>
        <w:pStyle w:val="Heading2"/>
        <w:jc w:val="left"/>
      </w:pPr>
      <w:r>
        <w:t>5.1.3. Resultados descriptivos del dimensionamiento de cargadores y de la demanda objetivo de motos y mototaxis eléctricas</w:t>
      </w:r>
    </w:p>
    <w:p>
      <w:pPr>
        <w:spacing w:after="80" w:before="0"/>
        <w:jc w:val="both"/>
      </w:pPr>
      <w:r>
        <w:rPr>
          <w:b/>
          <w:sz w:val="22"/>
        </w:rPr>
        <w:t>5.1.3.1. Infraestructura de cargadores dimensionada</w:t>
      </w:r>
      <w:r>
        <w:t xml:space="preserve"> </w:t>
      </w:r>
      <w:r>
        <w:rPr>
          <w:sz w:val="22"/>
        </w:rPr>
      </w:r>
    </w:p>
    <w:p>
      <w:pPr>
        <w:spacing w:after="80" w:before="0"/>
        <w:jc w:val="both"/>
      </w:pPr>
      <w:r>
        <w:rPr>
          <w:sz w:val="22"/>
        </w:rPr>
        <w:t>El dimensionamiento de la infraestructura de carga se realizó a partir del análisis de la demanda horaria punta de vehículos eléctricos en el área de influencia del mall de Iquitos. La restricción de diseño fue: atender la hora punta (18:00–22:00) con una tasa de llegada de 30 motos/hora y 4.2 mototaxis/hora sin generar colas superiores a 1 vehículo por socket. El resultado del dimensionamiento es:</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Componente</w:t>
            </w:r>
          </w:p>
        </w:tc>
        <w:tc>
          <w:tcPr>
            <w:tcW w:type="dxa" w:w="2351"/>
            <w:shd w:val="clear" w:color="auto" w:fill="D0E4F7"/>
          </w:tcPr>
          <w:p>
            <w:pPr>
              <w:jc w:val="center"/>
            </w:pPr>
            <w:r>
              <w:rPr>
                <w:b/>
                <w:sz w:val="18"/>
              </w:rPr>
              <w:t>Playa Motos</w:t>
            </w:r>
          </w:p>
        </w:tc>
        <w:tc>
          <w:tcPr>
            <w:tcW w:type="dxa" w:w="2351"/>
            <w:shd w:val="clear" w:color="auto" w:fill="D0E4F7"/>
          </w:tcPr>
          <w:p>
            <w:pPr>
              <w:jc w:val="center"/>
            </w:pPr>
            <w:r>
              <w:rPr>
                <w:b/>
                <w:sz w:val="18"/>
              </w:rPr>
              <w:t>Playa Mototaxis</w:t>
            </w:r>
          </w:p>
        </w:tc>
        <w:tc>
          <w:tcPr>
            <w:tcW w:type="dxa" w:w="2351"/>
            <w:shd w:val="clear" w:color="auto" w:fill="D0E4F7"/>
          </w:tcPr>
          <w:p>
            <w:pPr>
              <w:jc w:val="center"/>
            </w:pPr>
            <w:r>
              <w:rPr>
                <w:b/>
                <w:sz w:val="18"/>
              </w:rPr>
              <w:t>TOTAL SISTEMA</w:t>
            </w:r>
          </w:p>
        </w:tc>
      </w:tr>
      <w:tr>
        <w:tc>
          <w:tcPr>
            <w:tcW w:type="dxa" w:w="2351"/>
          </w:tcPr>
          <w:p>
            <w:pPr>
              <w:jc w:val="center"/>
            </w:pPr>
            <w:r>
              <w:rPr>
                <w:b w:val="0"/>
                <w:sz w:val="18"/>
              </w:rPr>
              <w:t>Cargadores</w:t>
            </w:r>
          </w:p>
        </w:tc>
        <w:tc>
          <w:tcPr>
            <w:tcW w:type="dxa" w:w="2351"/>
          </w:tcPr>
          <w:p>
            <w:pPr>
              <w:jc w:val="center"/>
            </w:pPr>
            <w:r>
              <w:rPr>
                <w:b w:val="0"/>
                <w:sz w:val="18"/>
              </w:rPr>
              <w:t>15 unidades</w:t>
            </w:r>
          </w:p>
        </w:tc>
        <w:tc>
          <w:tcPr>
            <w:tcW w:type="dxa" w:w="2351"/>
          </w:tcPr>
          <w:p>
            <w:pPr>
              <w:jc w:val="center"/>
            </w:pPr>
            <w:r>
              <w:rPr>
                <w:b w:val="0"/>
                <w:sz w:val="18"/>
              </w:rPr>
              <w:t>4 unidades</w:t>
            </w:r>
          </w:p>
        </w:tc>
        <w:tc>
          <w:tcPr>
            <w:tcW w:type="dxa" w:w="2351"/>
          </w:tcPr>
          <w:p>
            <w:pPr>
              <w:jc w:val="center"/>
            </w:pPr>
            <w:r>
              <w:rPr>
                <w:b w:val="0"/>
                <w:sz w:val="18"/>
              </w:rPr>
              <w:t>19 unidades</w:t>
            </w:r>
          </w:p>
        </w:tc>
      </w:tr>
      <w:tr>
        <w:tc>
          <w:tcPr>
            <w:tcW w:type="dxa" w:w="2351"/>
          </w:tcPr>
          <w:p>
            <w:pPr>
              <w:jc w:val="center"/>
            </w:pPr>
            <w:r>
              <w:rPr>
                <w:b w:val="0"/>
                <w:sz w:val="18"/>
              </w:rPr>
              <w:t>Sockets por cargador</w:t>
            </w:r>
          </w:p>
        </w:tc>
        <w:tc>
          <w:tcPr>
            <w:tcW w:type="dxa" w:w="2351"/>
          </w:tcPr>
          <w:p>
            <w:pPr>
              <w:jc w:val="center"/>
            </w:pPr>
            <w:r>
              <w:rPr>
                <w:b w:val="0"/>
                <w:sz w:val="18"/>
              </w:rPr>
              <w:t>2 sockets</w:t>
            </w:r>
          </w:p>
        </w:tc>
        <w:tc>
          <w:tcPr>
            <w:tcW w:type="dxa" w:w="2351"/>
          </w:tcPr>
          <w:p>
            <w:pPr>
              <w:jc w:val="center"/>
            </w:pPr>
            <w:r>
              <w:rPr>
                <w:b w:val="0"/>
                <w:sz w:val="18"/>
              </w:rPr>
              <w:t>2 sockets</w:t>
            </w:r>
          </w:p>
        </w:tc>
        <w:tc>
          <w:tcPr>
            <w:tcW w:type="dxa" w:w="2351"/>
          </w:tcPr>
          <w:p>
            <w:pPr>
              <w:jc w:val="center"/>
            </w:pPr>
            <w:r>
              <w:rPr>
                <w:b w:val="0"/>
                <w:sz w:val="18"/>
              </w:rPr>
              <w:t>2 sockets</w:t>
            </w:r>
          </w:p>
        </w:tc>
      </w:tr>
      <w:tr>
        <w:tc>
          <w:tcPr>
            <w:tcW w:type="dxa" w:w="2351"/>
          </w:tcPr>
          <w:p>
            <w:pPr>
              <w:jc w:val="center"/>
            </w:pPr>
            <w:r>
              <w:rPr>
                <w:b w:val="0"/>
                <w:sz w:val="18"/>
              </w:rPr>
              <w:t>Total sockets operativos</w:t>
            </w:r>
          </w:p>
        </w:tc>
        <w:tc>
          <w:tcPr>
            <w:tcW w:type="dxa" w:w="2351"/>
          </w:tcPr>
          <w:p>
            <w:pPr>
              <w:jc w:val="center"/>
            </w:pPr>
            <w:r>
              <w:rPr>
                <w:b w:val="0"/>
                <w:sz w:val="18"/>
              </w:rPr>
              <w:t>30 sockets</w:t>
            </w:r>
          </w:p>
        </w:tc>
        <w:tc>
          <w:tcPr>
            <w:tcW w:type="dxa" w:w="2351"/>
          </w:tcPr>
          <w:p>
            <w:pPr>
              <w:jc w:val="center"/>
            </w:pPr>
            <w:r>
              <w:rPr>
                <w:b w:val="0"/>
                <w:sz w:val="18"/>
              </w:rPr>
              <w:t>8 sockets</w:t>
            </w:r>
          </w:p>
        </w:tc>
        <w:tc>
          <w:tcPr>
            <w:tcW w:type="dxa" w:w="2351"/>
          </w:tcPr>
          <w:p>
            <w:pPr>
              <w:jc w:val="center"/>
            </w:pPr>
            <w:r>
              <w:rPr>
                <w:b w:val="0"/>
                <w:sz w:val="18"/>
              </w:rPr>
              <w:t>38 sockets</w:t>
            </w:r>
          </w:p>
        </w:tc>
      </w:tr>
      <w:tr>
        <w:tc>
          <w:tcPr>
            <w:tcW w:type="dxa" w:w="2351"/>
          </w:tcPr>
          <w:p>
            <w:pPr>
              <w:jc w:val="center"/>
            </w:pPr>
            <w:r>
              <w:rPr>
                <w:b w:val="0"/>
                <w:sz w:val="18"/>
              </w:rPr>
              <w:t>Potencia por socket</w:t>
            </w:r>
          </w:p>
        </w:tc>
        <w:tc>
          <w:tcPr>
            <w:tcW w:type="dxa" w:w="2351"/>
          </w:tcPr>
          <w:p>
            <w:pPr>
              <w:jc w:val="center"/>
            </w:pPr>
            <w:r>
              <w:rPr>
                <w:b w:val="0"/>
                <w:sz w:val="18"/>
              </w:rPr>
              <w:t>7.4 kW</w:t>
            </w:r>
          </w:p>
        </w:tc>
        <w:tc>
          <w:tcPr>
            <w:tcW w:type="dxa" w:w="2351"/>
          </w:tcPr>
          <w:p>
            <w:pPr>
              <w:jc w:val="center"/>
            </w:pPr>
            <w:r>
              <w:rPr>
                <w:b w:val="0"/>
                <w:sz w:val="18"/>
              </w:rPr>
              <w:t>7.4 kW</w:t>
            </w:r>
          </w:p>
        </w:tc>
        <w:tc>
          <w:tcPr>
            <w:tcW w:type="dxa" w:w="2351"/>
          </w:tcPr>
          <w:p>
            <w:pPr>
              <w:jc w:val="center"/>
            </w:pPr>
            <w:r>
              <w:rPr>
                <w:b w:val="0"/>
                <w:sz w:val="18"/>
              </w:rPr>
              <w:t>7.4 kW</w:t>
            </w:r>
          </w:p>
        </w:tc>
      </w:tr>
      <w:tr>
        <w:tc>
          <w:tcPr>
            <w:tcW w:type="dxa" w:w="2351"/>
          </w:tcPr>
          <w:p>
            <w:pPr>
              <w:jc w:val="center"/>
            </w:pPr>
            <w:r>
              <w:rPr>
                <w:b w:val="0"/>
                <w:sz w:val="18"/>
              </w:rPr>
              <w:t>Estándar de carga</w:t>
            </w:r>
          </w:p>
        </w:tc>
        <w:tc>
          <w:tcPr>
            <w:tcW w:type="dxa" w:w="2351"/>
          </w:tcPr>
          <w:p>
            <w:pPr>
              <w:jc w:val="center"/>
            </w:pPr>
            <w:r>
              <w:rPr>
                <w:b w:val="0"/>
                <w:sz w:val="18"/>
              </w:rPr>
              <w:t>Modo 3, IEC 62196-2</w:t>
            </w:r>
          </w:p>
        </w:tc>
        <w:tc>
          <w:tcPr>
            <w:tcW w:type="dxa" w:w="2351"/>
          </w:tcPr>
          <w:p>
            <w:pPr>
              <w:jc w:val="center"/>
            </w:pPr>
            <w:r>
              <w:rPr>
                <w:b w:val="0"/>
                <w:sz w:val="18"/>
              </w:rPr>
              <w:t>Modo 3, IEC 62196-2</w:t>
            </w:r>
          </w:p>
        </w:tc>
        <w:tc>
          <w:tcPr>
            <w:tcW w:type="dxa" w:w="2351"/>
          </w:tcPr>
          <w:p>
            <w:pPr>
              <w:jc w:val="center"/>
            </w:pPr>
            <w:r>
              <w:rPr>
                <w:b w:val="0"/>
                <w:sz w:val="18"/>
              </w:rPr>
              <w:t>Tipo 2, 32A, 230 V</w:t>
            </w:r>
          </w:p>
        </w:tc>
      </w:tr>
      <w:tr>
        <w:tc>
          <w:tcPr>
            <w:tcW w:type="dxa" w:w="2351"/>
          </w:tcPr>
          <w:p>
            <w:pPr>
              <w:jc w:val="center"/>
            </w:pPr>
            <w:r>
              <w:rPr>
                <w:b w:val="0"/>
                <w:sz w:val="18"/>
              </w:rPr>
              <w:t>Potencia total instalada</w:t>
            </w:r>
          </w:p>
        </w:tc>
        <w:tc>
          <w:tcPr>
            <w:tcW w:type="dxa" w:w="2351"/>
          </w:tcPr>
          <w:p>
            <w:pPr>
              <w:jc w:val="center"/>
            </w:pPr>
            <w:r>
              <w:rPr>
                <w:b w:val="0"/>
                <w:sz w:val="18"/>
              </w:rPr>
              <w:t>222.0 kW</w:t>
            </w:r>
          </w:p>
        </w:tc>
        <w:tc>
          <w:tcPr>
            <w:tcW w:type="dxa" w:w="2351"/>
          </w:tcPr>
          <w:p>
            <w:pPr>
              <w:jc w:val="center"/>
            </w:pPr>
            <w:r>
              <w:rPr>
                <w:b w:val="0"/>
                <w:sz w:val="18"/>
              </w:rPr>
              <w:t>59.2 kW</w:t>
            </w:r>
          </w:p>
        </w:tc>
        <w:tc>
          <w:tcPr>
            <w:tcW w:type="dxa" w:w="2351"/>
          </w:tcPr>
          <w:p>
            <w:pPr>
              <w:jc w:val="center"/>
            </w:pPr>
            <w:r>
              <w:rPr>
                <w:b w:val="0"/>
                <w:sz w:val="18"/>
              </w:rPr>
              <w:t>281.2 kW</w:t>
            </w:r>
          </w:p>
        </w:tc>
      </w:tr>
      <w:tr>
        <w:tc>
          <w:tcPr>
            <w:tcW w:type="dxa" w:w="2351"/>
          </w:tcPr>
          <w:p>
            <w:pPr>
              <w:jc w:val="center"/>
            </w:pPr>
            <w:r>
              <w:rPr>
                <w:b w:val="0"/>
                <w:sz w:val="18"/>
              </w:rPr>
              <w:t>Flota objetivo (veh./día)</w:t>
            </w:r>
          </w:p>
        </w:tc>
        <w:tc>
          <w:tcPr>
            <w:tcW w:type="dxa" w:w="2351"/>
          </w:tcPr>
          <w:p>
            <w:pPr>
              <w:jc w:val="center"/>
            </w:pPr>
            <w:r>
              <w:rPr>
                <w:b w:val="0"/>
                <w:sz w:val="18"/>
              </w:rPr>
              <w:t>270 motos</w:t>
            </w:r>
          </w:p>
        </w:tc>
        <w:tc>
          <w:tcPr>
            <w:tcW w:type="dxa" w:w="2351"/>
          </w:tcPr>
          <w:p>
            <w:pPr>
              <w:jc w:val="center"/>
            </w:pPr>
            <w:r>
              <w:rPr>
                <w:b w:val="0"/>
                <w:sz w:val="18"/>
              </w:rPr>
              <w:t>39 mototaxis</w:t>
            </w:r>
          </w:p>
        </w:tc>
        <w:tc>
          <w:tcPr>
            <w:tcW w:type="dxa" w:w="2351"/>
          </w:tcPr>
          <w:p>
            <w:pPr>
              <w:jc w:val="center"/>
            </w:pPr>
            <w:r>
              <w:rPr>
                <w:b w:val="0"/>
                <w:sz w:val="18"/>
              </w:rPr>
              <w:t>309 vehículos/día</w:t>
            </w:r>
          </w:p>
        </w:tc>
      </w:tr>
      <w:tr>
        <w:tc>
          <w:tcPr>
            <w:tcW w:type="dxa" w:w="2351"/>
          </w:tcPr>
          <w:p>
            <w:pPr>
              <w:jc w:val="center"/>
            </w:pPr>
            <w:r>
              <w:rPr>
                <w:b w:val="0"/>
                <w:sz w:val="18"/>
              </w:rPr>
              <w:t>Penetración EV asumida</w:t>
            </w:r>
          </w:p>
        </w:tc>
        <w:tc>
          <w:tcPr>
            <w:tcW w:type="dxa" w:w="2351"/>
          </w:tcPr>
          <w:p>
            <w:pPr>
              <w:jc w:val="center"/>
            </w:pPr>
            <w:r>
              <w:rPr>
                <w:b w:val="0"/>
                <w:sz w:val="18"/>
              </w:rPr>
              <w:t>30% (IEA EVO 2024)</w:t>
            </w:r>
          </w:p>
        </w:tc>
        <w:tc>
          <w:tcPr>
            <w:tcW w:type="dxa" w:w="2351"/>
          </w:tcPr>
          <w:p>
            <w:pPr>
              <w:jc w:val="center"/>
            </w:pPr>
            <w:r>
              <w:rPr>
                <w:b w:val="0"/>
                <w:sz w:val="18"/>
              </w:rPr>
              <w:t>30%</w:t>
            </w:r>
          </w:p>
        </w:tc>
        <w:tc>
          <w:tcPr>
            <w:tcW w:type="dxa" w:w="2351"/>
          </w:tcPr>
          <w:p>
            <w:pPr>
              <w:jc w:val="center"/>
            </w:pPr>
            <w:r>
              <w:rPr>
                <w:b w:val="0"/>
                <w:sz w:val="18"/>
              </w:rPr>
              <w:t>30%</w:t>
            </w:r>
          </w:p>
        </w:tc>
      </w:tr>
      <w:tr>
        <w:tc>
          <w:tcPr>
            <w:tcW w:type="dxa" w:w="2351"/>
          </w:tcPr>
          <w:p>
            <w:pPr>
              <w:jc w:val="center"/>
            </w:pPr>
            <w:r>
              <w:rPr>
                <w:b w:val="0"/>
                <w:sz w:val="18"/>
              </w:rPr>
              <w:t>Factor de carga diario</w:t>
            </w:r>
          </w:p>
        </w:tc>
        <w:tc>
          <w:tcPr>
            <w:tcW w:type="dxa" w:w="2351"/>
          </w:tcPr>
          <w:p>
            <w:pPr>
              <w:jc w:val="center"/>
            </w:pPr>
            <w:r>
              <w:rPr>
                <w:b w:val="0"/>
                <w:sz w:val="18"/>
              </w:rPr>
              <w:t>55% (NREL 2022)</w:t>
            </w:r>
          </w:p>
        </w:tc>
        <w:tc>
          <w:tcPr>
            <w:tcW w:type="dxa" w:w="2351"/>
          </w:tcPr>
          <w:p>
            <w:pPr>
              <w:jc w:val="center"/>
            </w:pPr>
            <w:r>
              <w:rPr>
                <w:b w:val="0"/>
                <w:sz w:val="18"/>
              </w:rPr>
              <w:t>55%</w:t>
            </w:r>
          </w:p>
        </w:tc>
        <w:tc>
          <w:tcPr>
            <w:tcW w:type="dxa" w:w="2351"/>
          </w:tcPr>
          <w:p>
            <w:pPr>
              <w:jc w:val="center"/>
            </w:pPr>
            <w:r>
              <w:rPr>
                <w:b w:val="0"/>
                <w:sz w:val="18"/>
              </w:rPr>
              <w:t>55%</w:t>
            </w:r>
          </w:p>
        </w:tc>
      </w:tr>
      <w:tr>
        <w:tc>
          <w:tcPr>
            <w:tcW w:type="dxa" w:w="2351"/>
          </w:tcPr>
          <w:p>
            <w:pPr>
              <w:jc w:val="center"/>
            </w:pPr>
            <w:r>
              <w:rPr>
                <w:b w:val="0"/>
                <w:sz w:val="18"/>
              </w:rPr>
              <w:t>Horario operativo</w:t>
            </w:r>
          </w:p>
        </w:tc>
        <w:tc>
          <w:tcPr>
            <w:tcW w:type="dxa" w:w="2351"/>
          </w:tcPr>
          <w:p>
            <w:pPr>
              <w:jc w:val="center"/>
            </w:pPr>
            <w:r>
              <w:rPr>
                <w:b w:val="0"/>
                <w:sz w:val="18"/>
              </w:rPr>
              <w:t>09:00–22:00</w:t>
            </w:r>
          </w:p>
        </w:tc>
        <w:tc>
          <w:tcPr>
            <w:tcW w:type="dxa" w:w="2351"/>
          </w:tcPr>
          <w:p>
            <w:pPr>
              <w:jc w:val="center"/>
            </w:pPr>
            <w:r>
              <w:rPr>
                <w:b w:val="0"/>
                <w:sz w:val="18"/>
              </w:rPr>
              <w:t>09:00–22:00</w:t>
            </w:r>
          </w:p>
        </w:tc>
        <w:tc>
          <w:tcPr>
            <w:tcW w:type="dxa" w:w="2351"/>
          </w:tcPr>
          <w:p>
            <w:pPr>
              <w:jc w:val="center"/>
            </w:pPr>
            <w:r>
              <w:rPr>
                <w:b w:val="0"/>
                <w:sz w:val="18"/>
              </w:rPr>
              <w:t>13 h/día</w:t>
            </w:r>
          </w:p>
        </w:tc>
      </w:tr>
    </w:tbl>
    <w:p>
      <w:pPr>
        <w:spacing w:after="120"/>
        <w:jc w:val="center"/>
      </w:pPr>
      <w:r>
        <w:rPr>
          <w:i/>
          <w:sz w:val="18"/>
        </w:rPr>
        <w:t>Tabla 5.1.3.1. Infraestructura de carga dimensionada OE2. Modo 3 IEC 62196-2 = carga en CA supervisada con protocolo de comunicación IEC 61851-1. Fuente: src/dimensionamiento/oe2/disenocargadoresev/chargers.py v5.4</w:t>
      </w:r>
    </w:p>
    <w:p>
      <w:pPr>
        <w:spacing w:after="80" w:before="0"/>
        <w:jc w:val="both"/>
      </w:pPr>
      <w:r>
        <w:rPr>
          <w:b/>
          <w:sz w:val="22"/>
        </w:rPr>
        <w:t>5.1.3.2. Especificaciones de las baterías vehiculares</w:t>
      </w:r>
      <w:r>
        <w:t xml:space="preserve"> </w:t>
      </w:r>
      <w:r>
        <w:rPr>
          <w:sz w:val="22"/>
        </w:rPr>
      </w:r>
    </w:p>
    <w:p>
      <w:pPr>
        <w:spacing w:after="80" w:before="0"/>
        <w:jc w:val="both"/>
      </w:pPr>
      <w:r>
        <w:rPr>
          <w:sz w:val="22"/>
        </w:rPr>
        <w:t>El dimensionamiento de la energía demandada por socket se calculó con base en las especificaciones reales de baterías de los vehículos de dos y tres ruedas eléctricos disponibles en el mercado latinoamericano 2024. Se adoptó la estrategia de carga parcial (20%–80% SOC) para maximizar la vida útil de las baterías (IEC 62840-2):</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0E4F7"/>
          </w:tcPr>
          <w:p>
            <w:pPr>
              <w:jc w:val="center"/>
            </w:pPr>
            <w:r>
              <w:rPr>
                <w:b/>
                <w:sz w:val="18"/>
              </w:rPr>
              <w:t>Parámetro</w:t>
            </w:r>
          </w:p>
        </w:tc>
        <w:tc>
          <w:tcPr>
            <w:tcW w:type="dxa" w:w="1881"/>
            <w:shd w:val="clear" w:color="auto" w:fill="D0E4F7"/>
          </w:tcPr>
          <w:p>
            <w:pPr>
              <w:jc w:val="center"/>
            </w:pPr>
            <w:r>
              <w:rPr>
                <w:b/>
                <w:sz w:val="18"/>
              </w:rPr>
              <w:t>Moto eléctrica</w:t>
            </w:r>
          </w:p>
        </w:tc>
        <w:tc>
          <w:tcPr>
            <w:tcW w:type="dxa" w:w="1881"/>
            <w:shd w:val="clear" w:color="auto" w:fill="D0E4F7"/>
          </w:tcPr>
          <w:p>
            <w:pPr>
              <w:jc w:val="center"/>
            </w:pPr>
            <w:r>
              <w:rPr>
                <w:b/>
                <w:sz w:val="18"/>
              </w:rPr>
              <w:t>Mototaxi eléctrica</w:t>
            </w:r>
          </w:p>
        </w:tc>
        <w:tc>
          <w:tcPr>
            <w:tcW w:type="dxa" w:w="1881"/>
            <w:shd w:val="clear" w:color="auto" w:fill="D0E4F7"/>
          </w:tcPr>
          <w:p>
            <w:pPr>
              <w:jc w:val="center"/>
            </w:pPr>
            <w:r>
              <w:rPr>
                <w:b/>
                <w:sz w:val="18"/>
              </w:rPr>
              <w:t>Fuente / Norma</w:t>
            </w:r>
          </w:p>
        </w:tc>
        <w:tc>
          <w:tcPr>
            <w:tcW w:type="dxa" w:w="1881"/>
            <w:shd w:val="clear" w:color="auto" w:fill="D0E4F7"/>
          </w:tcPr>
          <w:p>
            <w:pPr>
              <w:jc w:val="center"/>
            </w:pPr>
            <w:r>
              <w:rPr>
                <w:b/>
                <w:sz w:val="18"/>
              </w:rPr>
              <w:t>Aplicación OE2</w:t>
            </w:r>
          </w:p>
        </w:tc>
      </w:tr>
      <w:tr>
        <w:tc>
          <w:tcPr>
            <w:tcW w:type="dxa" w:w="1881"/>
          </w:tcPr>
          <w:p>
            <w:pPr>
              <w:jc w:val="center"/>
            </w:pPr>
            <w:r>
              <w:rPr>
                <w:b w:val="0"/>
                <w:sz w:val="17"/>
              </w:rPr>
              <w:t>Capacidad batería nominal</w:t>
            </w:r>
          </w:p>
        </w:tc>
        <w:tc>
          <w:tcPr>
            <w:tcW w:type="dxa" w:w="1881"/>
          </w:tcPr>
          <w:p>
            <w:pPr>
              <w:jc w:val="center"/>
            </w:pPr>
            <w:r>
              <w:rPr>
                <w:b w:val="0"/>
                <w:sz w:val="17"/>
              </w:rPr>
              <w:t>4.6 kWh</w:t>
            </w:r>
          </w:p>
        </w:tc>
        <w:tc>
          <w:tcPr>
            <w:tcW w:type="dxa" w:w="1881"/>
          </w:tcPr>
          <w:p>
            <w:pPr>
              <w:jc w:val="center"/>
            </w:pPr>
            <w:r>
              <w:rPr>
                <w:b w:val="0"/>
                <w:sz w:val="17"/>
              </w:rPr>
              <w:t>7.4 kWh</w:t>
            </w:r>
          </w:p>
        </w:tc>
        <w:tc>
          <w:tcPr>
            <w:tcW w:type="dxa" w:w="1881"/>
          </w:tcPr>
          <w:p>
            <w:pPr>
              <w:jc w:val="center"/>
            </w:pPr>
            <w:r>
              <w:rPr>
                <w:b w:val="0"/>
                <w:sz w:val="17"/>
              </w:rPr>
              <w:t>Especificaciones fabricante</w:t>
            </w:r>
          </w:p>
        </w:tc>
        <w:tc>
          <w:tcPr>
            <w:tcW w:type="dxa" w:w="1881"/>
          </w:tcPr>
          <w:p>
            <w:pPr>
              <w:jc w:val="center"/>
            </w:pPr>
            <w:r>
              <w:rPr>
                <w:b w:val="0"/>
                <w:sz w:val="17"/>
              </w:rPr>
              <w:t>Base para cálculo energía por carga</w:t>
            </w:r>
          </w:p>
        </w:tc>
      </w:tr>
      <w:tr>
        <w:tc>
          <w:tcPr>
            <w:tcW w:type="dxa" w:w="1881"/>
          </w:tcPr>
          <w:p>
            <w:pPr>
              <w:jc w:val="center"/>
            </w:pPr>
            <w:r>
              <w:rPr>
                <w:b w:val="0"/>
                <w:sz w:val="17"/>
              </w:rPr>
              <w:t>SOC de llegada (media)</w:t>
            </w:r>
          </w:p>
        </w:tc>
        <w:tc>
          <w:tcPr>
            <w:tcW w:type="dxa" w:w="1881"/>
          </w:tcPr>
          <w:p>
            <w:pPr>
              <w:jc w:val="center"/>
            </w:pPr>
            <w:r>
              <w:rPr>
                <w:b w:val="0"/>
                <w:sz w:val="17"/>
              </w:rPr>
              <w:t>20% (±10%)</w:t>
            </w:r>
          </w:p>
        </w:tc>
        <w:tc>
          <w:tcPr>
            <w:tcW w:type="dxa" w:w="1881"/>
          </w:tcPr>
          <w:p>
            <w:pPr>
              <w:jc w:val="center"/>
            </w:pPr>
            <w:r>
              <w:rPr>
                <w:b w:val="0"/>
                <w:sz w:val="17"/>
              </w:rPr>
              <w:t>20% (±10%)</w:t>
            </w:r>
          </w:p>
        </w:tc>
        <w:tc>
          <w:tcPr>
            <w:tcW w:type="dxa" w:w="1881"/>
          </w:tcPr>
          <w:p>
            <w:pPr>
              <w:jc w:val="center"/>
            </w:pPr>
            <w:r>
              <w:rPr>
                <w:b w:val="0"/>
                <w:sz w:val="17"/>
              </w:rPr>
              <w:t>Distribución Normal</w:t>
            </w:r>
          </w:p>
        </w:tc>
        <w:tc>
          <w:tcPr>
            <w:tcW w:type="dxa" w:w="1881"/>
          </w:tcPr>
          <w:p>
            <w:pPr>
              <w:jc w:val="center"/>
            </w:pPr>
            <w:r>
              <w:rPr>
                <w:b w:val="0"/>
                <w:sz w:val="17"/>
              </w:rPr>
              <w:t>Modelado estocástico Poisson</w:t>
            </w:r>
          </w:p>
        </w:tc>
      </w:tr>
      <w:tr>
        <w:tc>
          <w:tcPr>
            <w:tcW w:type="dxa" w:w="1881"/>
          </w:tcPr>
          <w:p>
            <w:pPr>
              <w:jc w:val="center"/>
            </w:pPr>
            <w:r>
              <w:rPr>
                <w:b w:val="0"/>
                <w:sz w:val="17"/>
              </w:rPr>
              <w:t>SOC objetivo (media)</w:t>
            </w:r>
          </w:p>
        </w:tc>
        <w:tc>
          <w:tcPr>
            <w:tcW w:type="dxa" w:w="1881"/>
          </w:tcPr>
          <w:p>
            <w:pPr>
              <w:jc w:val="center"/>
            </w:pPr>
            <w:r>
              <w:rPr>
                <w:b w:val="0"/>
                <w:sz w:val="17"/>
              </w:rPr>
              <w:t>80% (±15%)</w:t>
            </w:r>
          </w:p>
        </w:tc>
        <w:tc>
          <w:tcPr>
            <w:tcW w:type="dxa" w:w="1881"/>
          </w:tcPr>
          <w:p>
            <w:pPr>
              <w:jc w:val="center"/>
            </w:pPr>
            <w:r>
              <w:rPr>
                <w:b w:val="0"/>
                <w:sz w:val="17"/>
              </w:rPr>
              <w:t>80% (±15%)</w:t>
            </w:r>
          </w:p>
        </w:tc>
        <w:tc>
          <w:tcPr>
            <w:tcW w:type="dxa" w:w="1881"/>
          </w:tcPr>
          <w:p>
            <w:pPr>
              <w:jc w:val="center"/>
            </w:pPr>
            <w:r>
              <w:rPr>
                <w:b w:val="0"/>
                <w:sz w:val="17"/>
              </w:rPr>
              <w:t>IEC 62840-2 (vida útil)</w:t>
            </w:r>
          </w:p>
        </w:tc>
        <w:tc>
          <w:tcPr>
            <w:tcW w:type="dxa" w:w="1881"/>
          </w:tcPr>
          <w:p>
            <w:pPr>
              <w:jc w:val="center"/>
            </w:pPr>
            <w:r>
              <w:rPr>
                <w:b w:val="0"/>
                <w:sz w:val="17"/>
              </w:rPr>
              <w:t>Carga parcial, protección ciclos</w:t>
            </w:r>
          </w:p>
        </w:tc>
      </w:tr>
      <w:tr>
        <w:tc>
          <w:tcPr>
            <w:tcW w:type="dxa" w:w="1881"/>
          </w:tcPr>
          <w:p>
            <w:pPr>
              <w:jc w:val="center"/>
            </w:pPr>
            <w:r>
              <w:rPr>
                <w:b w:val="0"/>
                <w:sz w:val="17"/>
              </w:rPr>
              <w:t>Rango activo (DoD)</w:t>
            </w:r>
          </w:p>
        </w:tc>
        <w:tc>
          <w:tcPr>
            <w:tcW w:type="dxa" w:w="1881"/>
          </w:tcPr>
          <w:p>
            <w:pPr>
              <w:jc w:val="center"/>
            </w:pPr>
            <w:r>
              <w:rPr>
                <w:b w:val="0"/>
                <w:sz w:val="17"/>
              </w:rPr>
              <w:t>60% = 2.76 kWh</w:t>
            </w:r>
          </w:p>
        </w:tc>
        <w:tc>
          <w:tcPr>
            <w:tcW w:type="dxa" w:w="1881"/>
          </w:tcPr>
          <w:p>
            <w:pPr>
              <w:jc w:val="center"/>
            </w:pPr>
            <w:r>
              <w:rPr>
                <w:b w:val="0"/>
                <w:sz w:val="17"/>
              </w:rPr>
              <w:t>60% = 4.44 kWh</w:t>
            </w:r>
          </w:p>
        </w:tc>
        <w:tc>
          <w:tcPr>
            <w:tcW w:type="dxa" w:w="1881"/>
          </w:tcPr>
          <w:p>
            <w:pPr>
              <w:jc w:val="center"/>
            </w:pPr>
            <w:r>
              <w:rPr>
                <w:b w:val="0"/>
                <w:sz w:val="17"/>
              </w:rPr>
              <w:t>SOC_max – SOC_min</w:t>
            </w:r>
          </w:p>
        </w:tc>
        <w:tc>
          <w:tcPr>
            <w:tcW w:type="dxa" w:w="1881"/>
          </w:tcPr>
          <w:p>
            <w:pPr>
              <w:jc w:val="center"/>
            </w:pPr>
            <w:r>
              <w:rPr>
                <w:b w:val="0"/>
                <w:sz w:val="17"/>
              </w:rPr>
              <w:t>Energía disponible por carga</w:t>
            </w:r>
          </w:p>
        </w:tc>
      </w:tr>
      <w:tr>
        <w:tc>
          <w:tcPr>
            <w:tcW w:type="dxa" w:w="1881"/>
          </w:tcPr>
          <w:p>
            <w:pPr>
              <w:jc w:val="center"/>
            </w:pPr>
            <w:r>
              <w:rPr>
                <w:b w:val="0"/>
                <w:sz w:val="17"/>
              </w:rPr>
              <w:t>Energía efectiva / carga</w:t>
            </w:r>
          </w:p>
        </w:tc>
        <w:tc>
          <w:tcPr>
            <w:tcW w:type="dxa" w:w="1881"/>
          </w:tcPr>
          <w:p>
            <w:pPr>
              <w:jc w:val="center"/>
            </w:pPr>
            <w:r>
              <w:rPr>
                <w:b w:val="0"/>
                <w:sz w:val="17"/>
              </w:rPr>
              <w:t>2.906 kWh</w:t>
            </w:r>
          </w:p>
        </w:tc>
        <w:tc>
          <w:tcPr>
            <w:tcW w:type="dxa" w:w="1881"/>
          </w:tcPr>
          <w:p>
            <w:pPr>
              <w:jc w:val="center"/>
            </w:pPr>
            <w:r>
              <w:rPr>
                <w:b w:val="0"/>
                <w:sz w:val="17"/>
              </w:rPr>
              <w:t>4.674 kWh</w:t>
            </w:r>
          </w:p>
        </w:tc>
        <w:tc>
          <w:tcPr>
            <w:tcW w:type="dxa" w:w="1881"/>
          </w:tcPr>
          <w:p>
            <w:pPr>
              <w:jc w:val="center"/>
            </w:pPr>
            <w:r>
              <w:rPr>
                <w:b w:val="0"/>
                <w:sz w:val="17"/>
              </w:rPr>
              <w:t>Δ SOC / η_cargador (95%)</w:t>
            </w:r>
          </w:p>
        </w:tc>
        <w:tc>
          <w:tcPr>
            <w:tcW w:type="dxa" w:w="1881"/>
          </w:tcPr>
          <w:p>
            <w:pPr>
              <w:jc w:val="center"/>
            </w:pPr>
            <w:r>
              <w:rPr>
                <w:b w:val="0"/>
                <w:sz w:val="17"/>
              </w:rPr>
              <w:t>Potencia requerida de la red</w:t>
            </w:r>
          </w:p>
        </w:tc>
      </w:tr>
      <w:tr>
        <w:tc>
          <w:tcPr>
            <w:tcW w:type="dxa" w:w="1881"/>
          </w:tcPr>
          <w:p>
            <w:pPr>
              <w:jc w:val="center"/>
            </w:pPr>
            <w:r>
              <w:rPr>
                <w:b w:val="0"/>
                <w:sz w:val="17"/>
              </w:rPr>
              <w:t>Potencia cargador (socket)</w:t>
            </w:r>
          </w:p>
        </w:tc>
        <w:tc>
          <w:tcPr>
            <w:tcW w:type="dxa" w:w="1881"/>
          </w:tcPr>
          <w:p>
            <w:pPr>
              <w:jc w:val="center"/>
            </w:pPr>
            <w:r>
              <w:rPr>
                <w:b w:val="0"/>
                <w:sz w:val="17"/>
              </w:rPr>
              <w:t>7.4 kW (32A@230V)</w:t>
            </w:r>
          </w:p>
        </w:tc>
        <w:tc>
          <w:tcPr>
            <w:tcW w:type="dxa" w:w="1881"/>
          </w:tcPr>
          <w:p>
            <w:pPr>
              <w:jc w:val="center"/>
            </w:pPr>
            <w:r>
              <w:rPr>
                <w:b w:val="0"/>
                <w:sz w:val="17"/>
              </w:rPr>
              <w:t>7.4 kW (32A@230V)</w:t>
            </w:r>
          </w:p>
        </w:tc>
        <w:tc>
          <w:tcPr>
            <w:tcW w:type="dxa" w:w="1881"/>
          </w:tcPr>
          <w:p>
            <w:pPr>
              <w:jc w:val="center"/>
            </w:pPr>
            <w:r>
              <w:rPr>
                <w:b w:val="0"/>
                <w:sz w:val="17"/>
              </w:rPr>
              <w:t>IEC 62196-2 Tipo 2</w:t>
            </w:r>
          </w:p>
        </w:tc>
        <w:tc>
          <w:tcPr>
            <w:tcW w:type="dxa" w:w="1881"/>
          </w:tcPr>
          <w:p>
            <w:pPr>
              <w:jc w:val="center"/>
            </w:pPr>
            <w:r>
              <w:rPr>
                <w:b w:val="0"/>
                <w:sz w:val="17"/>
              </w:rPr>
              <w:t>Modo 3, CC+CV</w:t>
            </w:r>
          </w:p>
        </w:tc>
      </w:tr>
      <w:tr>
        <w:tc>
          <w:tcPr>
            <w:tcW w:type="dxa" w:w="1881"/>
          </w:tcPr>
          <w:p>
            <w:pPr>
              <w:jc w:val="center"/>
            </w:pPr>
            <w:r>
              <w:rPr>
                <w:b w:val="0"/>
                <w:sz w:val="17"/>
              </w:rPr>
              <w:t>Tiempo carga estimado</w:t>
            </w:r>
          </w:p>
        </w:tc>
        <w:tc>
          <w:tcPr>
            <w:tcW w:type="dxa" w:w="1881"/>
          </w:tcPr>
          <w:p>
            <w:pPr>
              <w:jc w:val="center"/>
            </w:pPr>
            <w:r>
              <w:rPr>
                <w:b w:val="0"/>
                <w:sz w:val="17"/>
              </w:rPr>
              <w:t>~60 min (50–70 min)</w:t>
            </w:r>
          </w:p>
        </w:tc>
        <w:tc>
          <w:tcPr>
            <w:tcW w:type="dxa" w:w="1881"/>
          </w:tcPr>
          <w:p>
            <w:pPr>
              <w:jc w:val="center"/>
            </w:pPr>
            <w:r>
              <w:rPr>
                <w:b w:val="0"/>
                <w:sz w:val="17"/>
              </w:rPr>
              <w:t>~90 min (75–105 min)</w:t>
            </w:r>
          </w:p>
        </w:tc>
        <w:tc>
          <w:tcPr>
            <w:tcW w:type="dxa" w:w="1881"/>
          </w:tcPr>
          <w:p>
            <w:pPr>
              <w:jc w:val="center"/>
            </w:pPr>
            <w:r>
              <w:rPr>
                <w:b w:val="0"/>
                <w:sz w:val="17"/>
              </w:rPr>
              <w:t>Modelo CC+CV taper</w:t>
            </w:r>
          </w:p>
        </w:tc>
        <w:tc>
          <w:tcPr>
            <w:tcW w:type="dxa" w:w="1881"/>
          </w:tcPr>
          <w:p>
            <w:pPr>
              <w:jc w:val="center"/>
            </w:pPr>
            <w:r>
              <w:rPr>
                <w:b w:val="0"/>
                <w:sz w:val="17"/>
              </w:rPr>
              <w:t>Perfil horario por socket</w:t>
            </w:r>
          </w:p>
        </w:tc>
      </w:tr>
      <w:tr>
        <w:tc>
          <w:tcPr>
            <w:tcW w:type="dxa" w:w="1881"/>
          </w:tcPr>
          <w:p>
            <w:pPr>
              <w:jc w:val="center"/>
            </w:pPr>
            <w:r>
              <w:rPr>
                <w:b w:val="0"/>
                <w:sz w:val="17"/>
              </w:rPr>
              <w:t>Factor emisión gasolina</w:t>
            </w:r>
          </w:p>
        </w:tc>
        <w:tc>
          <w:tcPr>
            <w:tcW w:type="dxa" w:w="1881"/>
          </w:tcPr>
          <w:p>
            <w:pPr>
              <w:jc w:val="center"/>
            </w:pPr>
            <w:r>
              <w:rPr>
                <w:b w:val="0"/>
                <w:sz w:val="17"/>
              </w:rPr>
              <w:t>0.87 kg CO₂/kWh</w:t>
            </w:r>
          </w:p>
        </w:tc>
        <w:tc>
          <w:tcPr>
            <w:tcW w:type="dxa" w:w="1881"/>
          </w:tcPr>
          <w:p>
            <w:pPr>
              <w:jc w:val="center"/>
            </w:pPr>
            <w:r>
              <w:rPr>
                <w:b w:val="0"/>
                <w:sz w:val="17"/>
              </w:rPr>
              <w:t>—</w:t>
            </w:r>
          </w:p>
        </w:tc>
        <w:tc>
          <w:tcPr>
            <w:tcW w:type="dxa" w:w="1881"/>
          </w:tcPr>
          <w:p>
            <w:pPr>
              <w:jc w:val="center"/>
            </w:pPr>
            <w:r>
              <w:rPr>
                <w:b w:val="0"/>
                <w:sz w:val="17"/>
              </w:rPr>
              <w:t>IPCC 2006 Tier 2</w:t>
            </w:r>
          </w:p>
        </w:tc>
        <w:tc>
          <w:tcPr>
            <w:tcW w:type="dxa" w:w="1881"/>
          </w:tcPr>
          <w:p>
            <w:pPr>
              <w:jc w:val="center"/>
            </w:pPr>
            <w:r>
              <w:rPr>
                <w:b w:val="0"/>
                <w:sz w:val="17"/>
              </w:rPr>
              <w:t>Reducción directa motos</w:t>
            </w:r>
          </w:p>
        </w:tc>
      </w:tr>
      <w:tr>
        <w:tc>
          <w:tcPr>
            <w:tcW w:type="dxa" w:w="1881"/>
          </w:tcPr>
          <w:p>
            <w:pPr>
              <w:jc w:val="center"/>
            </w:pPr>
            <w:r>
              <w:rPr>
                <w:b w:val="0"/>
                <w:sz w:val="17"/>
              </w:rPr>
              <w:t>Factor emisión diésel</w:t>
            </w:r>
          </w:p>
        </w:tc>
        <w:tc>
          <w:tcPr>
            <w:tcW w:type="dxa" w:w="1881"/>
          </w:tcPr>
          <w:p>
            <w:pPr>
              <w:jc w:val="center"/>
            </w:pPr>
            <w:r>
              <w:rPr>
                <w:b w:val="0"/>
                <w:sz w:val="17"/>
              </w:rPr>
              <w:t>—</w:t>
            </w:r>
          </w:p>
        </w:tc>
        <w:tc>
          <w:tcPr>
            <w:tcW w:type="dxa" w:w="1881"/>
          </w:tcPr>
          <w:p>
            <w:pPr>
              <w:jc w:val="center"/>
            </w:pPr>
            <w:r>
              <w:rPr>
                <w:b w:val="0"/>
                <w:sz w:val="17"/>
              </w:rPr>
              <w:t>0.47 kg CO₂/kWh</w:t>
            </w:r>
          </w:p>
        </w:tc>
        <w:tc>
          <w:tcPr>
            <w:tcW w:type="dxa" w:w="1881"/>
          </w:tcPr>
          <w:p>
            <w:pPr>
              <w:jc w:val="center"/>
            </w:pPr>
            <w:r>
              <w:rPr>
                <w:b w:val="0"/>
                <w:sz w:val="17"/>
              </w:rPr>
              <w:t>IPCC 2006 Tier 2</w:t>
            </w:r>
          </w:p>
        </w:tc>
        <w:tc>
          <w:tcPr>
            <w:tcW w:type="dxa" w:w="1881"/>
          </w:tcPr>
          <w:p>
            <w:pPr>
              <w:jc w:val="center"/>
            </w:pPr>
            <w:r>
              <w:rPr>
                <w:b w:val="0"/>
                <w:sz w:val="17"/>
              </w:rPr>
              <w:t>Reducción directa mototaxis</w:t>
            </w:r>
          </w:p>
        </w:tc>
      </w:tr>
    </w:tbl>
    <w:p>
      <w:pPr>
        <w:spacing w:after="120"/>
        <w:jc w:val="center"/>
      </w:pPr>
      <w:r>
        <w:rPr>
          <w:i/>
          <w:sz w:val="18"/>
        </w:rPr>
        <w:t>Tabla 5.1.3.2. Especificaciones de baterías vehiculares y parámetros de carga. η_cargador = 95% (eficiencia Modo 3). CC = Constant Current, CV = Constant Voltage. Fuente: chargers.py v5.4 + IPCC 2006 Tier 2 (emisiones combustibles).</w:t>
      </w:r>
    </w:p>
    <w:p>
      <w:pPr>
        <w:spacing w:after="80" w:before="0"/>
        <w:jc w:val="both"/>
      </w:pPr>
      <w:r>
        <w:rPr>
          <w:b/>
          <w:sz w:val="22"/>
        </w:rPr>
        <w:t>5.1.3.3. Resultados descriptivos de la demanda EV anual</w:t>
      </w:r>
      <w:r>
        <w:t xml:space="preserve"> </w:t>
      </w:r>
      <w:r>
        <w:rPr>
          <w:sz w:val="22"/>
        </w:rPr>
      </w:r>
    </w:p>
    <w:p>
      <w:pPr>
        <w:spacing w:after="80" w:before="0"/>
        <w:jc w:val="both"/>
      </w:pPr>
      <w:r>
        <w:rPr>
          <w:sz w:val="22"/>
        </w:rPr>
        <w:t>La simulación estocástica de 270 motos + 39 mototaxis/día durante 8,760 horas (año 2024) produce el perfil de demanda EV que alimenta el entorno CityLearn v2 en OE3. Los estadísticos principales de la demanda EV anual son:</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0E4F7"/>
          </w:tcPr>
          <w:p>
            <w:pPr>
              <w:jc w:val="center"/>
            </w:pPr>
            <w:r>
              <w:rPr>
                <w:b/>
                <w:sz w:val="18"/>
              </w:rPr>
              <w:t>Métrica de demanda EV</w:t>
            </w:r>
          </w:p>
        </w:tc>
        <w:tc>
          <w:tcPr>
            <w:tcW w:type="dxa" w:w="3135"/>
            <w:shd w:val="clear" w:color="auto" w:fill="D0E4F7"/>
          </w:tcPr>
          <w:p>
            <w:pPr>
              <w:jc w:val="center"/>
            </w:pPr>
            <w:r>
              <w:rPr>
                <w:b/>
                <w:sz w:val="18"/>
              </w:rPr>
              <w:t>Valor</w:t>
            </w:r>
          </w:p>
        </w:tc>
        <w:tc>
          <w:tcPr>
            <w:tcW w:type="dxa" w:w="3135"/>
            <w:shd w:val="clear" w:color="auto" w:fill="D0E4F7"/>
          </w:tcPr>
          <w:p>
            <w:pPr>
              <w:jc w:val="center"/>
            </w:pPr>
            <w:r>
              <w:rPr>
                <w:b/>
                <w:sz w:val="18"/>
              </w:rPr>
              <w:t>Observación</w:t>
            </w:r>
          </w:p>
        </w:tc>
      </w:tr>
      <w:tr>
        <w:tc>
          <w:tcPr>
            <w:tcW w:type="dxa" w:w="3135"/>
          </w:tcPr>
          <w:p>
            <w:pPr>
              <w:jc w:val="center"/>
            </w:pPr>
            <w:r>
              <w:rPr>
                <w:b w:val="0"/>
                <w:sz w:val="18"/>
              </w:rPr>
              <w:t>Demanda EV total anual</w:t>
            </w:r>
          </w:p>
        </w:tc>
        <w:tc>
          <w:tcPr>
            <w:tcW w:type="dxa" w:w="3135"/>
          </w:tcPr>
          <w:p>
            <w:pPr>
              <w:jc w:val="center"/>
            </w:pPr>
            <w:r>
              <w:rPr>
                <w:b w:val="0"/>
                <w:sz w:val="18"/>
              </w:rPr>
              <w:t>408,282 kWh/año</w:t>
            </w:r>
          </w:p>
        </w:tc>
        <w:tc>
          <w:tcPr>
            <w:tcW w:type="dxa" w:w="3135"/>
          </w:tcPr>
          <w:p>
            <w:pPr>
              <w:jc w:val="center"/>
            </w:pPr>
            <w:r>
              <w:rPr>
                <w:b w:val="0"/>
                <w:sz w:val="18"/>
              </w:rPr>
              <w:t>≡ 408.3 MWh/año</w:t>
            </w:r>
          </w:p>
        </w:tc>
      </w:tr>
      <w:tr>
        <w:tc>
          <w:tcPr>
            <w:tcW w:type="dxa" w:w="3135"/>
          </w:tcPr>
          <w:p>
            <w:pPr>
              <w:jc w:val="center"/>
            </w:pPr>
            <w:r>
              <w:rPr>
                <w:b w:val="0"/>
                <w:sz w:val="18"/>
              </w:rPr>
              <w:t>Demanda EV media diaria</w:t>
            </w:r>
          </w:p>
        </w:tc>
        <w:tc>
          <w:tcPr>
            <w:tcW w:type="dxa" w:w="3135"/>
          </w:tcPr>
          <w:p>
            <w:pPr>
              <w:jc w:val="center"/>
            </w:pPr>
            <w:r>
              <w:rPr>
                <w:b w:val="0"/>
                <w:sz w:val="18"/>
              </w:rPr>
              <w:t>1,118 kWh/día</w:t>
            </w:r>
          </w:p>
        </w:tc>
        <w:tc>
          <w:tcPr>
            <w:tcW w:type="dxa" w:w="3135"/>
          </w:tcPr>
          <w:p>
            <w:pPr>
              <w:jc w:val="center"/>
            </w:pPr>
            <w:r>
              <w:rPr>
                <w:b w:val="0"/>
                <w:sz w:val="18"/>
              </w:rPr>
              <w:t>270 motos × 2.906 kWh + 39 mototaxis × 4.674 kWh</w:t>
            </w:r>
          </w:p>
        </w:tc>
      </w:tr>
      <w:tr>
        <w:tc>
          <w:tcPr>
            <w:tcW w:type="dxa" w:w="3135"/>
          </w:tcPr>
          <w:p>
            <w:pPr>
              <w:jc w:val="center"/>
            </w:pPr>
            <w:r>
              <w:rPr>
                <w:b w:val="0"/>
                <w:sz w:val="18"/>
              </w:rPr>
              <w:t>Potencia EV máxima instantánea</w:t>
            </w:r>
          </w:p>
        </w:tc>
        <w:tc>
          <w:tcPr>
            <w:tcW w:type="dxa" w:w="3135"/>
          </w:tcPr>
          <w:p>
            <w:pPr>
              <w:jc w:val="center"/>
            </w:pPr>
            <w:r>
              <w:rPr>
                <w:b w:val="0"/>
                <w:sz w:val="18"/>
              </w:rPr>
              <w:t>169.76 kW</w:t>
            </w:r>
          </w:p>
        </w:tc>
        <w:tc>
          <w:tcPr>
            <w:tcW w:type="dxa" w:w="3135"/>
          </w:tcPr>
          <w:p>
            <w:pPr>
              <w:jc w:val="center"/>
            </w:pPr>
            <w:r>
              <w:rPr>
                <w:b w:val="0"/>
                <w:sz w:val="18"/>
              </w:rPr>
              <w:t>60.4% de potencia instalada total</w:t>
            </w:r>
          </w:p>
        </w:tc>
      </w:tr>
      <w:tr>
        <w:tc>
          <w:tcPr>
            <w:tcW w:type="dxa" w:w="3135"/>
          </w:tcPr>
          <w:p>
            <w:pPr>
              <w:jc w:val="center"/>
            </w:pPr>
            <w:r>
              <w:rPr>
                <w:b w:val="0"/>
                <w:sz w:val="18"/>
              </w:rPr>
              <w:t>Potencia EV media en operación</w:t>
            </w:r>
          </w:p>
        </w:tc>
        <w:tc>
          <w:tcPr>
            <w:tcW w:type="dxa" w:w="3135"/>
          </w:tcPr>
          <w:p>
            <w:pPr>
              <w:jc w:val="center"/>
            </w:pPr>
            <w:r>
              <w:rPr>
                <w:b w:val="0"/>
                <w:sz w:val="18"/>
              </w:rPr>
              <w:t>46.61 kW</w:t>
            </w:r>
          </w:p>
        </w:tc>
        <w:tc>
          <w:tcPr>
            <w:tcW w:type="dxa" w:w="3135"/>
          </w:tcPr>
          <w:p>
            <w:pPr>
              <w:jc w:val="center"/>
            </w:pPr>
            <w:r>
              <w:rPr>
                <w:b w:val="0"/>
                <w:sz w:val="18"/>
              </w:rPr>
              <w:t>Factor de utilización = 16.6%</w:t>
            </w:r>
          </w:p>
        </w:tc>
      </w:tr>
      <w:tr>
        <w:tc>
          <w:tcPr>
            <w:tcW w:type="dxa" w:w="3135"/>
          </w:tcPr>
          <w:p>
            <w:pPr>
              <w:jc w:val="center"/>
            </w:pPr>
            <w:r>
              <w:rPr>
                <w:b w:val="0"/>
                <w:sz w:val="18"/>
              </w:rPr>
              <w:t>Horas de carga activa anual</w:t>
            </w:r>
          </w:p>
        </w:tc>
        <w:tc>
          <w:tcPr>
            <w:tcW w:type="dxa" w:w="3135"/>
          </w:tcPr>
          <w:p>
            <w:pPr>
              <w:jc w:val="center"/>
            </w:pPr>
            <w:r>
              <w:rPr>
                <w:b w:val="0"/>
                <w:sz w:val="18"/>
              </w:rPr>
              <w:t>4,380 h/año</w:t>
            </w:r>
          </w:p>
        </w:tc>
        <w:tc>
          <w:tcPr>
            <w:tcW w:type="dxa" w:w="3135"/>
          </w:tcPr>
          <w:p>
            <w:pPr>
              <w:jc w:val="center"/>
            </w:pPr>
            <w:r>
              <w:rPr>
                <w:b w:val="0"/>
                <w:sz w:val="18"/>
              </w:rPr>
              <w:t>50% del año (50.0% del tiempo)</w:t>
            </w:r>
          </w:p>
        </w:tc>
      </w:tr>
      <w:tr>
        <w:tc>
          <w:tcPr>
            <w:tcW w:type="dxa" w:w="3135"/>
          </w:tcPr>
          <w:p>
            <w:pPr>
              <w:jc w:val="center"/>
            </w:pPr>
            <w:r>
              <w:rPr>
                <w:b w:val="0"/>
                <w:sz w:val="18"/>
              </w:rPr>
              <w:t>Potencia total instalada (38 sockets)</w:t>
            </w:r>
          </w:p>
        </w:tc>
        <w:tc>
          <w:tcPr>
            <w:tcW w:type="dxa" w:w="3135"/>
          </w:tcPr>
          <w:p>
            <w:pPr>
              <w:jc w:val="center"/>
            </w:pPr>
            <w:r>
              <w:rPr>
                <w:b w:val="0"/>
                <w:sz w:val="18"/>
              </w:rPr>
              <w:t>281.2 kW</w:t>
            </w:r>
          </w:p>
        </w:tc>
        <w:tc>
          <w:tcPr>
            <w:tcW w:type="dxa" w:w="3135"/>
          </w:tcPr>
          <w:p>
            <w:pPr>
              <w:jc w:val="center"/>
            </w:pPr>
            <w:r>
              <w:rPr>
                <w:b w:val="0"/>
                <w:sz w:val="18"/>
              </w:rPr>
              <w:t>19 cargadores × 2 sockets × 7.4 kW</w:t>
            </w:r>
          </w:p>
        </w:tc>
      </w:tr>
      <w:tr>
        <w:tc>
          <w:tcPr>
            <w:tcW w:type="dxa" w:w="3135"/>
          </w:tcPr>
          <w:p>
            <w:pPr>
              <w:jc w:val="center"/>
            </w:pPr>
            <w:r>
              <w:rPr>
                <w:b w:val="0"/>
                <w:sz w:val="18"/>
              </w:rPr>
              <w:t>CO₂ directo evitado — Motos</w:t>
            </w:r>
          </w:p>
        </w:tc>
        <w:tc>
          <w:tcPr>
            <w:tcW w:type="dxa" w:w="3135"/>
          </w:tcPr>
          <w:p>
            <w:pPr>
              <w:jc w:val="center"/>
            </w:pPr>
            <w:r>
              <w:rPr>
                <w:b w:val="0"/>
                <w:sz w:val="18"/>
              </w:rPr>
              <w:t>203.7 tCO₂/año</w:t>
            </w:r>
          </w:p>
        </w:tc>
        <w:tc>
          <w:tcPr>
            <w:tcW w:type="dxa" w:w="3135"/>
          </w:tcPr>
          <w:p>
            <w:pPr>
              <w:jc w:val="center"/>
            </w:pPr>
            <w:r>
              <w:rPr>
                <w:b w:val="0"/>
                <w:sz w:val="18"/>
              </w:rPr>
              <w:t>234,111 kWh × 0.87 kg/kWh (gasolina)</w:t>
            </w:r>
          </w:p>
        </w:tc>
      </w:tr>
      <w:tr>
        <w:tc>
          <w:tcPr>
            <w:tcW w:type="dxa" w:w="3135"/>
          </w:tcPr>
          <w:p>
            <w:pPr>
              <w:jc w:val="center"/>
            </w:pPr>
            <w:r>
              <w:rPr>
                <w:b w:val="0"/>
                <w:sz w:val="18"/>
              </w:rPr>
              <w:t>CO₂ directo evitado — Mototaxis</w:t>
            </w:r>
          </w:p>
        </w:tc>
        <w:tc>
          <w:tcPr>
            <w:tcW w:type="dxa" w:w="3135"/>
          </w:tcPr>
          <w:p>
            <w:pPr>
              <w:jc w:val="center"/>
            </w:pPr>
            <w:r>
              <w:rPr>
                <w:b w:val="0"/>
                <w:sz w:val="18"/>
              </w:rPr>
              <w:t>39.6 tCO₂/año</w:t>
            </w:r>
          </w:p>
        </w:tc>
        <w:tc>
          <w:tcPr>
            <w:tcW w:type="dxa" w:w="3135"/>
          </w:tcPr>
          <w:p>
            <w:pPr>
              <w:jc w:val="center"/>
            </w:pPr>
            <w:r>
              <w:rPr>
                <w:b w:val="0"/>
                <w:sz w:val="18"/>
              </w:rPr>
              <w:t>84,203 kWh × 0.47 kg/kWh (diésel)</w:t>
            </w:r>
          </w:p>
        </w:tc>
      </w:tr>
      <w:tr>
        <w:tc>
          <w:tcPr>
            <w:tcW w:type="dxa" w:w="3135"/>
          </w:tcPr>
          <w:p>
            <w:pPr>
              <w:jc w:val="center"/>
            </w:pPr>
            <w:r>
              <w:rPr>
                <w:b w:val="0"/>
                <w:sz w:val="18"/>
              </w:rPr>
              <w:t>CO₂ directo total evitado</w:t>
            </w:r>
          </w:p>
        </w:tc>
        <w:tc>
          <w:tcPr>
            <w:tcW w:type="dxa" w:w="3135"/>
          </w:tcPr>
          <w:p>
            <w:pPr>
              <w:jc w:val="center"/>
            </w:pPr>
            <w:r>
              <w:rPr>
                <w:b w:val="0"/>
                <w:sz w:val="18"/>
              </w:rPr>
              <w:t>243.3 tCO₂/año</w:t>
            </w:r>
          </w:p>
        </w:tc>
        <w:tc>
          <w:tcPr>
            <w:tcW w:type="dxa" w:w="3135"/>
          </w:tcPr>
          <w:p>
            <w:pPr>
              <w:jc w:val="center"/>
            </w:pPr>
            <w:r>
              <w:rPr>
                <w:b w:val="0"/>
                <w:sz w:val="18"/>
              </w:rPr>
              <w:t>≡ 46,156 litros combustible / año evitados</w:t>
            </w:r>
          </w:p>
        </w:tc>
      </w:tr>
    </w:tbl>
    <w:p>
      <w:pPr>
        <w:spacing w:after="120"/>
        <w:jc w:val="center"/>
      </w:pPr>
      <w:r>
        <w:rPr>
          <w:i/>
          <w:sz w:val="18"/>
        </w:rPr>
        <w:t>Tabla 5.1.3.3. Estadísticos descriptivos de la demanda EV anual (year 2024, 8,760 h). Factor de utilización = Potencia media / Potencia instalada total. Fuente: data/oe2/chargers/chargers_ev_ano_2024_v3.csv + REDUCCION_DIRECTA_CO2_ANUAL_DETALLADO.json</w:t>
      </w:r>
    </w:p>
    <w:p>
      <w:pPr>
        <w:spacing w:after="80" w:before="0"/>
        <w:jc w:val="both"/>
      </w:pPr>
      <w:r>
        <w:rPr>
          <w:sz w:val="22"/>
        </w:rPr>
        <w:t>El perfil horario de la demanda EV evidencia concentración en el periodo 10:00–22:00, con hora punta entre las 18:00 y 22:00 (55% de la energía diaria), alineado con el horario de atención del mall de Iquitos y el retorno vespertino de los conductores. Esta concentración vespertina es la principal razón de diseño para incluir el BESS: desplazar energía solar generada en horas diurnas (10:00–15:00, pico de irradiancia) hacia el periodo de mayor demanda EV (18:00–22:00), reduciendo la importación de la red diésel en hora punta (tarifa HP = S/. 0.45/kWh).</w:t>
      </w:r>
    </w:p>
    <w:p>
      <w:pPr>
        <w:pStyle w:val="Heading2"/>
        <w:jc w:val="left"/>
      </w:pPr>
      <w:r>
        <w:t>5.1.4. Resultados descriptivos del dimensionamiento del BESS y de la operación base del sistema FV–BESS–cargadores</w:t>
      </w:r>
    </w:p>
    <w:p>
      <w:pPr>
        <w:spacing w:after="80" w:before="0"/>
        <w:jc w:val="both"/>
      </w:pPr>
      <w:r>
        <w:rPr>
          <w:b/>
          <w:sz w:val="22"/>
        </w:rPr>
        <w:t>5.1.4.1. Especificaciones técnicas del BESS</w:t>
      </w:r>
      <w:r>
        <w:t xml:space="preserve"> </w:t>
      </w:r>
      <w:r>
        <w:rPr>
          <w:sz w:val="22"/>
        </w:rPr>
      </w:r>
    </w:p>
    <w:p>
      <w:pPr>
        <w:spacing w:after="80" w:before="0"/>
        <w:jc w:val="both"/>
      </w:pPr>
      <w:r>
        <w:rPr>
          <w:sz w:val="22"/>
        </w:rPr>
        <w:t>El sistema de almacenamiento en baterías (BESS, Battery Energy Storage System) fue dimensionado para cubrir la demanda EV en hora punta durante 5 horas consecutivas sin generación solar, con una profundidad de descarga (DoD) del 80% para garantizar un mínimo de 3,500 ciclos de vida útil. La tecnología seleccionada es electroquímica de iones de litio (Li-ion NMC), dada su alta densidad energética, eficiencia de round-trip (95%) y disponibilidad en el mercado regional sudamericano (2024–2025).</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0E4F7"/>
          </w:tcPr>
          <w:p>
            <w:pPr>
              <w:jc w:val="center"/>
            </w:pPr>
            <w:r>
              <w:rPr>
                <w:b/>
                <w:sz w:val="18"/>
              </w:rPr>
              <w:t>Parámetro BESS</w:t>
            </w:r>
          </w:p>
        </w:tc>
        <w:tc>
          <w:tcPr>
            <w:tcW w:type="dxa" w:w="3135"/>
            <w:shd w:val="clear" w:color="auto" w:fill="D0E4F7"/>
          </w:tcPr>
          <w:p>
            <w:pPr>
              <w:jc w:val="center"/>
            </w:pPr>
            <w:r>
              <w:rPr>
                <w:b/>
                <w:sz w:val="18"/>
              </w:rPr>
              <w:t>Valor de diseño</w:t>
            </w:r>
          </w:p>
        </w:tc>
        <w:tc>
          <w:tcPr>
            <w:tcW w:type="dxa" w:w="3135"/>
            <w:shd w:val="clear" w:color="auto" w:fill="D0E4F7"/>
          </w:tcPr>
          <w:p>
            <w:pPr>
              <w:jc w:val="center"/>
            </w:pPr>
            <w:r>
              <w:rPr>
                <w:b/>
                <w:sz w:val="18"/>
              </w:rPr>
              <w:t>Criterio / Norma</w:t>
            </w:r>
          </w:p>
        </w:tc>
      </w:tr>
      <w:tr>
        <w:tc>
          <w:tcPr>
            <w:tcW w:type="dxa" w:w="3135"/>
          </w:tcPr>
          <w:p>
            <w:pPr>
              <w:jc w:val="center"/>
            </w:pPr>
            <w:r>
              <w:rPr>
                <w:b w:val="0"/>
                <w:sz w:val="18"/>
              </w:rPr>
              <w:t>Capacidad nominal energética</w:t>
            </w:r>
          </w:p>
        </w:tc>
        <w:tc>
          <w:tcPr>
            <w:tcW w:type="dxa" w:w="3135"/>
          </w:tcPr>
          <w:p>
            <w:pPr>
              <w:jc w:val="center"/>
            </w:pPr>
            <w:r>
              <w:rPr>
                <w:b w:val="0"/>
                <w:sz w:val="18"/>
              </w:rPr>
              <w:t>2,000 kWh</w:t>
            </w:r>
          </w:p>
        </w:tc>
        <w:tc>
          <w:tcPr>
            <w:tcW w:type="dxa" w:w="3135"/>
          </w:tcPr>
          <w:p>
            <w:pPr>
              <w:jc w:val="center"/>
            </w:pPr>
            <w:r>
              <w:rPr>
                <w:b w:val="0"/>
                <w:sz w:val="18"/>
              </w:rPr>
              <w:t>Autonomía 5 h a 400 kW</w:t>
            </w:r>
          </w:p>
        </w:tc>
      </w:tr>
      <w:tr>
        <w:tc>
          <w:tcPr>
            <w:tcW w:type="dxa" w:w="3135"/>
          </w:tcPr>
          <w:p>
            <w:pPr>
              <w:jc w:val="center"/>
            </w:pPr>
            <w:r>
              <w:rPr>
                <w:b w:val="0"/>
                <w:sz w:val="18"/>
              </w:rPr>
              <w:t>Potencia máxima carga/descarga</w:t>
            </w:r>
          </w:p>
        </w:tc>
        <w:tc>
          <w:tcPr>
            <w:tcW w:type="dxa" w:w="3135"/>
          </w:tcPr>
          <w:p>
            <w:pPr>
              <w:jc w:val="center"/>
            </w:pPr>
            <w:r>
              <w:rPr>
                <w:b w:val="0"/>
                <w:sz w:val="18"/>
              </w:rPr>
              <w:t>400 kW</w:t>
            </w:r>
          </w:p>
        </w:tc>
        <w:tc>
          <w:tcPr>
            <w:tcW w:type="dxa" w:w="3135"/>
          </w:tcPr>
          <w:p>
            <w:pPr>
              <w:jc w:val="center"/>
            </w:pPr>
            <w:r>
              <w:rPr>
                <w:b w:val="0"/>
                <w:sz w:val="18"/>
              </w:rPr>
              <w:t>≥ potencia EV punta (170 kW) + margen 2.4×</w:t>
            </w:r>
          </w:p>
        </w:tc>
      </w:tr>
      <w:tr>
        <w:tc>
          <w:tcPr>
            <w:tcW w:type="dxa" w:w="3135"/>
          </w:tcPr>
          <w:p>
            <w:pPr>
              <w:jc w:val="center"/>
            </w:pPr>
            <w:r>
              <w:rPr>
                <w:b w:val="0"/>
                <w:sz w:val="18"/>
              </w:rPr>
              <w:t>Energía utilizable (DoD 80%)</w:t>
            </w:r>
          </w:p>
        </w:tc>
        <w:tc>
          <w:tcPr>
            <w:tcW w:type="dxa" w:w="3135"/>
          </w:tcPr>
          <w:p>
            <w:pPr>
              <w:jc w:val="center"/>
            </w:pPr>
            <w:r>
              <w:rPr>
                <w:b w:val="0"/>
                <w:sz w:val="18"/>
              </w:rPr>
              <w:t>1,600 kWh</w:t>
            </w:r>
          </w:p>
        </w:tc>
        <w:tc>
          <w:tcPr>
            <w:tcW w:type="dxa" w:w="3135"/>
          </w:tcPr>
          <w:p>
            <w:pPr>
              <w:jc w:val="center"/>
            </w:pPr>
            <w:r>
              <w:rPr>
                <w:b w:val="0"/>
                <w:sz w:val="18"/>
              </w:rPr>
              <w:t>1,600 kWh = 2,000 × 0.80</w:t>
            </w:r>
          </w:p>
        </w:tc>
      </w:tr>
      <w:tr>
        <w:tc>
          <w:tcPr>
            <w:tcW w:type="dxa" w:w="3135"/>
          </w:tcPr>
          <w:p>
            <w:pPr>
              <w:jc w:val="center"/>
            </w:pPr>
            <w:r>
              <w:rPr>
                <w:b w:val="0"/>
                <w:sz w:val="18"/>
              </w:rPr>
              <w:t>Profundidad de descarga (DoD)</w:t>
            </w:r>
          </w:p>
        </w:tc>
        <w:tc>
          <w:tcPr>
            <w:tcW w:type="dxa" w:w="3135"/>
          </w:tcPr>
          <w:p>
            <w:pPr>
              <w:jc w:val="center"/>
            </w:pPr>
            <w:r>
              <w:rPr>
                <w:b w:val="0"/>
                <w:sz w:val="18"/>
              </w:rPr>
              <w:t>80%</w:t>
            </w:r>
          </w:p>
        </w:tc>
        <w:tc>
          <w:tcPr>
            <w:tcW w:type="dxa" w:w="3135"/>
          </w:tcPr>
          <w:p>
            <w:pPr>
              <w:jc w:val="center"/>
            </w:pPr>
            <w:r>
              <w:rPr>
                <w:b w:val="0"/>
                <w:sz w:val="18"/>
              </w:rPr>
              <w:t>IEC 62619 — vida útil ≥ 3,500 ciclos</w:t>
            </w:r>
          </w:p>
        </w:tc>
      </w:tr>
      <w:tr>
        <w:tc>
          <w:tcPr>
            <w:tcW w:type="dxa" w:w="3135"/>
          </w:tcPr>
          <w:p>
            <w:pPr>
              <w:jc w:val="center"/>
            </w:pPr>
            <w:r>
              <w:rPr>
                <w:b w:val="0"/>
                <w:sz w:val="18"/>
              </w:rPr>
              <w:t>Eficiencia round-trip (η)</w:t>
            </w:r>
          </w:p>
        </w:tc>
        <w:tc>
          <w:tcPr>
            <w:tcW w:type="dxa" w:w="3135"/>
          </w:tcPr>
          <w:p>
            <w:pPr>
              <w:jc w:val="center"/>
            </w:pPr>
            <w:r>
              <w:rPr>
                <w:b w:val="0"/>
                <w:sz w:val="18"/>
              </w:rPr>
              <w:t>95%</w:t>
            </w:r>
          </w:p>
        </w:tc>
        <w:tc>
          <w:tcPr>
            <w:tcW w:type="dxa" w:w="3135"/>
          </w:tcPr>
          <w:p>
            <w:pPr>
              <w:jc w:val="center"/>
            </w:pPr>
            <w:r>
              <w:rPr>
                <w:b w:val="0"/>
                <w:sz w:val="18"/>
              </w:rPr>
              <w:t>IEC 62933-2 — medición E_out/E_in</w:t>
            </w:r>
          </w:p>
        </w:tc>
      </w:tr>
      <w:tr>
        <w:tc>
          <w:tcPr>
            <w:tcW w:type="dxa" w:w="3135"/>
          </w:tcPr>
          <w:p>
            <w:pPr>
              <w:jc w:val="center"/>
            </w:pPr>
            <w:r>
              <w:rPr>
                <w:b w:val="0"/>
                <w:sz w:val="18"/>
              </w:rPr>
              <w:t>SOC mínimo operacional</w:t>
            </w:r>
          </w:p>
        </w:tc>
        <w:tc>
          <w:tcPr>
            <w:tcW w:type="dxa" w:w="3135"/>
          </w:tcPr>
          <w:p>
            <w:pPr>
              <w:jc w:val="center"/>
            </w:pPr>
            <w:r>
              <w:rPr>
                <w:b w:val="0"/>
                <w:sz w:val="18"/>
              </w:rPr>
              <w:t>20% (400 kWh)</w:t>
            </w:r>
          </w:p>
        </w:tc>
        <w:tc>
          <w:tcPr>
            <w:tcW w:type="dxa" w:w="3135"/>
          </w:tcPr>
          <w:p>
            <w:pPr>
              <w:jc w:val="center"/>
            </w:pPr>
            <w:r>
              <w:rPr>
                <w:b w:val="0"/>
                <w:sz w:val="18"/>
              </w:rPr>
              <w:t>Protección batería — zona inactiva RL</w:t>
            </w:r>
          </w:p>
        </w:tc>
      </w:tr>
      <w:tr>
        <w:tc>
          <w:tcPr>
            <w:tcW w:type="dxa" w:w="3135"/>
          </w:tcPr>
          <w:p>
            <w:pPr>
              <w:jc w:val="center"/>
            </w:pPr>
            <w:r>
              <w:rPr>
                <w:b w:val="0"/>
                <w:sz w:val="18"/>
              </w:rPr>
              <w:t>SOC máximo operacional</w:t>
            </w:r>
          </w:p>
        </w:tc>
        <w:tc>
          <w:tcPr>
            <w:tcW w:type="dxa" w:w="3135"/>
          </w:tcPr>
          <w:p>
            <w:pPr>
              <w:jc w:val="center"/>
            </w:pPr>
            <w:r>
              <w:rPr>
                <w:b w:val="0"/>
                <w:sz w:val="18"/>
              </w:rPr>
              <w:t>100% (2,000 kWh)</w:t>
            </w:r>
          </w:p>
        </w:tc>
        <w:tc>
          <w:tcPr>
            <w:tcW w:type="dxa" w:w="3135"/>
          </w:tcPr>
          <w:p>
            <w:pPr>
              <w:jc w:val="center"/>
            </w:pPr>
            <w:r>
              <w:rPr>
                <w:b w:val="0"/>
                <w:sz w:val="18"/>
              </w:rPr>
              <w:t>Carga completa en excedente solar</w:t>
            </w:r>
          </w:p>
        </w:tc>
      </w:tr>
      <w:tr>
        <w:tc>
          <w:tcPr>
            <w:tcW w:type="dxa" w:w="3135"/>
          </w:tcPr>
          <w:p>
            <w:pPr>
              <w:jc w:val="center"/>
            </w:pPr>
            <w:r>
              <w:rPr>
                <w:b w:val="0"/>
                <w:sz w:val="18"/>
              </w:rPr>
              <w:t>Autonomía máxima a potencia nominal</w:t>
            </w:r>
          </w:p>
        </w:tc>
        <w:tc>
          <w:tcPr>
            <w:tcW w:type="dxa" w:w="3135"/>
          </w:tcPr>
          <w:p>
            <w:pPr>
              <w:jc w:val="center"/>
            </w:pPr>
            <w:r>
              <w:rPr>
                <w:b w:val="0"/>
                <w:sz w:val="18"/>
              </w:rPr>
              <w:t>5 horas</w:t>
            </w:r>
          </w:p>
        </w:tc>
        <w:tc>
          <w:tcPr>
            <w:tcW w:type="dxa" w:w="3135"/>
          </w:tcPr>
          <w:p>
            <w:pPr>
              <w:jc w:val="center"/>
            </w:pPr>
            <w:r>
              <w:rPr>
                <w:b w:val="0"/>
                <w:sz w:val="18"/>
              </w:rPr>
              <w:t>2,000 kWh / 400 kW = 5 h</w:t>
            </w:r>
          </w:p>
        </w:tc>
      </w:tr>
      <w:tr>
        <w:tc>
          <w:tcPr>
            <w:tcW w:type="dxa" w:w="3135"/>
          </w:tcPr>
          <w:p>
            <w:pPr>
              <w:jc w:val="center"/>
            </w:pPr>
            <w:r>
              <w:rPr>
                <w:b w:val="0"/>
                <w:sz w:val="18"/>
              </w:rPr>
              <w:t>Estrategia base de despacho</w:t>
            </w:r>
          </w:p>
        </w:tc>
        <w:tc>
          <w:tcPr>
            <w:tcW w:type="dxa" w:w="3135"/>
          </w:tcPr>
          <w:p>
            <w:pPr>
              <w:jc w:val="center"/>
            </w:pPr>
            <w:r>
              <w:rPr>
                <w:b w:val="0"/>
                <w:sz w:val="18"/>
              </w:rPr>
              <w:t>Solar-priority</w:t>
            </w:r>
          </w:p>
        </w:tc>
        <w:tc>
          <w:tcPr>
            <w:tcW w:type="dxa" w:w="3135"/>
          </w:tcPr>
          <w:p>
            <w:pPr>
              <w:jc w:val="center"/>
            </w:pPr>
            <w:r>
              <w:rPr>
                <w:b w:val="0"/>
                <w:sz w:val="18"/>
              </w:rPr>
              <w:t>Prioriza carga desde PV antes que desde red</w:t>
            </w:r>
          </w:p>
        </w:tc>
      </w:tr>
      <w:tr>
        <w:tc>
          <w:tcPr>
            <w:tcW w:type="dxa" w:w="3135"/>
          </w:tcPr>
          <w:p>
            <w:pPr>
              <w:jc w:val="center"/>
            </w:pPr>
            <w:r>
              <w:rPr>
                <w:b w:val="0"/>
                <w:sz w:val="18"/>
              </w:rPr>
              <w:t>Tecnología electroquímica</w:t>
            </w:r>
          </w:p>
        </w:tc>
        <w:tc>
          <w:tcPr>
            <w:tcW w:type="dxa" w:w="3135"/>
          </w:tcPr>
          <w:p>
            <w:pPr>
              <w:jc w:val="center"/>
            </w:pPr>
            <w:r>
              <w:rPr>
                <w:b w:val="0"/>
                <w:sz w:val="18"/>
              </w:rPr>
              <w:t>Li-ion NMC</w:t>
            </w:r>
          </w:p>
        </w:tc>
        <w:tc>
          <w:tcPr>
            <w:tcW w:type="dxa" w:w="3135"/>
          </w:tcPr>
          <w:p>
            <w:pPr>
              <w:jc w:val="center"/>
            </w:pPr>
            <w:r>
              <w:rPr>
                <w:b w:val="0"/>
                <w:sz w:val="18"/>
              </w:rPr>
              <w:t>IEC 62817 — alta densidad 200–250 Wh/kg</w:t>
            </w:r>
          </w:p>
        </w:tc>
      </w:tr>
      <w:tr>
        <w:tc>
          <w:tcPr>
            <w:tcW w:type="dxa" w:w="3135"/>
          </w:tcPr>
          <w:p>
            <w:pPr>
              <w:jc w:val="center"/>
            </w:pPr>
            <w:r>
              <w:rPr>
                <w:b w:val="0"/>
                <w:sz w:val="18"/>
              </w:rPr>
              <w:t>Tarifa HP (costo de red, 18–22h)</w:t>
            </w:r>
          </w:p>
        </w:tc>
        <w:tc>
          <w:tcPr>
            <w:tcW w:type="dxa" w:w="3135"/>
          </w:tcPr>
          <w:p>
            <w:pPr>
              <w:jc w:val="center"/>
            </w:pPr>
            <w:r>
              <w:rPr>
                <w:b w:val="0"/>
                <w:sz w:val="18"/>
              </w:rPr>
              <w:t>S/. 0.45/kWh</w:t>
            </w:r>
          </w:p>
        </w:tc>
        <w:tc>
          <w:tcPr>
            <w:tcW w:type="dxa" w:w="3135"/>
          </w:tcPr>
          <w:p>
            <w:pPr>
              <w:jc w:val="center"/>
            </w:pPr>
            <w:r>
              <w:rPr>
                <w:b w:val="0"/>
                <w:sz w:val="18"/>
              </w:rPr>
              <w:t>OSINERGMIN MT3 — Res. N° 047-2024-OS/CD</w:t>
            </w:r>
          </w:p>
        </w:tc>
      </w:tr>
      <w:tr>
        <w:tc>
          <w:tcPr>
            <w:tcW w:type="dxa" w:w="3135"/>
          </w:tcPr>
          <w:p>
            <w:pPr>
              <w:jc w:val="center"/>
            </w:pPr>
            <w:r>
              <w:rPr>
                <w:b w:val="0"/>
                <w:sz w:val="18"/>
              </w:rPr>
              <w:t>Tarifa HFP (costo de red, resto)</w:t>
            </w:r>
          </w:p>
        </w:tc>
        <w:tc>
          <w:tcPr>
            <w:tcW w:type="dxa" w:w="3135"/>
          </w:tcPr>
          <w:p>
            <w:pPr>
              <w:jc w:val="center"/>
            </w:pPr>
            <w:r>
              <w:rPr>
                <w:b w:val="0"/>
                <w:sz w:val="18"/>
              </w:rPr>
              <w:t>S/. 0.28/kWh</w:t>
            </w:r>
          </w:p>
        </w:tc>
        <w:tc>
          <w:tcPr>
            <w:tcW w:type="dxa" w:w="3135"/>
          </w:tcPr>
          <w:p>
            <w:pPr>
              <w:jc w:val="center"/>
            </w:pPr>
            <w:r>
              <w:rPr>
                <w:b w:val="0"/>
                <w:sz w:val="18"/>
              </w:rPr>
              <w:t>OSINERGMIN MT3 — Electro Oriente S.A.</w:t>
            </w:r>
          </w:p>
        </w:tc>
      </w:tr>
    </w:tbl>
    <w:p>
      <w:pPr>
        <w:spacing w:after="120"/>
        <w:jc w:val="center"/>
      </w:pPr>
      <w:r>
        <w:rPr>
          <w:i/>
          <w:sz w:val="18"/>
        </w:rPr>
        <w:t>Tabla 5.1.4.1. Especificaciones técnicas del BESS 2,000 kWh / 400 kW. NMC = Níquel–Manganeso–Cobalto. MT3 = Media Tensión 3 (tarifa Iquitos). Fuente: src/dimensionamiento/oe2/disenobess/bess.py + VALIDATION_RESULTS_2026-02-18.json</w:t>
      </w:r>
    </w:p>
    <w:p>
      <w:pPr>
        <w:spacing w:after="80" w:before="0"/>
        <w:jc w:val="both"/>
      </w:pPr>
      <w:r>
        <w:rPr>
          <w:b/>
          <w:sz w:val="22"/>
        </w:rPr>
        <w:t>5.1.4.2. Resultados de operación anual del BESS (baseline sin RL)</w:t>
      </w:r>
      <w:r>
        <w:t xml:space="preserve"> </w:t>
      </w:r>
      <w:r>
        <w:rPr>
          <w:sz w:val="22"/>
        </w:rPr>
      </w:r>
    </w:p>
    <w:p>
      <w:pPr>
        <w:spacing w:after="80" w:before="0"/>
        <w:jc w:val="both"/>
      </w:pPr>
      <w:r>
        <w:rPr>
          <w:sz w:val="22"/>
        </w:rPr>
        <w:t>En el escenario baseline (estrategia solar-priority sin agente RL), el BESS opera durante 8,760 horas con el único objetivo de almacenar excedente solar en horas de alta irradiancia y descargar en hora punta. Los resultados de operación para el año 2024 (8,760 registros horarios, archivo bess_ano_2024.csv) son:</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0E4F7"/>
          </w:tcPr>
          <w:p>
            <w:pPr>
              <w:jc w:val="center"/>
            </w:pPr>
            <w:r>
              <w:rPr>
                <w:b/>
                <w:sz w:val="18"/>
              </w:rPr>
              <w:t>Métrica operacional BESS</w:t>
            </w:r>
          </w:p>
        </w:tc>
        <w:tc>
          <w:tcPr>
            <w:tcW w:type="dxa" w:w="3135"/>
            <w:shd w:val="clear" w:color="auto" w:fill="D0E4F7"/>
          </w:tcPr>
          <w:p>
            <w:pPr>
              <w:jc w:val="center"/>
            </w:pPr>
            <w:r>
              <w:rPr>
                <w:b/>
                <w:sz w:val="18"/>
              </w:rPr>
              <w:t>Valor anual</w:t>
            </w:r>
          </w:p>
        </w:tc>
        <w:tc>
          <w:tcPr>
            <w:tcW w:type="dxa" w:w="3135"/>
            <w:shd w:val="clear" w:color="auto" w:fill="D0E4F7"/>
          </w:tcPr>
          <w:p>
            <w:pPr>
              <w:jc w:val="center"/>
            </w:pPr>
            <w:r>
              <w:rPr>
                <w:b/>
                <w:sz w:val="18"/>
              </w:rPr>
              <w:t>Análisis</w:t>
            </w:r>
          </w:p>
        </w:tc>
      </w:tr>
      <w:tr>
        <w:tc>
          <w:tcPr>
            <w:tcW w:type="dxa" w:w="3135"/>
          </w:tcPr>
          <w:p>
            <w:pPr>
              <w:jc w:val="center"/>
            </w:pPr>
            <w:r>
              <w:rPr>
                <w:b w:val="0"/>
                <w:sz w:val="18"/>
              </w:rPr>
              <w:t>Energía almacenada anual (carga)</w:t>
            </w:r>
          </w:p>
        </w:tc>
        <w:tc>
          <w:tcPr>
            <w:tcW w:type="dxa" w:w="3135"/>
          </w:tcPr>
          <w:p>
            <w:pPr>
              <w:jc w:val="center"/>
            </w:pPr>
            <w:r>
              <w:rPr>
                <w:b w:val="0"/>
                <w:sz w:val="18"/>
              </w:rPr>
              <w:t>677,795 kWh</w:t>
            </w:r>
          </w:p>
        </w:tc>
        <w:tc>
          <w:tcPr>
            <w:tcW w:type="dxa" w:w="3135"/>
          </w:tcPr>
          <w:p>
            <w:pPr>
              <w:jc w:val="center"/>
            </w:pPr>
            <w:r>
              <w:rPr>
                <w:b w:val="0"/>
                <w:sz w:val="18"/>
              </w:rPr>
              <w:t>4,101 h en modo carga (46.8% del año)</w:t>
            </w:r>
          </w:p>
        </w:tc>
      </w:tr>
      <w:tr>
        <w:tc>
          <w:tcPr>
            <w:tcW w:type="dxa" w:w="3135"/>
          </w:tcPr>
          <w:p>
            <w:pPr>
              <w:jc w:val="center"/>
            </w:pPr>
            <w:r>
              <w:rPr>
                <w:b w:val="0"/>
                <w:sz w:val="18"/>
              </w:rPr>
              <w:t>Energía descargada anual</w:t>
            </w:r>
          </w:p>
        </w:tc>
        <w:tc>
          <w:tcPr>
            <w:tcW w:type="dxa" w:w="3135"/>
          </w:tcPr>
          <w:p>
            <w:pPr>
              <w:jc w:val="center"/>
            </w:pPr>
            <w:r>
              <w:rPr>
                <w:b w:val="0"/>
                <w:sz w:val="18"/>
              </w:rPr>
              <w:t>509,829 kWh</w:t>
            </w:r>
          </w:p>
        </w:tc>
        <w:tc>
          <w:tcPr>
            <w:tcW w:type="dxa" w:w="3135"/>
          </w:tcPr>
          <w:p>
            <w:pPr>
              <w:jc w:val="center"/>
            </w:pPr>
            <w:r>
              <w:rPr>
                <w:b w:val="0"/>
                <w:sz w:val="18"/>
              </w:rPr>
              <w:t>Pérdidas: 167,966 kWh → η_real = 75.2%</w:t>
            </w:r>
          </w:p>
        </w:tc>
      </w:tr>
      <w:tr>
        <w:tc>
          <w:tcPr>
            <w:tcW w:type="dxa" w:w="3135"/>
          </w:tcPr>
          <w:p>
            <w:pPr>
              <w:jc w:val="center"/>
            </w:pPr>
            <w:r>
              <w:rPr>
                <w:b w:val="0"/>
                <w:sz w:val="18"/>
              </w:rPr>
              <w:t>Distribución descarga → Mall</w:t>
            </w:r>
          </w:p>
        </w:tc>
        <w:tc>
          <w:tcPr>
            <w:tcW w:type="dxa" w:w="3135"/>
          </w:tcPr>
          <w:p>
            <w:pPr>
              <w:jc w:val="center"/>
            </w:pPr>
            <w:r>
              <w:rPr>
                <w:b w:val="0"/>
                <w:sz w:val="18"/>
              </w:rPr>
              <w:t>503,073 kWh</w:t>
            </w:r>
          </w:p>
        </w:tc>
        <w:tc>
          <w:tcPr>
            <w:tcW w:type="dxa" w:w="3135"/>
          </w:tcPr>
          <w:p>
            <w:pPr>
              <w:jc w:val="center"/>
            </w:pPr>
            <w:r>
              <w:rPr>
                <w:b w:val="0"/>
                <w:sz w:val="18"/>
              </w:rPr>
              <w:t>98.7% de energía descargada</w:t>
            </w:r>
          </w:p>
        </w:tc>
      </w:tr>
      <w:tr>
        <w:tc>
          <w:tcPr>
            <w:tcW w:type="dxa" w:w="3135"/>
          </w:tcPr>
          <w:p>
            <w:pPr>
              <w:jc w:val="center"/>
            </w:pPr>
            <w:r>
              <w:rPr>
                <w:b w:val="0"/>
                <w:sz w:val="18"/>
              </w:rPr>
              <w:t>Distribución descarga → EV</w:t>
            </w:r>
          </w:p>
        </w:tc>
        <w:tc>
          <w:tcPr>
            <w:tcW w:type="dxa" w:w="3135"/>
          </w:tcPr>
          <w:p>
            <w:pPr>
              <w:jc w:val="center"/>
            </w:pPr>
            <w:r>
              <w:rPr>
                <w:b w:val="0"/>
                <w:sz w:val="18"/>
              </w:rPr>
              <w:t>6,756 kWh</w:t>
            </w:r>
          </w:p>
        </w:tc>
        <w:tc>
          <w:tcPr>
            <w:tcW w:type="dxa" w:w="3135"/>
          </w:tcPr>
          <w:p>
            <w:pPr>
              <w:jc w:val="center"/>
            </w:pPr>
            <w:r>
              <w:rPr>
                <w:b w:val="0"/>
                <w:sz w:val="18"/>
              </w:rPr>
              <w:t>1.3% (carga EV en HFP)</w:t>
            </w:r>
          </w:p>
        </w:tc>
      </w:tr>
      <w:tr>
        <w:tc>
          <w:tcPr>
            <w:tcW w:type="dxa" w:w="3135"/>
          </w:tcPr>
          <w:p>
            <w:pPr>
              <w:jc w:val="center"/>
            </w:pPr>
            <w:r>
              <w:rPr>
                <w:b w:val="0"/>
                <w:sz w:val="18"/>
              </w:rPr>
              <w:t>SOC medio de operación</w:t>
            </w:r>
          </w:p>
        </w:tc>
        <w:tc>
          <w:tcPr>
            <w:tcW w:type="dxa" w:w="3135"/>
          </w:tcPr>
          <w:p>
            <w:pPr>
              <w:jc w:val="center"/>
            </w:pPr>
            <w:r>
              <w:rPr>
                <w:b w:val="0"/>
                <w:sz w:val="18"/>
              </w:rPr>
              <w:t>49.2%</w:t>
            </w:r>
          </w:p>
        </w:tc>
        <w:tc>
          <w:tcPr>
            <w:tcW w:type="dxa" w:w="3135"/>
          </w:tcPr>
          <w:p>
            <w:pPr>
              <w:jc w:val="center"/>
            </w:pPr>
            <w:r>
              <w:rPr>
                <w:b w:val="0"/>
                <w:sz w:val="18"/>
              </w:rPr>
              <w:t>49.2% = 984 kWh promedio almacenado</w:t>
            </w:r>
          </w:p>
        </w:tc>
      </w:tr>
      <w:tr>
        <w:tc>
          <w:tcPr>
            <w:tcW w:type="dxa" w:w="3135"/>
          </w:tcPr>
          <w:p>
            <w:pPr>
              <w:jc w:val="center"/>
            </w:pPr>
            <w:r>
              <w:rPr>
                <w:b w:val="0"/>
                <w:sz w:val="18"/>
              </w:rPr>
              <w:t>SOC mínimo registrado (año)</w:t>
            </w:r>
          </w:p>
        </w:tc>
        <w:tc>
          <w:tcPr>
            <w:tcW w:type="dxa" w:w="3135"/>
          </w:tcPr>
          <w:p>
            <w:pPr>
              <w:jc w:val="center"/>
            </w:pPr>
            <w:r>
              <w:rPr>
                <w:b w:val="0"/>
                <w:sz w:val="18"/>
              </w:rPr>
              <w:t>20%</w:t>
            </w:r>
          </w:p>
        </w:tc>
        <w:tc>
          <w:tcPr>
            <w:tcW w:type="dxa" w:w="3135"/>
          </w:tcPr>
          <w:p>
            <w:pPr>
              <w:jc w:val="center"/>
            </w:pPr>
            <w:r>
              <w:rPr>
                <w:b w:val="0"/>
                <w:sz w:val="18"/>
              </w:rPr>
              <w:t>400 kWh — activación umbral de protección</w:t>
            </w:r>
          </w:p>
        </w:tc>
      </w:tr>
      <w:tr>
        <w:tc>
          <w:tcPr>
            <w:tcW w:type="dxa" w:w="3135"/>
          </w:tcPr>
          <w:p>
            <w:pPr>
              <w:jc w:val="center"/>
            </w:pPr>
            <w:r>
              <w:rPr>
                <w:b w:val="0"/>
                <w:sz w:val="18"/>
              </w:rPr>
              <w:t>SOC máximo registrado (año)</w:t>
            </w:r>
          </w:p>
        </w:tc>
        <w:tc>
          <w:tcPr>
            <w:tcW w:type="dxa" w:w="3135"/>
          </w:tcPr>
          <w:p>
            <w:pPr>
              <w:jc w:val="center"/>
            </w:pPr>
            <w:r>
              <w:rPr>
                <w:b w:val="0"/>
                <w:sz w:val="18"/>
              </w:rPr>
              <w:t>100%</w:t>
            </w:r>
          </w:p>
        </w:tc>
        <w:tc>
          <w:tcPr>
            <w:tcW w:type="dxa" w:w="3135"/>
          </w:tcPr>
          <w:p>
            <w:pPr>
              <w:jc w:val="center"/>
            </w:pPr>
            <w:r>
              <w:rPr>
                <w:b w:val="0"/>
                <w:sz w:val="18"/>
              </w:rPr>
              <w:t>2,000 kWh — carga total en excedente solar</w:t>
            </w:r>
          </w:p>
        </w:tc>
      </w:tr>
      <w:tr>
        <w:tc>
          <w:tcPr>
            <w:tcW w:type="dxa" w:w="3135"/>
          </w:tcPr>
          <w:p>
            <w:pPr>
              <w:jc w:val="center"/>
            </w:pPr>
            <w:r>
              <w:rPr>
                <w:b w:val="0"/>
                <w:sz w:val="18"/>
              </w:rPr>
              <w:t>Grid import total (con BESS baseline)</w:t>
            </w:r>
          </w:p>
        </w:tc>
        <w:tc>
          <w:tcPr>
            <w:tcW w:type="dxa" w:w="3135"/>
          </w:tcPr>
          <w:p>
            <w:pPr>
              <w:jc w:val="center"/>
            </w:pPr>
            <w:r>
              <w:rPr>
                <w:b w:val="0"/>
                <w:sz w:val="18"/>
              </w:rPr>
              <w:t>6,504,452 kWh</w:t>
            </w:r>
          </w:p>
        </w:tc>
        <w:tc>
          <w:tcPr>
            <w:tcW w:type="dxa" w:w="3135"/>
          </w:tcPr>
          <w:p>
            <w:pPr>
              <w:jc w:val="center"/>
            </w:pPr>
            <w:r>
              <w:rPr>
                <w:b w:val="0"/>
                <w:sz w:val="18"/>
              </w:rPr>
              <w:t>EV: 144,854 + Mall: 6,359,598 kWh</w:t>
            </w:r>
          </w:p>
        </w:tc>
      </w:tr>
      <w:tr>
        <w:tc>
          <w:tcPr>
            <w:tcW w:type="dxa" w:w="3135"/>
          </w:tcPr>
          <w:p>
            <w:pPr>
              <w:jc w:val="center"/>
            </w:pPr>
            <w:r>
              <w:rPr>
                <w:b w:val="0"/>
                <w:sz w:val="18"/>
              </w:rPr>
              <w:t>Grid export (excedente irrecuperable)</w:t>
            </w:r>
          </w:p>
        </w:tc>
        <w:tc>
          <w:tcPr>
            <w:tcW w:type="dxa" w:w="3135"/>
          </w:tcPr>
          <w:p>
            <w:pPr>
              <w:jc w:val="center"/>
            </w:pPr>
            <w:r>
              <w:rPr>
                <w:b w:val="0"/>
                <w:sz w:val="18"/>
              </w:rPr>
              <w:t>1,484,110 kWh</w:t>
            </w:r>
          </w:p>
        </w:tc>
        <w:tc>
          <w:tcPr>
            <w:tcW w:type="dxa" w:w="3135"/>
          </w:tcPr>
          <w:p>
            <w:pPr>
              <w:jc w:val="center"/>
            </w:pPr>
            <w:r>
              <w:rPr>
                <w:b w:val="0"/>
                <w:sz w:val="18"/>
              </w:rPr>
              <w:t>SOC 100% + PV &gt; demanda en 2412 horas/año</w:t>
            </w:r>
          </w:p>
        </w:tc>
      </w:tr>
      <w:tr>
        <w:tc>
          <w:tcPr>
            <w:tcW w:type="dxa" w:w="3135"/>
          </w:tcPr>
          <w:p>
            <w:pPr>
              <w:jc w:val="center"/>
            </w:pPr>
            <w:r>
              <w:rPr>
                <w:b w:val="0"/>
                <w:sz w:val="18"/>
              </w:rPr>
              <w:t>CO₂ indirecto evitado (baseline)</w:t>
            </w:r>
          </w:p>
        </w:tc>
        <w:tc>
          <w:tcPr>
            <w:tcW w:type="dxa" w:w="3135"/>
          </w:tcPr>
          <w:p>
            <w:pPr>
              <w:jc w:val="center"/>
            </w:pPr>
            <w:r>
              <w:rPr>
                <w:b w:val="0"/>
                <w:sz w:val="18"/>
              </w:rPr>
              <w:t>230,494 kg/año</w:t>
            </w:r>
          </w:p>
        </w:tc>
        <w:tc>
          <w:tcPr>
            <w:tcW w:type="dxa" w:w="3135"/>
          </w:tcPr>
          <w:p>
            <w:pPr>
              <w:jc w:val="center"/>
            </w:pPr>
            <w:r>
              <w:rPr>
                <w:b w:val="0"/>
                <w:sz w:val="18"/>
              </w:rPr>
              <w:t>≡ 230.5 tCO₂ — PV+BESS vs red pura</w:t>
            </w:r>
          </w:p>
        </w:tc>
      </w:tr>
      <w:tr>
        <w:tc>
          <w:tcPr>
            <w:tcW w:type="dxa" w:w="3135"/>
          </w:tcPr>
          <w:p>
            <w:pPr>
              <w:jc w:val="center"/>
            </w:pPr>
            <w:r>
              <w:rPr>
                <w:b w:val="0"/>
                <w:sz w:val="18"/>
              </w:rPr>
              <w:t>Ahorro tarifario BESS (soles/año)</w:t>
            </w:r>
          </w:p>
        </w:tc>
        <w:tc>
          <w:tcPr>
            <w:tcW w:type="dxa" w:w="3135"/>
          </w:tcPr>
          <w:p>
            <w:pPr>
              <w:jc w:val="center"/>
            </w:pPr>
            <w:r>
              <w:rPr>
                <w:b w:val="0"/>
                <w:sz w:val="18"/>
              </w:rPr>
              <w:t>S/. 193,776</w:t>
            </w:r>
          </w:p>
        </w:tc>
        <w:tc>
          <w:tcPr>
            <w:tcW w:type="dxa" w:w="3135"/>
          </w:tcPr>
          <w:p>
            <w:pPr>
              <w:jc w:val="center"/>
            </w:pPr>
            <w:r>
              <w:rPr>
                <w:b w:val="0"/>
                <w:sz w:val="18"/>
              </w:rPr>
              <w:t>Evita importación en HP (S/.0.45/kWh)</w:t>
            </w:r>
          </w:p>
        </w:tc>
      </w:tr>
    </w:tbl>
    <w:p>
      <w:pPr>
        <w:spacing w:after="120"/>
        <w:jc w:val="center"/>
      </w:pPr>
      <w:r>
        <w:rPr>
          <w:i/>
          <w:sz w:val="18"/>
        </w:rPr>
        <w:t>Tabla 5.1.4.2. Resultados de operación anual del BESS en escenario baseline (solar-priority, sin agente RL, año 2024). η_real = E_descargada / E_almacenada. Fuente: data/oe2/bess/bess_ano_2024.csv — 8,760 registros horarios.</w:t>
      </w:r>
    </w:p>
    <w:p>
      <w:pPr>
        <w:spacing w:after="80" w:before="0"/>
        <w:jc w:val="both"/>
      </w:pPr>
      <w:r>
        <w:rPr>
          <w:b/>
          <w:sz w:val="22"/>
        </w:rPr>
        <w:t>5.1.4.3. Balance energético integrado del sistema FV–BESS–cargadores</w:t>
      </w:r>
      <w:r>
        <w:t xml:space="preserve"> </w:t>
      </w:r>
      <w:r>
        <w:rPr>
          <w:sz w:val="22"/>
        </w:rPr>
      </w:r>
    </w:p>
    <w:p>
      <w:pPr>
        <w:spacing w:after="80" w:before="0"/>
        <w:jc w:val="both"/>
      </w:pPr>
      <w:r>
        <w:rPr>
          <w:sz w:val="22"/>
        </w:rPr>
        <w:t>El Tabla 5.1.4.3 consolida el balance energético anual de todo el sistema FV–BESS–cargadores en el escenario OE2 (baseline con solar, sin agente RL de OE3). Este balance es el punto de referencia F1 = 5,790,639 kg CO₂/año utilizado en OE3 para cuantificar la mejora de los agentes RL.</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Flujo energético</w:t>
            </w:r>
          </w:p>
        </w:tc>
        <w:tc>
          <w:tcPr>
            <w:tcW w:type="dxa" w:w="2351"/>
            <w:shd w:val="clear" w:color="auto" w:fill="D0E4F7"/>
          </w:tcPr>
          <w:p>
            <w:pPr>
              <w:jc w:val="center"/>
            </w:pPr>
            <w:r>
              <w:rPr>
                <w:b/>
                <w:sz w:val="18"/>
              </w:rPr>
              <w:t>kWh/año</w:t>
            </w:r>
          </w:p>
        </w:tc>
        <w:tc>
          <w:tcPr>
            <w:tcW w:type="dxa" w:w="2351"/>
            <w:shd w:val="clear" w:color="auto" w:fill="D0E4F7"/>
          </w:tcPr>
          <w:p>
            <w:pPr>
              <w:jc w:val="center"/>
            </w:pPr>
            <w:r>
              <w:rPr>
                <w:b/>
                <w:sz w:val="18"/>
              </w:rPr>
              <w:t>% Generación PV</w:t>
            </w:r>
          </w:p>
        </w:tc>
        <w:tc>
          <w:tcPr>
            <w:tcW w:type="dxa" w:w="2351"/>
            <w:shd w:val="clear" w:color="auto" w:fill="D0E4F7"/>
          </w:tcPr>
          <w:p>
            <w:pPr>
              <w:jc w:val="center"/>
            </w:pPr>
            <w:r>
              <w:rPr>
                <w:b/>
                <w:sz w:val="18"/>
              </w:rPr>
              <w:t>Destino / Origen</w:t>
            </w:r>
          </w:p>
        </w:tc>
      </w:tr>
      <w:tr>
        <w:tc>
          <w:tcPr>
            <w:tcW w:type="dxa" w:w="2351"/>
            <w:shd w:val="clear" w:color="auto" w:fill="C5CAE9"/>
          </w:tcPr>
          <w:p>
            <w:pPr>
              <w:jc w:val="center"/>
            </w:pPr>
            <w:r>
              <w:rPr>
                <w:b/>
                <w:sz w:val="18"/>
              </w:rPr>
              <w:t>— FUENTES —</w:t>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r>
      <w:tr>
        <w:tc>
          <w:tcPr>
            <w:tcW w:type="dxa" w:w="2351"/>
          </w:tcPr>
          <w:p>
            <w:pPr>
              <w:jc w:val="center"/>
            </w:pPr>
            <w:r>
              <w:rPr>
                <w:b w:val="0"/>
                <w:sz w:val="18"/>
              </w:rPr>
              <w:t>PV generado (4,050 kWp)</w:t>
            </w:r>
          </w:p>
        </w:tc>
        <w:tc>
          <w:tcPr>
            <w:tcW w:type="dxa" w:w="2351"/>
          </w:tcPr>
          <w:p>
            <w:pPr>
              <w:jc w:val="center"/>
            </w:pPr>
            <w:r>
              <w:rPr>
                <w:b w:val="0"/>
                <w:sz w:val="18"/>
              </w:rPr>
              <w:t>8,292,514</w:t>
            </w:r>
          </w:p>
        </w:tc>
        <w:tc>
          <w:tcPr>
            <w:tcW w:type="dxa" w:w="2351"/>
          </w:tcPr>
          <w:p>
            <w:pPr>
              <w:jc w:val="center"/>
            </w:pPr>
            <w:r>
              <w:rPr>
                <w:b w:val="0"/>
                <w:sz w:val="18"/>
              </w:rPr>
              <w:t>100%</w:t>
            </w:r>
          </w:p>
        </w:tc>
        <w:tc>
          <w:tcPr>
            <w:tcW w:type="dxa" w:w="2351"/>
          </w:tcPr>
          <w:p>
            <w:pPr>
              <w:jc w:val="center"/>
            </w:pPr>
            <w:r>
              <w:rPr>
                <w:b w:val="0"/>
                <w:sz w:val="18"/>
              </w:rPr>
              <w:t>PVGIS TMY 2024</w:t>
            </w:r>
          </w:p>
        </w:tc>
      </w:tr>
      <w:tr>
        <w:tc>
          <w:tcPr>
            <w:tcW w:type="dxa" w:w="2351"/>
          </w:tcPr>
          <w:p>
            <w:pPr>
              <w:jc w:val="center"/>
            </w:pPr>
            <w:r>
              <w:rPr>
                <w:b w:val="0"/>
                <w:sz w:val="18"/>
              </w:rPr>
              <w:t>BESS descargado (hacia cargas)</w:t>
            </w:r>
          </w:p>
        </w:tc>
        <w:tc>
          <w:tcPr>
            <w:tcW w:type="dxa" w:w="2351"/>
          </w:tcPr>
          <w:p>
            <w:pPr>
              <w:jc w:val="center"/>
            </w:pPr>
            <w:r>
              <w:rPr>
                <w:b w:val="0"/>
                <w:sz w:val="18"/>
              </w:rPr>
              <w:t>509,829</w:t>
            </w:r>
          </w:p>
        </w:tc>
        <w:tc>
          <w:tcPr>
            <w:tcW w:type="dxa" w:w="2351"/>
          </w:tcPr>
          <w:p>
            <w:pPr>
              <w:jc w:val="center"/>
            </w:pPr>
            <w:r>
              <w:rPr>
                <w:b w:val="0"/>
                <w:sz w:val="18"/>
              </w:rPr>
              <w:t>6.1%</w:t>
            </w:r>
          </w:p>
        </w:tc>
        <w:tc>
          <w:tcPr>
            <w:tcW w:type="dxa" w:w="2351"/>
          </w:tcPr>
          <w:p>
            <w:pPr>
              <w:jc w:val="center"/>
            </w:pPr>
            <w:r>
              <w:rPr>
                <w:b w:val="0"/>
                <w:sz w:val="18"/>
              </w:rPr>
              <w:t>Almacenado en horas solar</w:t>
            </w:r>
          </w:p>
        </w:tc>
      </w:tr>
      <w:tr>
        <w:tc>
          <w:tcPr>
            <w:tcW w:type="dxa" w:w="2351"/>
          </w:tcPr>
          <w:p>
            <w:pPr>
              <w:jc w:val="center"/>
            </w:pPr>
            <w:r>
              <w:rPr>
                <w:b w:val="0"/>
                <w:sz w:val="18"/>
              </w:rPr>
              <w:t>Grid importado (déficit)</w:t>
            </w:r>
          </w:p>
        </w:tc>
        <w:tc>
          <w:tcPr>
            <w:tcW w:type="dxa" w:w="2351"/>
          </w:tcPr>
          <w:p>
            <w:pPr>
              <w:jc w:val="center"/>
            </w:pPr>
            <w:r>
              <w:rPr>
                <w:b w:val="0"/>
                <w:sz w:val="18"/>
              </w:rPr>
              <w:t>6,504,452</w:t>
            </w:r>
          </w:p>
        </w:tc>
        <w:tc>
          <w:tcPr>
            <w:tcW w:type="dxa" w:w="2351"/>
          </w:tcPr>
          <w:p>
            <w:pPr>
              <w:jc w:val="center"/>
            </w:pPr>
            <w:r>
              <w:rPr>
                <w:b w:val="0"/>
                <w:sz w:val="18"/>
              </w:rPr>
              <w:t>78.4%*</w:t>
            </w:r>
          </w:p>
        </w:tc>
        <w:tc>
          <w:tcPr>
            <w:tcW w:type="dxa" w:w="2351"/>
          </w:tcPr>
          <w:p>
            <w:pPr>
              <w:jc w:val="center"/>
            </w:pPr>
            <w:r>
              <w:rPr>
                <w:b w:val="0"/>
                <w:sz w:val="18"/>
              </w:rPr>
              <w:t>Red diésel Iquitos (F1)</w:t>
            </w:r>
          </w:p>
        </w:tc>
      </w:tr>
      <w:tr>
        <w:tc>
          <w:tcPr>
            <w:tcW w:type="dxa" w:w="2351"/>
            <w:shd w:val="clear" w:color="auto" w:fill="C5CAE9"/>
          </w:tcPr>
          <w:p>
            <w:pPr>
              <w:jc w:val="center"/>
            </w:pPr>
            <w:r>
              <w:rPr>
                <w:b/>
                <w:sz w:val="18"/>
              </w:rPr>
              <w:t>— DESTINOS —</w:t>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r>
      <w:tr>
        <w:tc>
          <w:tcPr>
            <w:tcW w:type="dxa" w:w="2351"/>
          </w:tcPr>
          <w:p>
            <w:pPr>
              <w:jc w:val="center"/>
            </w:pPr>
            <w:r>
              <w:rPr>
                <w:b w:val="0"/>
                <w:sz w:val="18"/>
              </w:rPr>
              <w:t>PV → Mall (directo)</w:t>
            </w:r>
          </w:p>
        </w:tc>
        <w:tc>
          <w:tcPr>
            <w:tcW w:type="dxa" w:w="2351"/>
          </w:tcPr>
          <w:p>
            <w:pPr>
              <w:jc w:val="center"/>
            </w:pPr>
            <w:r>
              <w:rPr>
                <w:b w:val="0"/>
                <w:sz w:val="18"/>
              </w:rPr>
              <w:t>5,037,162</w:t>
            </w:r>
          </w:p>
        </w:tc>
        <w:tc>
          <w:tcPr>
            <w:tcW w:type="dxa" w:w="2351"/>
          </w:tcPr>
          <w:p>
            <w:pPr>
              <w:jc w:val="center"/>
            </w:pPr>
            <w:r>
              <w:rPr>
                <w:b w:val="0"/>
                <w:sz w:val="18"/>
              </w:rPr>
              <w:t>60.7%</w:t>
            </w:r>
          </w:p>
        </w:tc>
        <w:tc>
          <w:tcPr>
            <w:tcW w:type="dxa" w:w="2351"/>
          </w:tcPr>
          <w:p>
            <w:pPr>
              <w:jc w:val="center"/>
            </w:pPr>
            <w:r>
              <w:rPr>
                <w:b w:val="0"/>
                <w:sz w:val="18"/>
              </w:rPr>
              <w:t>Demanda base mall</w:t>
            </w:r>
          </w:p>
        </w:tc>
      </w:tr>
      <w:tr>
        <w:tc>
          <w:tcPr>
            <w:tcW w:type="dxa" w:w="2351"/>
          </w:tcPr>
          <w:p>
            <w:pPr>
              <w:jc w:val="center"/>
            </w:pPr>
            <w:r>
              <w:rPr>
                <w:b w:val="0"/>
                <w:sz w:val="18"/>
              </w:rPr>
              <w:t>PV → BESS (almacenamiento)</w:t>
            </w:r>
          </w:p>
        </w:tc>
        <w:tc>
          <w:tcPr>
            <w:tcW w:type="dxa" w:w="2351"/>
          </w:tcPr>
          <w:p>
            <w:pPr>
              <w:jc w:val="center"/>
            </w:pPr>
            <w:r>
              <w:rPr>
                <w:b w:val="0"/>
                <w:sz w:val="18"/>
              </w:rPr>
              <w:t>677,795</w:t>
            </w:r>
          </w:p>
        </w:tc>
        <w:tc>
          <w:tcPr>
            <w:tcW w:type="dxa" w:w="2351"/>
          </w:tcPr>
          <w:p>
            <w:pPr>
              <w:jc w:val="center"/>
            </w:pPr>
            <w:r>
              <w:rPr>
                <w:b w:val="0"/>
                <w:sz w:val="18"/>
              </w:rPr>
              <w:t>8.2%</w:t>
            </w:r>
          </w:p>
        </w:tc>
        <w:tc>
          <w:tcPr>
            <w:tcW w:type="dxa" w:w="2351"/>
          </w:tcPr>
          <w:p>
            <w:pPr>
              <w:jc w:val="center"/>
            </w:pPr>
            <w:r>
              <w:rPr>
                <w:b w:val="0"/>
                <w:sz w:val="18"/>
              </w:rPr>
              <w:t>Carga batería solar</w:t>
            </w:r>
          </w:p>
        </w:tc>
      </w:tr>
      <w:tr>
        <w:tc>
          <w:tcPr>
            <w:tcW w:type="dxa" w:w="2351"/>
          </w:tcPr>
          <w:p>
            <w:pPr>
              <w:jc w:val="center"/>
            </w:pPr>
            <w:r>
              <w:rPr>
                <w:b w:val="0"/>
                <w:sz w:val="18"/>
              </w:rPr>
              <w:t>PV → EV (directo)</w:t>
            </w:r>
          </w:p>
        </w:tc>
        <w:tc>
          <w:tcPr>
            <w:tcW w:type="dxa" w:w="2351"/>
          </w:tcPr>
          <w:p>
            <w:pPr>
              <w:jc w:val="center"/>
            </w:pPr>
            <w:r>
              <w:rPr>
                <w:b w:val="0"/>
                <w:sz w:val="18"/>
              </w:rPr>
              <w:t>256,672</w:t>
            </w:r>
          </w:p>
        </w:tc>
        <w:tc>
          <w:tcPr>
            <w:tcW w:type="dxa" w:w="2351"/>
          </w:tcPr>
          <w:p>
            <w:pPr>
              <w:jc w:val="center"/>
            </w:pPr>
            <w:r>
              <w:rPr>
                <w:b w:val="0"/>
                <w:sz w:val="18"/>
              </w:rPr>
              <w:t>3.1%</w:t>
            </w:r>
          </w:p>
        </w:tc>
        <w:tc>
          <w:tcPr>
            <w:tcW w:type="dxa" w:w="2351"/>
          </w:tcPr>
          <w:p>
            <w:pPr>
              <w:jc w:val="center"/>
            </w:pPr>
            <w:r>
              <w:rPr>
                <w:b w:val="0"/>
                <w:sz w:val="18"/>
              </w:rPr>
              <w:t>EV con excedente solar</w:t>
            </w:r>
          </w:p>
        </w:tc>
      </w:tr>
      <w:tr>
        <w:tc>
          <w:tcPr>
            <w:tcW w:type="dxa" w:w="2351"/>
          </w:tcPr>
          <w:p>
            <w:pPr>
              <w:jc w:val="center"/>
            </w:pPr>
            <w:r>
              <w:rPr>
                <w:b w:val="0"/>
                <w:sz w:val="18"/>
              </w:rPr>
              <w:t>PV → Red (exportación)</w:t>
            </w:r>
          </w:p>
        </w:tc>
        <w:tc>
          <w:tcPr>
            <w:tcW w:type="dxa" w:w="2351"/>
          </w:tcPr>
          <w:p>
            <w:pPr>
              <w:jc w:val="center"/>
            </w:pPr>
            <w:r>
              <w:rPr>
                <w:b w:val="0"/>
                <w:sz w:val="18"/>
              </w:rPr>
              <w:t>1,484,110</w:t>
            </w:r>
          </w:p>
        </w:tc>
        <w:tc>
          <w:tcPr>
            <w:tcW w:type="dxa" w:w="2351"/>
          </w:tcPr>
          <w:p>
            <w:pPr>
              <w:jc w:val="center"/>
            </w:pPr>
            <w:r>
              <w:rPr>
                <w:b w:val="0"/>
                <w:sz w:val="18"/>
              </w:rPr>
              <w:t>17.9%</w:t>
            </w:r>
          </w:p>
        </w:tc>
        <w:tc>
          <w:tcPr>
            <w:tcW w:type="dxa" w:w="2351"/>
          </w:tcPr>
          <w:p>
            <w:pPr>
              <w:jc w:val="center"/>
            </w:pPr>
            <w:r>
              <w:rPr>
                <w:b w:val="0"/>
                <w:sz w:val="18"/>
              </w:rPr>
              <w:t>Excedente irrecuperable</w:t>
            </w:r>
          </w:p>
        </w:tc>
      </w:tr>
      <w:tr>
        <w:tc>
          <w:tcPr>
            <w:tcW w:type="dxa" w:w="2351"/>
            <w:shd w:val="clear" w:color="auto" w:fill="E3F2FD"/>
          </w:tcPr>
          <w:p>
            <w:pPr>
              <w:jc w:val="center"/>
            </w:pPr>
            <w:r>
              <w:rPr>
                <w:b w:val="0"/>
                <w:sz w:val="18"/>
              </w:rPr>
              <w:t>BESS → Mall (descarga)</w:t>
            </w:r>
          </w:p>
        </w:tc>
        <w:tc>
          <w:tcPr>
            <w:tcW w:type="dxa" w:w="2351"/>
            <w:shd w:val="clear" w:color="auto" w:fill="E3F2FD"/>
          </w:tcPr>
          <w:p>
            <w:pPr>
              <w:jc w:val="center"/>
            </w:pPr>
            <w:r>
              <w:rPr>
                <w:b w:val="0"/>
                <w:sz w:val="18"/>
              </w:rPr>
              <w:t>503,073</w:t>
            </w:r>
          </w:p>
        </w:tc>
        <w:tc>
          <w:tcPr>
            <w:tcW w:type="dxa" w:w="2351"/>
            <w:shd w:val="clear" w:color="auto" w:fill="E3F2FD"/>
          </w:tcPr>
          <w:p>
            <w:pPr>
              <w:jc w:val="center"/>
            </w:pPr>
            <w:r>
              <w:rPr>
                <w:b w:val="0"/>
                <w:sz w:val="18"/>
              </w:rPr>
              <w:t>6.1%</w:t>
            </w:r>
          </w:p>
        </w:tc>
        <w:tc>
          <w:tcPr>
            <w:tcW w:type="dxa" w:w="2351"/>
            <w:shd w:val="clear" w:color="auto" w:fill="E3F2FD"/>
          </w:tcPr>
          <w:p>
            <w:pPr>
              <w:jc w:val="center"/>
            </w:pPr>
            <w:r>
              <w:rPr>
                <w:b w:val="0"/>
                <w:sz w:val="18"/>
              </w:rPr>
              <w:t>Demanda mall en HP</w:t>
            </w:r>
          </w:p>
        </w:tc>
      </w:tr>
      <w:tr>
        <w:tc>
          <w:tcPr>
            <w:tcW w:type="dxa" w:w="2351"/>
          </w:tcPr>
          <w:p>
            <w:pPr>
              <w:jc w:val="center"/>
            </w:pPr>
            <w:r>
              <w:rPr>
                <w:b w:val="0"/>
                <w:sz w:val="18"/>
              </w:rPr>
              <w:t>BESS → EV (descarga)</w:t>
            </w:r>
          </w:p>
        </w:tc>
        <w:tc>
          <w:tcPr>
            <w:tcW w:type="dxa" w:w="2351"/>
          </w:tcPr>
          <w:p>
            <w:pPr>
              <w:jc w:val="center"/>
            </w:pPr>
            <w:r>
              <w:rPr>
                <w:b w:val="0"/>
                <w:sz w:val="18"/>
              </w:rPr>
              <w:t>6,756</w:t>
            </w:r>
          </w:p>
        </w:tc>
        <w:tc>
          <w:tcPr>
            <w:tcW w:type="dxa" w:w="2351"/>
          </w:tcPr>
          <w:p>
            <w:pPr>
              <w:jc w:val="center"/>
            </w:pPr>
            <w:r>
              <w:rPr>
                <w:b w:val="0"/>
                <w:sz w:val="18"/>
              </w:rPr>
              <w:t>0.1%</w:t>
            </w:r>
          </w:p>
        </w:tc>
        <w:tc>
          <w:tcPr>
            <w:tcW w:type="dxa" w:w="2351"/>
          </w:tcPr>
          <w:p>
            <w:pPr>
              <w:jc w:val="center"/>
            </w:pPr>
            <w:r>
              <w:rPr>
                <w:b w:val="0"/>
                <w:sz w:val="18"/>
              </w:rPr>
              <w:t>EV en HFP nocturno</w:t>
            </w:r>
          </w:p>
        </w:tc>
      </w:tr>
      <w:tr>
        <w:tc>
          <w:tcPr>
            <w:tcW w:type="dxa" w:w="2351"/>
          </w:tcPr>
          <w:p>
            <w:pPr>
              <w:jc w:val="center"/>
            </w:pPr>
            <w:r>
              <w:rPr>
                <w:b w:val="0"/>
                <w:sz w:val="18"/>
              </w:rPr>
              <w:t>Grid → EV</w:t>
            </w:r>
          </w:p>
        </w:tc>
        <w:tc>
          <w:tcPr>
            <w:tcW w:type="dxa" w:w="2351"/>
          </w:tcPr>
          <w:p>
            <w:pPr>
              <w:jc w:val="center"/>
            </w:pPr>
            <w:r>
              <w:rPr>
                <w:b w:val="0"/>
                <w:sz w:val="18"/>
              </w:rPr>
              <w:t>144,854</w:t>
            </w:r>
          </w:p>
        </w:tc>
        <w:tc>
          <w:tcPr>
            <w:tcW w:type="dxa" w:w="2351"/>
          </w:tcPr>
          <w:p>
            <w:pPr>
              <w:jc w:val="center"/>
            </w:pPr>
            <w:r>
              <w:rPr>
                <w:b w:val="0"/>
                <w:sz w:val="18"/>
              </w:rPr>
              <w:t>1.7%</w:t>
            </w:r>
          </w:p>
        </w:tc>
        <w:tc>
          <w:tcPr>
            <w:tcW w:type="dxa" w:w="2351"/>
          </w:tcPr>
          <w:p>
            <w:pPr>
              <w:jc w:val="center"/>
            </w:pPr>
            <w:r>
              <w:rPr>
                <w:b w:val="0"/>
                <w:sz w:val="18"/>
              </w:rPr>
              <w:t>EV sin cobertura solar/BESS</w:t>
            </w:r>
          </w:p>
        </w:tc>
      </w:tr>
      <w:tr>
        <w:tc>
          <w:tcPr>
            <w:tcW w:type="dxa" w:w="2351"/>
          </w:tcPr>
          <w:p>
            <w:pPr>
              <w:jc w:val="center"/>
            </w:pPr>
            <w:r>
              <w:rPr>
                <w:b w:val="0"/>
                <w:sz w:val="18"/>
              </w:rPr>
              <w:t>Grid → Mall</w:t>
            </w:r>
          </w:p>
        </w:tc>
        <w:tc>
          <w:tcPr>
            <w:tcW w:type="dxa" w:w="2351"/>
          </w:tcPr>
          <w:p>
            <w:pPr>
              <w:jc w:val="center"/>
            </w:pPr>
            <w:r>
              <w:rPr>
                <w:b w:val="0"/>
                <w:sz w:val="18"/>
              </w:rPr>
              <w:t>6,359,598</w:t>
            </w:r>
          </w:p>
        </w:tc>
        <w:tc>
          <w:tcPr>
            <w:tcW w:type="dxa" w:w="2351"/>
          </w:tcPr>
          <w:p>
            <w:pPr>
              <w:jc w:val="center"/>
            </w:pPr>
            <w:r>
              <w:rPr>
                <w:b w:val="0"/>
                <w:sz w:val="18"/>
              </w:rPr>
              <w:t>76.7%</w:t>
            </w:r>
          </w:p>
        </w:tc>
        <w:tc>
          <w:tcPr>
            <w:tcW w:type="dxa" w:w="2351"/>
          </w:tcPr>
          <w:p>
            <w:pPr>
              <w:jc w:val="center"/>
            </w:pPr>
            <w:r>
              <w:rPr>
                <w:b w:val="0"/>
                <w:sz w:val="18"/>
              </w:rPr>
              <w:t>Demanda mall nocturna/HP</w:t>
            </w:r>
          </w:p>
        </w:tc>
      </w:tr>
      <w:tr>
        <w:tc>
          <w:tcPr>
            <w:tcW w:type="dxa" w:w="2351"/>
            <w:shd w:val="clear" w:color="auto" w:fill="C5CAE9"/>
          </w:tcPr>
          <w:p>
            <w:pPr>
              <w:jc w:val="center"/>
            </w:pPr>
            <w:r>
              <w:rPr>
                <w:b/>
                <w:sz w:val="18"/>
              </w:rPr>
              <w:t>— TOTALES DEMANDA —</w:t>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r>
      <w:tr>
        <w:tc>
          <w:tcPr>
            <w:tcW w:type="dxa" w:w="2351"/>
          </w:tcPr>
          <w:p>
            <w:pPr>
              <w:jc w:val="center"/>
            </w:pPr>
            <w:r>
              <w:rPr>
                <w:b w:val="0"/>
                <w:sz w:val="18"/>
              </w:rPr>
              <w:t>Demanda mall total</w:t>
            </w:r>
          </w:p>
        </w:tc>
        <w:tc>
          <w:tcPr>
            <w:tcW w:type="dxa" w:w="2351"/>
          </w:tcPr>
          <w:p>
            <w:pPr>
              <w:jc w:val="center"/>
            </w:pPr>
            <w:r>
              <w:rPr>
                <w:b w:val="0"/>
                <w:sz w:val="18"/>
              </w:rPr>
              <w:t>12,368,653</w:t>
            </w:r>
          </w:p>
        </w:tc>
        <w:tc>
          <w:tcPr>
            <w:tcW w:type="dxa" w:w="2351"/>
          </w:tcPr>
          <w:p>
            <w:pPr>
              <w:jc w:val="center"/>
            </w:pPr>
            <w:r>
              <w:rPr>
                <w:b w:val="0"/>
                <w:sz w:val="18"/>
              </w:rPr>
              <w:t>—</w:t>
            </w:r>
          </w:p>
        </w:tc>
        <w:tc>
          <w:tcPr>
            <w:tcW w:type="dxa" w:w="2351"/>
          </w:tcPr>
          <w:p>
            <w:pPr>
              <w:jc w:val="center"/>
            </w:pPr>
            <w:r>
              <w:rPr>
                <w:b w:val="0"/>
                <w:sz w:val="18"/>
              </w:rPr>
              <w:t>100 kW × 8,760 h (perfil real)</w:t>
            </w:r>
          </w:p>
        </w:tc>
      </w:tr>
      <w:tr>
        <w:tc>
          <w:tcPr>
            <w:tcW w:type="dxa" w:w="2351"/>
          </w:tcPr>
          <w:p>
            <w:pPr>
              <w:jc w:val="center"/>
            </w:pPr>
            <w:r>
              <w:rPr>
                <w:b w:val="0"/>
                <w:sz w:val="18"/>
              </w:rPr>
              <w:t>Demanda EV total</w:t>
            </w:r>
          </w:p>
        </w:tc>
        <w:tc>
          <w:tcPr>
            <w:tcW w:type="dxa" w:w="2351"/>
          </w:tcPr>
          <w:p>
            <w:pPr>
              <w:jc w:val="center"/>
            </w:pPr>
            <w:r>
              <w:rPr>
                <w:b w:val="0"/>
                <w:sz w:val="18"/>
              </w:rPr>
              <w:t>408,282</w:t>
            </w:r>
          </w:p>
        </w:tc>
        <w:tc>
          <w:tcPr>
            <w:tcW w:type="dxa" w:w="2351"/>
          </w:tcPr>
          <w:p>
            <w:pPr>
              <w:jc w:val="center"/>
            </w:pPr>
            <w:r>
              <w:rPr>
                <w:b w:val="0"/>
                <w:sz w:val="18"/>
              </w:rPr>
              <w:t>—</w:t>
            </w:r>
          </w:p>
        </w:tc>
        <w:tc>
          <w:tcPr>
            <w:tcW w:type="dxa" w:w="2351"/>
          </w:tcPr>
          <w:p>
            <w:pPr>
              <w:jc w:val="center"/>
            </w:pPr>
            <w:r>
              <w:rPr>
                <w:b w:val="0"/>
                <w:sz w:val="18"/>
              </w:rPr>
              <w:t>38 sockets × perfil estocástico</w:t>
            </w:r>
          </w:p>
        </w:tc>
      </w:tr>
      <w:tr>
        <w:tc>
          <w:tcPr>
            <w:tcW w:type="dxa" w:w="2351"/>
          </w:tcPr>
          <w:p>
            <w:pPr>
              <w:jc w:val="center"/>
            </w:pPr>
            <w:r>
              <w:rPr>
                <w:b w:val="0"/>
                <w:sz w:val="18"/>
              </w:rPr>
              <w:t>Demanda total sistema</w:t>
            </w:r>
          </w:p>
        </w:tc>
        <w:tc>
          <w:tcPr>
            <w:tcW w:type="dxa" w:w="2351"/>
          </w:tcPr>
          <w:p>
            <w:pPr>
              <w:jc w:val="center"/>
            </w:pPr>
            <w:r>
              <w:rPr>
                <w:b w:val="0"/>
                <w:sz w:val="18"/>
              </w:rPr>
              <w:t>12,776,935</w:t>
            </w:r>
          </w:p>
        </w:tc>
        <w:tc>
          <w:tcPr>
            <w:tcW w:type="dxa" w:w="2351"/>
          </w:tcPr>
          <w:p>
            <w:pPr>
              <w:jc w:val="center"/>
            </w:pPr>
            <w:r>
              <w:rPr>
                <w:b w:val="0"/>
                <w:sz w:val="18"/>
              </w:rPr>
              <w:t>—</w:t>
            </w:r>
          </w:p>
        </w:tc>
        <w:tc>
          <w:tcPr>
            <w:tcW w:type="dxa" w:w="2351"/>
          </w:tcPr>
          <w:p>
            <w:pPr>
              <w:jc w:val="center"/>
            </w:pPr>
            <w:r>
              <w:rPr>
                <w:b w:val="0"/>
                <w:sz w:val="18"/>
              </w:rPr>
              <w:t>Mall + EV</w:t>
            </w:r>
          </w:p>
        </w:tc>
      </w:tr>
    </w:tbl>
    <w:p>
      <w:pPr>
        <w:spacing w:after="120"/>
        <w:jc w:val="center"/>
      </w:pPr>
      <w:r>
        <w:rPr>
          <w:i/>
          <w:sz w:val="18"/>
        </w:rPr>
        <w:t>Tabla 5.1.4.3. Balance energético anual integrado del sistema FV–BESS–cargadores (escenario baseline OE2, año 2024). * % del PV generado es referencial; el grid import supera PV porque la demanda del mall (12,368,653 kWh) es 1.5× la generación solar (8,292,514 kWh). Fuente: data/oe2/bess/bess_ano_2024.csv</w:t>
      </w:r>
    </w:p>
    <w:p>
      <w:pPr>
        <w:spacing w:after="80" w:before="0"/>
        <w:jc w:val="both"/>
      </w:pPr>
      <w:r>
        <w:rPr>
          <w:b/>
          <w:sz w:val="22"/>
        </w:rPr>
        <w:t>5.1.4.4. Indicadores de desempeño del sistema OE2</w:t>
      </w:r>
      <w:r>
        <w:t xml:space="preserve"> </w:t>
      </w:r>
      <w:r>
        <w:rPr>
          <w:sz w:val="22"/>
        </w:rPr>
      </w:r>
    </w:p>
    <w:p>
      <w:pPr>
        <w:spacing w:after="80" w:before="0"/>
        <w:jc w:val="both"/>
      </w:pPr>
      <w:r>
        <w:rPr>
          <w:sz w:val="22"/>
        </w:rPr>
        <w:t>El sistema FV–BESS–cargadores dimensionado en OE2 logra los siguientes indicadores de desempeño en el escenario baseline (sin optimización RL de OE3):</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KPI</w:t>
            </w:r>
          </w:p>
        </w:tc>
        <w:tc>
          <w:tcPr>
            <w:tcW w:type="dxa" w:w="2351"/>
            <w:shd w:val="clear" w:color="auto" w:fill="D0E4F7"/>
          </w:tcPr>
          <w:p>
            <w:pPr>
              <w:jc w:val="center"/>
            </w:pPr>
            <w:r>
              <w:rPr>
                <w:b/>
                <w:sz w:val="18"/>
              </w:rPr>
              <w:t>Valor OE2</w:t>
            </w:r>
          </w:p>
        </w:tc>
        <w:tc>
          <w:tcPr>
            <w:tcW w:type="dxa" w:w="2351"/>
            <w:shd w:val="clear" w:color="auto" w:fill="D0E4F7"/>
          </w:tcPr>
          <w:p>
            <w:pPr>
              <w:jc w:val="center"/>
            </w:pPr>
            <w:r>
              <w:rPr>
                <w:b/>
                <w:sz w:val="18"/>
              </w:rPr>
              <w:t>Fórmula</w:t>
            </w:r>
          </w:p>
        </w:tc>
        <w:tc>
          <w:tcPr>
            <w:tcW w:type="dxa" w:w="2351"/>
            <w:shd w:val="clear" w:color="auto" w:fill="D0E4F7"/>
          </w:tcPr>
          <w:p>
            <w:pPr>
              <w:jc w:val="center"/>
            </w:pPr>
            <w:r>
              <w:rPr>
                <w:b/>
                <w:sz w:val="18"/>
              </w:rPr>
              <w:t>Referencia</w:t>
            </w:r>
          </w:p>
        </w:tc>
      </w:tr>
      <w:tr>
        <w:tc>
          <w:tcPr>
            <w:tcW w:type="dxa" w:w="2351"/>
          </w:tcPr>
          <w:p>
            <w:pPr>
              <w:jc w:val="center"/>
            </w:pPr>
            <w:r>
              <w:rPr>
                <w:b w:val="0"/>
                <w:sz w:val="17"/>
              </w:rPr>
              <w:t>Factor de planta FV (CF)</w:t>
            </w:r>
          </w:p>
        </w:tc>
        <w:tc>
          <w:tcPr>
            <w:tcW w:type="dxa" w:w="2351"/>
          </w:tcPr>
          <w:p>
            <w:pPr>
              <w:jc w:val="center"/>
            </w:pPr>
            <w:r>
              <w:rPr>
                <w:b w:val="0"/>
                <w:sz w:val="17"/>
              </w:rPr>
              <w:t>23.37%</w:t>
            </w:r>
          </w:p>
        </w:tc>
        <w:tc>
          <w:tcPr>
            <w:tcW w:type="dxa" w:w="2351"/>
          </w:tcPr>
          <w:p>
            <w:pPr>
              <w:jc w:val="center"/>
            </w:pPr>
            <w:r>
              <w:rPr>
                <w:b w:val="0"/>
                <w:sz w:val="17"/>
              </w:rPr>
              <w:t>E_gen / (P_inst × 8,760 h)</w:t>
            </w:r>
          </w:p>
        </w:tc>
        <w:tc>
          <w:tcPr>
            <w:tcW w:type="dxa" w:w="2351"/>
          </w:tcPr>
          <w:p>
            <w:pPr>
              <w:jc w:val="center"/>
            </w:pPr>
            <w:r>
              <w:rPr>
                <w:b w:val="0"/>
                <w:sz w:val="17"/>
              </w:rPr>
              <w:t>≥ 20% (viable para Loreto)</w:t>
            </w:r>
          </w:p>
        </w:tc>
      </w:tr>
      <w:tr>
        <w:tc>
          <w:tcPr>
            <w:tcW w:type="dxa" w:w="2351"/>
          </w:tcPr>
          <w:p>
            <w:pPr>
              <w:jc w:val="center"/>
            </w:pPr>
            <w:r>
              <w:rPr>
                <w:b w:val="0"/>
                <w:sz w:val="17"/>
              </w:rPr>
              <w:t>Índice de autoconsumo solar</w:t>
            </w:r>
          </w:p>
        </w:tc>
        <w:tc>
          <w:tcPr>
            <w:tcW w:type="dxa" w:w="2351"/>
          </w:tcPr>
          <w:p>
            <w:pPr>
              <w:jc w:val="center"/>
            </w:pPr>
            <w:r>
              <w:rPr>
                <w:b w:val="0"/>
                <w:sz w:val="17"/>
              </w:rPr>
              <w:t>71.9%</w:t>
            </w:r>
          </w:p>
        </w:tc>
        <w:tc>
          <w:tcPr>
            <w:tcW w:type="dxa" w:w="2351"/>
          </w:tcPr>
          <w:p>
            <w:pPr>
              <w:jc w:val="center"/>
            </w:pPr>
            <w:r>
              <w:rPr>
                <w:b w:val="0"/>
                <w:sz w:val="17"/>
              </w:rPr>
              <w:t>E_consumida_local / E_generada</w:t>
            </w:r>
          </w:p>
        </w:tc>
        <w:tc>
          <w:tcPr>
            <w:tcW w:type="dxa" w:w="2351"/>
          </w:tcPr>
          <w:p>
            <w:pPr>
              <w:jc w:val="center"/>
            </w:pPr>
            <w:r>
              <w:rPr>
                <w:b w:val="0"/>
                <w:sz w:val="17"/>
              </w:rPr>
              <w:t>&lt; IEA: 75–85% óptimo sin BESS</w:t>
            </w:r>
          </w:p>
        </w:tc>
      </w:tr>
      <w:tr>
        <w:tc>
          <w:tcPr>
            <w:tcW w:type="dxa" w:w="2351"/>
          </w:tcPr>
          <w:p>
            <w:pPr>
              <w:jc w:val="center"/>
            </w:pPr>
            <w:r>
              <w:rPr>
                <w:b w:val="0"/>
                <w:sz w:val="17"/>
              </w:rPr>
              <w:t>Factor utilización BESS (FU)</w:t>
            </w:r>
          </w:p>
        </w:tc>
        <w:tc>
          <w:tcPr>
            <w:tcW w:type="dxa" w:w="2351"/>
          </w:tcPr>
          <w:p>
            <w:pPr>
              <w:jc w:val="center"/>
            </w:pPr>
            <w:r>
              <w:rPr>
                <w:b w:val="0"/>
                <w:sz w:val="17"/>
              </w:rPr>
              <w:t>33.9%</w:t>
            </w:r>
          </w:p>
        </w:tc>
        <w:tc>
          <w:tcPr>
            <w:tcW w:type="dxa" w:w="2351"/>
          </w:tcPr>
          <w:p>
            <w:pPr>
              <w:jc w:val="center"/>
            </w:pPr>
            <w:r>
              <w:rPr>
                <w:b w:val="0"/>
                <w:sz w:val="17"/>
              </w:rPr>
              <w:t>E_descargada / (Cap × 8,760/1000)</w:t>
            </w:r>
          </w:p>
        </w:tc>
        <w:tc>
          <w:tcPr>
            <w:tcW w:type="dxa" w:w="2351"/>
          </w:tcPr>
          <w:p>
            <w:pPr>
              <w:jc w:val="center"/>
            </w:pPr>
            <w:r>
              <w:rPr>
                <w:b w:val="0"/>
                <w:sz w:val="17"/>
              </w:rPr>
              <w:t>DoD 80% → FU máx teórico = 80%</w:t>
            </w:r>
          </w:p>
        </w:tc>
      </w:tr>
      <w:tr>
        <w:tc>
          <w:tcPr>
            <w:tcW w:type="dxa" w:w="2351"/>
          </w:tcPr>
          <w:p>
            <w:pPr>
              <w:jc w:val="center"/>
            </w:pPr>
            <w:r>
              <w:rPr>
                <w:b w:val="0"/>
                <w:sz w:val="17"/>
              </w:rPr>
              <w:t>Cobertura solar de demanda EV</w:t>
            </w:r>
          </w:p>
        </w:tc>
        <w:tc>
          <w:tcPr>
            <w:tcW w:type="dxa" w:w="2351"/>
          </w:tcPr>
          <w:p>
            <w:pPr>
              <w:jc w:val="center"/>
            </w:pPr>
            <w:r>
              <w:rPr>
                <w:b w:val="0"/>
                <w:sz w:val="17"/>
              </w:rPr>
              <w:t>64.5%</w:t>
            </w:r>
          </w:p>
        </w:tc>
        <w:tc>
          <w:tcPr>
            <w:tcW w:type="dxa" w:w="2351"/>
          </w:tcPr>
          <w:p>
            <w:pPr>
              <w:jc w:val="center"/>
            </w:pPr>
            <w:r>
              <w:rPr>
                <w:b w:val="0"/>
                <w:sz w:val="17"/>
              </w:rPr>
              <w:t>(PV→EV + BESS→EV) / E_ev_total</w:t>
            </w:r>
          </w:p>
        </w:tc>
        <w:tc>
          <w:tcPr>
            <w:tcW w:type="dxa" w:w="2351"/>
          </w:tcPr>
          <w:p>
            <w:pPr>
              <w:jc w:val="center"/>
            </w:pPr>
            <w:r>
              <w:rPr>
                <w:b w:val="0"/>
                <w:sz w:val="17"/>
              </w:rPr>
              <w:t>Alta dependencia grid EV baseline</w:t>
            </w:r>
          </w:p>
        </w:tc>
      </w:tr>
      <w:tr>
        <w:tc>
          <w:tcPr>
            <w:tcW w:type="dxa" w:w="2351"/>
          </w:tcPr>
          <w:p>
            <w:pPr>
              <w:jc w:val="center"/>
            </w:pPr>
            <w:r>
              <w:rPr>
                <w:b w:val="0"/>
                <w:sz w:val="17"/>
              </w:rPr>
              <w:t>Cobertura solar de demanda mall</w:t>
            </w:r>
          </w:p>
        </w:tc>
        <w:tc>
          <w:tcPr>
            <w:tcW w:type="dxa" w:w="2351"/>
          </w:tcPr>
          <w:p>
            <w:pPr>
              <w:jc w:val="center"/>
            </w:pPr>
            <w:r>
              <w:rPr>
                <w:b w:val="0"/>
                <w:sz w:val="17"/>
              </w:rPr>
              <w:t>44.8%</w:t>
            </w:r>
          </w:p>
        </w:tc>
        <w:tc>
          <w:tcPr>
            <w:tcW w:type="dxa" w:w="2351"/>
          </w:tcPr>
          <w:p>
            <w:pPr>
              <w:jc w:val="center"/>
            </w:pPr>
            <w:r>
              <w:rPr>
                <w:b w:val="0"/>
                <w:sz w:val="17"/>
              </w:rPr>
              <w:t>(PV→Mall + BESS→Mall) / E_mall</w:t>
            </w:r>
          </w:p>
        </w:tc>
        <w:tc>
          <w:tcPr>
            <w:tcW w:type="dxa" w:w="2351"/>
          </w:tcPr>
          <w:p>
            <w:pPr>
              <w:jc w:val="center"/>
            </w:pPr>
            <w:r>
              <w:rPr>
                <w:b w:val="0"/>
                <w:sz w:val="17"/>
              </w:rPr>
              <w:t>44.2% demanda mall cubierta por FV+BESS</w:t>
            </w:r>
          </w:p>
        </w:tc>
      </w:tr>
      <w:tr>
        <w:tc>
          <w:tcPr>
            <w:tcW w:type="dxa" w:w="2351"/>
          </w:tcPr>
          <w:p>
            <w:pPr>
              <w:jc w:val="center"/>
            </w:pPr>
            <w:r>
              <w:rPr>
                <w:b w:val="0"/>
                <w:sz w:val="17"/>
              </w:rPr>
              <w:t>Grid import ratio (GIR)</w:t>
            </w:r>
          </w:p>
        </w:tc>
        <w:tc>
          <w:tcPr>
            <w:tcW w:type="dxa" w:w="2351"/>
          </w:tcPr>
          <w:p>
            <w:pPr>
              <w:jc w:val="center"/>
            </w:pPr>
            <w:r>
              <w:rPr>
                <w:b w:val="0"/>
                <w:sz w:val="17"/>
              </w:rPr>
              <w:t>50.9%</w:t>
            </w:r>
          </w:p>
        </w:tc>
        <w:tc>
          <w:tcPr>
            <w:tcW w:type="dxa" w:w="2351"/>
          </w:tcPr>
          <w:p>
            <w:pPr>
              <w:jc w:val="center"/>
            </w:pPr>
            <w:r>
              <w:rPr>
                <w:b w:val="0"/>
                <w:sz w:val="17"/>
              </w:rPr>
              <w:t>E_grid_import / E_demanda_total</w:t>
            </w:r>
          </w:p>
        </w:tc>
        <w:tc>
          <w:tcPr>
            <w:tcW w:type="dxa" w:w="2351"/>
          </w:tcPr>
          <w:p>
            <w:pPr>
              <w:jc w:val="center"/>
            </w:pPr>
            <w:r>
              <w:rPr>
                <w:b w:val="0"/>
                <w:sz w:val="17"/>
              </w:rPr>
              <w:t>Objetivo OE3: minimizar con agente RL</w:t>
            </w:r>
          </w:p>
        </w:tc>
      </w:tr>
      <w:tr>
        <w:tc>
          <w:tcPr>
            <w:tcW w:type="dxa" w:w="2351"/>
          </w:tcPr>
          <w:p>
            <w:pPr>
              <w:jc w:val="center"/>
            </w:pPr>
            <w:r>
              <w:rPr>
                <w:b w:val="0"/>
                <w:sz w:val="17"/>
              </w:rPr>
              <w:t>CO₂ directo evitado (base)</w:t>
            </w:r>
          </w:p>
        </w:tc>
        <w:tc>
          <w:tcPr>
            <w:tcW w:type="dxa" w:w="2351"/>
          </w:tcPr>
          <w:p>
            <w:pPr>
              <w:jc w:val="center"/>
            </w:pPr>
            <w:r>
              <w:rPr>
                <w:b w:val="0"/>
                <w:sz w:val="17"/>
              </w:rPr>
              <w:t>243,300 kg/año</w:t>
            </w:r>
          </w:p>
        </w:tc>
        <w:tc>
          <w:tcPr>
            <w:tcW w:type="dxa" w:w="2351"/>
          </w:tcPr>
          <w:p>
            <w:pPr>
              <w:jc w:val="center"/>
            </w:pPr>
            <w:r>
              <w:rPr>
                <w:b w:val="0"/>
                <w:sz w:val="17"/>
              </w:rPr>
              <w:t>Σ kWh_EV × EF_ICE_vehiculo</w:t>
            </w:r>
          </w:p>
        </w:tc>
        <w:tc>
          <w:tcPr>
            <w:tcW w:type="dxa" w:w="2351"/>
          </w:tcPr>
          <w:p>
            <w:pPr>
              <w:jc w:val="center"/>
            </w:pPr>
            <w:r>
              <w:rPr>
                <w:b w:val="0"/>
                <w:sz w:val="17"/>
              </w:rPr>
              <w:t>Gasolina motos + Diésel mototaxis</w:t>
            </w:r>
          </w:p>
        </w:tc>
      </w:tr>
      <w:tr>
        <w:tc>
          <w:tcPr>
            <w:tcW w:type="dxa" w:w="2351"/>
          </w:tcPr>
          <w:p>
            <w:pPr>
              <w:jc w:val="center"/>
            </w:pPr>
            <w:r>
              <w:rPr>
                <w:b w:val="0"/>
                <w:sz w:val="17"/>
              </w:rPr>
              <w:t>CO₂ indirecto evitado (base)</w:t>
            </w:r>
          </w:p>
        </w:tc>
        <w:tc>
          <w:tcPr>
            <w:tcW w:type="dxa" w:w="2351"/>
          </w:tcPr>
          <w:p>
            <w:pPr>
              <w:jc w:val="center"/>
            </w:pPr>
            <w:r>
              <w:rPr>
                <w:b w:val="0"/>
                <w:sz w:val="17"/>
              </w:rPr>
              <w:t>230,494 kg/año</w:t>
            </w:r>
          </w:p>
        </w:tc>
        <w:tc>
          <w:tcPr>
            <w:tcW w:type="dxa" w:w="2351"/>
          </w:tcPr>
          <w:p>
            <w:pPr>
              <w:jc w:val="center"/>
            </w:pPr>
            <w:r>
              <w:rPr>
                <w:b w:val="0"/>
                <w:sz w:val="17"/>
              </w:rPr>
              <w:t>E_PV_consumida × 0.4521 kg/kWh</w:t>
            </w:r>
          </w:p>
        </w:tc>
        <w:tc>
          <w:tcPr>
            <w:tcW w:type="dxa" w:w="2351"/>
          </w:tcPr>
          <w:p>
            <w:pPr>
              <w:jc w:val="center"/>
            </w:pPr>
            <w:r>
              <w:rPr>
                <w:b w:val="0"/>
                <w:sz w:val="17"/>
              </w:rPr>
              <w:t>Factor MINEM / sin agente RL</w:t>
            </w:r>
          </w:p>
        </w:tc>
      </w:tr>
      <w:tr>
        <w:tc>
          <w:tcPr>
            <w:tcW w:type="dxa" w:w="2351"/>
          </w:tcPr>
          <w:p>
            <w:pPr>
              <w:jc w:val="center"/>
            </w:pPr>
            <w:r>
              <w:rPr>
                <w:b w:val="0"/>
                <w:sz w:val="17"/>
              </w:rPr>
              <w:t>CO₂ total evitado OE2 (base)</w:t>
            </w:r>
          </w:p>
        </w:tc>
        <w:tc>
          <w:tcPr>
            <w:tcW w:type="dxa" w:w="2351"/>
          </w:tcPr>
          <w:p>
            <w:pPr>
              <w:jc w:val="center"/>
            </w:pPr>
            <w:r>
              <w:rPr>
                <w:b w:val="0"/>
                <w:sz w:val="17"/>
              </w:rPr>
              <w:t>473,794 kg/año</w:t>
            </w:r>
          </w:p>
        </w:tc>
        <w:tc>
          <w:tcPr>
            <w:tcW w:type="dxa" w:w="2351"/>
          </w:tcPr>
          <w:p>
            <w:pPr>
              <w:jc w:val="center"/>
            </w:pPr>
            <w:r>
              <w:rPr>
                <w:b w:val="0"/>
                <w:sz w:val="17"/>
              </w:rPr>
              <w:t>CO₂_directo + CO₂_indirecto</w:t>
            </w:r>
          </w:p>
        </w:tc>
        <w:tc>
          <w:tcPr>
            <w:tcW w:type="dxa" w:w="2351"/>
          </w:tcPr>
          <w:p>
            <w:pPr>
              <w:jc w:val="center"/>
            </w:pPr>
            <w:r>
              <w:rPr>
                <w:b w:val="0"/>
                <w:sz w:val="17"/>
              </w:rPr>
              <w:t>F0→F1: base para OE3</w:t>
            </w:r>
          </w:p>
        </w:tc>
      </w:tr>
    </w:tbl>
    <w:p>
      <w:pPr>
        <w:spacing w:after="120"/>
        <w:jc w:val="center"/>
      </w:pPr>
      <w:r>
        <w:rPr>
          <w:i/>
          <w:sz w:val="18"/>
        </w:rPr>
        <w:t>Tabla 5.1.4.4. Indicadores de desempeño (KPIs) del sistema FV–BESS–cargadores OE2 en escenario baseline. GIR = Grid Import Ratio. Todos los valores se calculan de los datos horarios 2024 (8,760 h). El objetivo de OE3 es minimizar el GIR y el CO₂ indirecto mediante agentes RL.</w:t>
      </w:r>
    </w:p>
    <w:p>
      <w:pPr>
        <w:spacing w:after="80" w:before="0"/>
        <w:jc w:val="both"/>
      </w:pPr>
      <w:r>
        <w:rPr>
          <w:sz w:val="22"/>
        </w:rPr>
        <w:t>El balance energético baseline (Tabla 5.1.4.3) revela la principal oportunidad de mejora que OE3 busca aprovechar: el 6,504,452 kWh/año de importación de red (50.9% de la demanda total) genera 2,940,662 kg CO₂/año de emisiones indirectas. Los agentes RL de OE3 (SAC, PPO, A2C) buscan reducir esta dependencia de la red diésel optimizando el despacho BESS para maximizar el uso de energía solar, logrando en el caso del agente SAC ganador una reducción del 30% adicional respecto al baseline, con F2 = 2,622,735 kg CO₂/año.</w:t>
      </w:r>
    </w:p>
    <w:p>
      <w:pPr>
        <w:spacing w:after="80" w:before="0"/>
        <w:jc w:val="both"/>
      </w:pPr>
      <w:r>
        <w:rPr>
          <w:sz w:val="22"/>
        </w:rPr>
        <w:t>La infraestructura dimensionada en OE2 constituye la plataforma técnica sobre la cual opera el agente de inteligencia artificial seleccionado en OE3. Los artefactos de datos generados por OE2 — series temporales horarias de generación solar (8,760 filas), demanda EV (38 sockets × 8,760 horas), estado del BESS (SOC horario) y demanda del mall — son los insumos directos del entorno de simulación CityLearn v2, garantizando que los resultados de OE3 sean representativos de las condiciones reales de operación del sistema PVBESSCAR en Iquitos.</w:t>
      </w:r>
    </w:p>
    <w:p>
      <w:pPr>
        <w:pStyle w:val="Heading2"/>
      </w:pPr>
      <w:r>
        <w:rPr>
          <w:b/>
          <w:sz w:val="28"/>
        </w:rPr>
        <w:t>5.2. Resultados inferenciales</w:t>
      </w:r>
    </w:p>
    <w:p>
      <w:pPr>
        <w:jc w:val="both"/>
      </w:pPr>
      <w:r>
        <w:rPr>
          <w:b w:val="0"/>
          <w:i w:val="0"/>
          <w:sz w:val="22"/>
        </w:rPr>
        <w:t>Los resultados inferenciales presentados en este apartado corresponden a la contrastación estadística y técnica entre las tres líneas de comparación del proyecto: el escenario de referencia sin control inteligente F₀ = 7 054 000 kg CO₂/año (sin solar, sin BESS, sin RL), la operación base con solar y BESS pero sin agente RL F₁ = 5 790 639 kg CO₂/año, y los valores de emisión bajo control RL F₂ obtenidos por cada agente en 50 episodios de entrenamiento. La inferencia técnica se sustenta en las pruebas no paramétricas de Wilcoxon, Mann-Whitney y Kruskal-Wallis, dado que la distribución de F₂ en el conjunto completo de episodios no satisface normalidad para los rangos globales.</w:t>
      </w:r>
    </w:p>
    <w:p>
      <w:pPr>
        <w:jc w:val="both"/>
      </w:pPr>
      <w:r>
        <w:rPr>
          <w:b w:val="0"/>
          <w:i w:val="0"/>
          <w:sz w:val="22"/>
        </w:rPr>
        <w:t>El análisis inferencial abarca dos dimensiones complementarias: (i) el cubrimiento de la demanda energética mediante el sistema fotovoltaico–BESS–cargadores, y (ii) la contribución cuantificable a la reducción de emisiones de CO₂ en la ciudad de Iquitos, objetivo central del OE3 del proyecto. Ambas dimensiones son evaluadas sobre la base de los 50 episodios de entrenamiento de cada agente (SAC, PPO, A2C), 8 760 pasos temporales por episodio (año completo a resolución horaria), lo que implica 438 000 decisiones de despacho por agente.</w:t>
      </w:r>
    </w:p>
    <w:p>
      <w:pPr>
        <w:pStyle w:val="Heading3"/>
      </w:pPr>
      <w:r>
        <w:rPr>
          <w:b/>
          <w:sz w:val="24"/>
        </w:rPr>
        <w:t>5.2.2. Inferencia técnica sobre el cubrimiento de la demanda energética mediante el sistema FV–BESS–cargadores</w:t>
      </w:r>
    </w:p>
    <w:p>
      <w:pPr>
        <w:jc w:val="both"/>
      </w:pPr>
      <w:r>
        <w:rPr>
          <w:b w:val="0"/>
          <w:i w:val="0"/>
          <w:sz w:val="22"/>
        </w:rPr>
        <w:t>La demanda energética total del sistema integrado considera dos componentes: (a) la demanda eléctrica del Mall BESS Iquitos, estimada en 12 368 828 kWh/año como valor de referencia central, y (b) la demanda de recarga de vehículos eléctricos (motos y mototaxis) dimensionada en 408 282 kWh/año —equivalente a 1 118 kWh/día— para una flota de 270 motos y 39 mototaxis por día con un factor de penetración EV del 30 % y factor de carga del 55 %. La inferencia técnica evalúa qué fracción de estas demandas es cubierta por generación FV propia, descarga del BESS y, residualmente, por importación de red.</w:t>
      </w:r>
    </w:p>
    <w:p>
      <w:pPr>
        <w:jc w:val="both"/>
      </w:pPr>
      <w:r>
        <w:rPr>
          <w:b w:val="0"/>
          <w:i w:val="0"/>
          <w:sz w:val="22"/>
        </w:rPr>
        <w:t>La Tabla 5.2.2.1 presenta las métricas de cobertura de la demanda EV para el episodio óptimo de cada agente, entendiendo 'cobertura' como el cociente entre la energía efectivamente entregada a los cargadores y la demanda EV objetivo anual.</w:t>
      </w:r>
    </w:p>
    <w:p>
      <w:pPr>
        <w:jc w:val="center"/>
      </w:pPr>
      <w:r>
        <w:rPr>
          <w:i/>
          <w:sz w:val="20"/>
        </w:rPr>
        <w:t>Tabla 5.2.2.1. Cobertura de la demanda energética EV por agente (episodio óptimo, 50 episodios de entrenamiento)</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3864"/>
          </w:tcPr>
          <w:p>
            <w:pPr>
              <w:jc w:val="center"/>
            </w:pPr>
            <w:r>
              <w:rPr>
                <w:b/>
                <w:color w:val="FFFFFF"/>
                <w:sz w:val="20"/>
              </w:rPr>
              <w:t>Agente</w:t>
            </w:r>
          </w:p>
        </w:tc>
        <w:tc>
          <w:tcPr>
            <w:tcW w:type="dxa" w:w="1344"/>
            <w:shd w:val="clear" w:color="auto" w:fill="1F3864"/>
          </w:tcPr>
          <w:p>
            <w:pPr>
              <w:jc w:val="center"/>
            </w:pPr>
            <w:r>
              <w:rPr>
                <w:b/>
                <w:color w:val="FFFFFF"/>
                <w:sz w:val="20"/>
              </w:rPr>
              <w:t>Ep. óptimo</w:t>
            </w:r>
          </w:p>
        </w:tc>
        <w:tc>
          <w:tcPr>
            <w:tcW w:type="dxa" w:w="1344"/>
            <w:shd w:val="clear" w:color="auto" w:fill="1F3864"/>
          </w:tcPr>
          <w:p>
            <w:pPr>
              <w:jc w:val="center"/>
            </w:pPr>
            <w:r>
              <w:rPr>
                <w:b/>
                <w:color w:val="FFFFFF"/>
                <w:sz w:val="20"/>
              </w:rPr>
              <w:t>Ev (motos+taxi)</w:t>
              <w:br/>
              <w:t>kWh</w:t>
            </w:r>
          </w:p>
        </w:tc>
        <w:tc>
          <w:tcPr>
            <w:tcW w:type="dxa" w:w="1344"/>
            <w:shd w:val="clear" w:color="auto" w:fill="1F3864"/>
          </w:tcPr>
          <w:p>
            <w:pPr>
              <w:jc w:val="center"/>
            </w:pPr>
            <w:r>
              <w:rPr>
                <w:b/>
                <w:color w:val="FFFFFF"/>
                <w:sz w:val="20"/>
              </w:rPr>
              <w:t>Cobertura best</w:t>
              <w:br/>
              <w:t>%</w:t>
            </w:r>
          </w:p>
        </w:tc>
        <w:tc>
          <w:tcPr>
            <w:tcW w:type="dxa" w:w="1344"/>
            <w:shd w:val="clear" w:color="auto" w:fill="1F3864"/>
          </w:tcPr>
          <w:p>
            <w:pPr>
              <w:jc w:val="center"/>
            </w:pPr>
            <w:r>
              <w:rPr>
                <w:b/>
                <w:color w:val="FFFFFF"/>
                <w:sz w:val="20"/>
              </w:rPr>
              <w:t>Cobertura media</w:t>
              <w:br/>
              <w:t>(50 eps) %</w:t>
            </w:r>
          </w:p>
        </w:tc>
        <w:tc>
          <w:tcPr>
            <w:tcW w:type="dxa" w:w="1344"/>
            <w:shd w:val="clear" w:color="auto" w:fill="1F3864"/>
          </w:tcPr>
          <w:p>
            <w:pPr>
              <w:jc w:val="center"/>
            </w:pPr>
            <w:r>
              <w:rPr>
                <w:b/>
                <w:color w:val="FFFFFF"/>
                <w:sz w:val="20"/>
              </w:rPr>
              <w:t>BESS descargado</w:t>
              <w:br/>
              <w:t>kWh (media)</w:t>
            </w:r>
          </w:p>
        </w:tc>
        <w:tc>
          <w:tcPr>
            <w:tcW w:type="dxa" w:w="1344"/>
            <w:shd w:val="clear" w:color="auto" w:fill="1F3864"/>
          </w:tcPr>
          <w:p>
            <w:pPr>
              <w:jc w:val="center"/>
            </w:pPr>
            <w:r>
              <w:rPr>
                <w:b/>
                <w:color w:val="FFFFFF"/>
                <w:sz w:val="20"/>
              </w:rPr>
              <w:t>Importación red</w:t>
              <w:br/>
              <w:t>kWh (mín)</w:t>
            </w:r>
          </w:p>
        </w:tc>
      </w:tr>
      <w:tr>
        <w:tc>
          <w:tcPr>
            <w:tcW w:type="dxa" w:w="1344"/>
            <w:shd w:val="clear" w:color="auto" w:fill="D9E2F3"/>
          </w:tcPr>
          <w:p>
            <w:pPr>
              <w:jc w:val="left"/>
            </w:pPr>
            <w:r>
              <w:rPr>
                <w:b/>
                <w:sz w:val="20"/>
              </w:rPr>
              <w:t>SAC ★</w:t>
            </w:r>
          </w:p>
        </w:tc>
        <w:tc>
          <w:tcPr>
            <w:tcW w:type="dxa" w:w="1344"/>
            <w:shd w:val="clear" w:color="auto" w:fill="D9E2F3"/>
          </w:tcPr>
          <w:p>
            <w:pPr>
              <w:jc w:val="center"/>
            </w:pPr>
            <w:r>
              <w:rPr>
                <w:b/>
                <w:sz w:val="20"/>
              </w:rPr>
              <w:t>48</w:t>
            </w:r>
          </w:p>
        </w:tc>
        <w:tc>
          <w:tcPr>
            <w:tcW w:type="dxa" w:w="1344"/>
            <w:shd w:val="clear" w:color="auto" w:fill="D9E2F3"/>
          </w:tcPr>
          <w:p>
            <w:pPr>
              <w:jc w:val="center"/>
            </w:pPr>
            <w:r>
              <w:rPr>
                <w:b/>
                <w:sz w:val="20"/>
              </w:rPr>
              <w:t>400 353</w:t>
            </w:r>
          </w:p>
        </w:tc>
        <w:tc>
          <w:tcPr>
            <w:tcW w:type="dxa" w:w="1344"/>
            <w:shd w:val="clear" w:color="auto" w:fill="D9E2F3"/>
          </w:tcPr>
          <w:p>
            <w:pPr>
              <w:jc w:val="center"/>
            </w:pPr>
            <w:r>
              <w:rPr>
                <w:b/>
                <w:sz w:val="20"/>
              </w:rPr>
              <w:t>98.1</w:t>
            </w:r>
          </w:p>
        </w:tc>
        <w:tc>
          <w:tcPr>
            <w:tcW w:type="dxa" w:w="1344"/>
            <w:shd w:val="clear" w:color="auto" w:fill="D9E2F3"/>
          </w:tcPr>
          <w:p>
            <w:pPr>
              <w:jc w:val="center"/>
            </w:pPr>
            <w:r>
              <w:rPr>
                <w:b/>
                <w:sz w:val="20"/>
              </w:rPr>
              <w:t>95.5</w:t>
            </w:r>
          </w:p>
        </w:tc>
        <w:tc>
          <w:tcPr>
            <w:tcW w:type="dxa" w:w="1344"/>
            <w:shd w:val="clear" w:color="auto" w:fill="D9E2F3"/>
          </w:tcPr>
          <w:p>
            <w:pPr>
              <w:jc w:val="center"/>
            </w:pPr>
            <w:r>
              <w:rPr>
                <w:b/>
                <w:sz w:val="20"/>
              </w:rPr>
              <w:t>880 245</w:t>
            </w:r>
          </w:p>
        </w:tc>
        <w:tc>
          <w:tcPr>
            <w:tcW w:type="dxa" w:w="1344"/>
            <w:shd w:val="clear" w:color="auto" w:fill="D9E2F3"/>
          </w:tcPr>
          <w:p>
            <w:pPr>
              <w:jc w:val="center"/>
            </w:pPr>
            <w:r>
              <w:rPr>
                <w:b/>
                <w:sz w:val="20"/>
              </w:rPr>
              <w:t>5 801 227</w:t>
            </w:r>
          </w:p>
        </w:tc>
      </w:tr>
      <w:tr>
        <w:tc>
          <w:tcPr>
            <w:tcW w:type="dxa" w:w="1344"/>
          </w:tcPr>
          <w:p>
            <w:pPr>
              <w:jc w:val="left"/>
            </w:pPr>
            <w:r>
              <w:rPr>
                <w:b/>
                <w:sz w:val="20"/>
              </w:rPr>
              <w:t>PPO</w:t>
            </w:r>
          </w:p>
        </w:tc>
        <w:tc>
          <w:tcPr>
            <w:tcW w:type="dxa" w:w="1344"/>
          </w:tcPr>
          <w:p>
            <w:pPr>
              <w:jc w:val="center"/>
            </w:pPr>
            <w:r>
              <w:rPr>
                <w:sz w:val="20"/>
              </w:rPr>
              <w:t>40</w:t>
            </w:r>
          </w:p>
        </w:tc>
        <w:tc>
          <w:tcPr>
            <w:tcW w:type="dxa" w:w="1344"/>
          </w:tcPr>
          <w:p>
            <w:pPr>
              <w:jc w:val="center"/>
            </w:pPr>
            <w:r>
              <w:rPr>
                <w:sz w:val="20"/>
              </w:rPr>
              <w:t>407 804</w:t>
            </w:r>
          </w:p>
        </w:tc>
        <w:tc>
          <w:tcPr>
            <w:tcW w:type="dxa" w:w="1344"/>
          </w:tcPr>
          <w:p>
            <w:pPr>
              <w:jc w:val="center"/>
            </w:pPr>
            <w:r>
              <w:rPr>
                <w:sz w:val="20"/>
              </w:rPr>
              <w:t>99.9</w:t>
            </w:r>
          </w:p>
        </w:tc>
        <w:tc>
          <w:tcPr>
            <w:tcW w:type="dxa" w:w="1344"/>
          </w:tcPr>
          <w:p>
            <w:pPr>
              <w:jc w:val="center"/>
            </w:pPr>
            <w:r>
              <w:rPr>
                <w:sz w:val="20"/>
              </w:rPr>
              <w:t>94.0</w:t>
            </w:r>
          </w:p>
        </w:tc>
        <w:tc>
          <w:tcPr>
            <w:tcW w:type="dxa" w:w="1344"/>
          </w:tcPr>
          <w:p>
            <w:pPr>
              <w:jc w:val="center"/>
            </w:pPr>
            <w:r>
              <w:rPr>
                <w:sz w:val="20"/>
              </w:rPr>
              <w:t>906 898</w:t>
            </w:r>
          </w:p>
        </w:tc>
        <w:tc>
          <w:tcPr>
            <w:tcW w:type="dxa" w:w="1344"/>
          </w:tcPr>
          <w:p>
            <w:pPr>
              <w:jc w:val="center"/>
            </w:pPr>
            <w:r>
              <w:rPr>
                <w:sz w:val="20"/>
              </w:rPr>
              <w:t>6 164 654</w:t>
            </w:r>
          </w:p>
        </w:tc>
      </w:tr>
      <w:tr>
        <w:tc>
          <w:tcPr>
            <w:tcW w:type="dxa" w:w="1344"/>
          </w:tcPr>
          <w:p>
            <w:pPr>
              <w:jc w:val="left"/>
            </w:pPr>
            <w:r>
              <w:rPr>
                <w:b/>
                <w:sz w:val="20"/>
              </w:rPr>
              <w:t>A2C</w:t>
            </w:r>
          </w:p>
        </w:tc>
        <w:tc>
          <w:tcPr>
            <w:tcW w:type="dxa" w:w="1344"/>
          </w:tcPr>
          <w:p>
            <w:pPr>
              <w:jc w:val="center"/>
            </w:pPr>
            <w:r>
              <w:rPr>
                <w:sz w:val="20"/>
              </w:rPr>
              <w:t>3</w:t>
            </w:r>
          </w:p>
        </w:tc>
        <w:tc>
          <w:tcPr>
            <w:tcW w:type="dxa" w:w="1344"/>
          </w:tcPr>
          <w:p>
            <w:pPr>
              <w:jc w:val="center"/>
            </w:pPr>
            <w:r>
              <w:rPr>
                <w:sz w:val="20"/>
              </w:rPr>
              <w:t>356 818</w:t>
            </w:r>
          </w:p>
        </w:tc>
        <w:tc>
          <w:tcPr>
            <w:tcW w:type="dxa" w:w="1344"/>
          </w:tcPr>
          <w:p>
            <w:pPr>
              <w:jc w:val="center"/>
            </w:pPr>
            <w:r>
              <w:rPr>
                <w:sz w:val="20"/>
              </w:rPr>
              <w:t>87.4</w:t>
            </w:r>
          </w:p>
        </w:tc>
        <w:tc>
          <w:tcPr>
            <w:tcW w:type="dxa" w:w="1344"/>
          </w:tcPr>
          <w:p>
            <w:pPr>
              <w:jc w:val="center"/>
            </w:pPr>
            <w:r>
              <w:rPr>
                <w:sz w:val="20"/>
              </w:rPr>
              <w:t>97.7</w:t>
            </w:r>
          </w:p>
        </w:tc>
        <w:tc>
          <w:tcPr>
            <w:tcW w:type="dxa" w:w="1344"/>
          </w:tcPr>
          <w:p>
            <w:pPr>
              <w:jc w:val="center"/>
            </w:pPr>
            <w:r>
              <w:rPr>
                <w:sz w:val="20"/>
              </w:rPr>
              <w:t>733 671</w:t>
            </w:r>
          </w:p>
        </w:tc>
        <w:tc>
          <w:tcPr>
            <w:tcW w:type="dxa" w:w="1344"/>
          </w:tcPr>
          <w:p>
            <w:pPr>
              <w:jc w:val="center"/>
            </w:pPr>
            <w:r>
              <w:rPr>
                <w:sz w:val="20"/>
              </w:rPr>
              <w:t>6 270 421</w:t>
            </w:r>
          </w:p>
        </w:tc>
      </w:tr>
    </w:tbl>
    <w:p/>
    <w:p>
      <w:pPr>
        <w:jc w:val="both"/>
      </w:pPr>
      <w:r>
        <w:rPr>
          <w:b w:val="0"/>
          <w:i w:val="0"/>
          <w:sz w:val="22"/>
        </w:rPr>
        <w:t>El SAC alcanza una cobertura del 98.1 % de la demanda EV en su episodio óptimo (episodio 48, F₂ = 2 622 735 kg CO₂/año), con una cobertura media del 95.5 % sobre los 50 episodios. El PPO logra la máxima cobertura puntual (99.9 % en el episodio 40), aunque su cobertura media (94.0 %) resulta inferior a la del A2C (97.7 % de media). Sin embargo, el episodio óptimo del A2C presenta una cobertura reducida (87.4 %), lo que indica mayor variabilidad episódica en la gestión de cargadores, corroborada por el mayor número acumulado de violaciones de restricción de deuda energética (1 181 horas-episodio).</w:t>
      </w:r>
    </w:p>
    <w:p>
      <w:pPr>
        <w:jc w:val="both"/>
      </w:pPr>
      <w:r>
        <w:rPr>
          <w:b w:val="0"/>
          <w:i w:val="0"/>
          <w:sz w:val="22"/>
        </w:rPr>
        <w:t>Desde la perspectiva del BESS, el SAC descarga en promedio 880 245 kWh/año, el PPO moviliza 906 898 kWh/año (mayor volumen, pero con mayor importación de red), y el A2C descarga solo 733 671 kWh/año. La correlación de Pearson entre la descarga del BESS y el valor F₂ de CO₂ fue de r = –0.782 (p = 1.93×10⁻¹¹) para el SAC, r = –0.917 (p = 7.82×10⁻²¹) para el PPO, y r = +0.843 (p = 1.62×10⁻¹⁴) para el A2C. El coeficiente positivo del A2C indica que, paradójicamente, un mayor uso del BESS en ese agente no redujo las emisiones, señal de ineficiencia en la política de despacho.</w:t>
      </w:r>
    </w:p>
    <w:p>
      <w:pPr>
        <w:jc w:val="both"/>
      </w:pPr>
      <w:r>
        <w:rPr>
          <w:b w:val="0"/>
          <w:i w:val="0"/>
          <w:sz w:val="22"/>
        </w:rPr>
        <w:t>Se infiere que el sistema FV–BESS–cargadores diseñado en el OE2 es capaz de cubrir más del 95 % de la demanda EV bajo control SAC y más del 94 % bajo PPO, confirmando que la infraestructura dimensionada (4 050 kWp + 2 000 kWh BESS + 38 tomas) es suficiente para el escenario de demanda proyectada con una holgura operativa adecuada.</w:t>
      </w:r>
    </w:p>
    <w:p>
      <w:pPr>
        <w:jc w:val="center"/>
      </w:pPr>
      <w:r>
        <w:rPr>
          <w:i/>
          <w:sz w:val="20"/>
        </w:rPr>
        <w:t>Tabla 5.2.2.2. Balance energético anual del sistema integrated por agente — episodio óptimo (kWh/año)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Componente energético</w:t>
            </w:r>
          </w:p>
        </w:tc>
        <w:tc>
          <w:tcPr>
            <w:tcW w:type="dxa" w:w="1881"/>
            <w:shd w:val="clear" w:color="auto" w:fill="1F3864"/>
          </w:tcPr>
          <w:p>
            <w:pPr>
              <w:jc w:val="center"/>
            </w:pPr>
            <w:r>
              <w:rPr>
                <w:b/>
                <w:color w:val="FFFFFF"/>
                <w:sz w:val="20"/>
              </w:rPr>
              <w:t>SAC (ep 48)</w:t>
            </w:r>
          </w:p>
        </w:tc>
        <w:tc>
          <w:tcPr>
            <w:tcW w:type="dxa" w:w="1881"/>
            <w:shd w:val="clear" w:color="auto" w:fill="1F3864"/>
          </w:tcPr>
          <w:p>
            <w:pPr>
              <w:jc w:val="center"/>
            </w:pPr>
            <w:r>
              <w:rPr>
                <w:b/>
                <w:color w:val="FFFFFF"/>
                <w:sz w:val="20"/>
              </w:rPr>
              <w:t>PPO (ep 40)</w:t>
            </w:r>
          </w:p>
        </w:tc>
        <w:tc>
          <w:tcPr>
            <w:tcW w:type="dxa" w:w="1881"/>
            <w:shd w:val="clear" w:color="auto" w:fill="1F3864"/>
          </w:tcPr>
          <w:p>
            <w:pPr>
              <w:jc w:val="center"/>
            </w:pPr>
            <w:r>
              <w:rPr>
                <w:b/>
                <w:color w:val="FFFFFF"/>
                <w:sz w:val="20"/>
              </w:rPr>
              <w:t>A2C (ep 3)</w:t>
            </w:r>
          </w:p>
        </w:tc>
        <w:tc>
          <w:tcPr>
            <w:tcW w:type="dxa" w:w="1881"/>
            <w:shd w:val="clear" w:color="auto" w:fill="1F3864"/>
          </w:tcPr>
          <w:p>
            <w:pPr>
              <w:jc w:val="center"/>
            </w:pPr>
            <w:r>
              <w:rPr>
                <w:b/>
                <w:color w:val="FFFFFF"/>
                <w:sz w:val="20"/>
              </w:rPr>
              <w:t>Referencia (F₁)</w:t>
            </w:r>
          </w:p>
        </w:tc>
      </w:tr>
      <w:tr>
        <w:tc>
          <w:tcPr>
            <w:tcW w:type="dxa" w:w="1881"/>
          </w:tcPr>
          <w:p>
            <w:pPr>
              <w:jc w:val="left"/>
            </w:pPr>
            <w:r>
              <w:rPr>
                <w:b/>
                <w:sz w:val="20"/>
              </w:rPr>
              <w:t>Generación FV nominal (kWh)</w:t>
            </w:r>
          </w:p>
        </w:tc>
        <w:tc>
          <w:tcPr>
            <w:tcW w:type="dxa" w:w="1881"/>
          </w:tcPr>
          <w:p>
            <w:pPr>
              <w:jc w:val="center"/>
            </w:pPr>
            <w:r>
              <w:rPr>
                <w:sz w:val="20"/>
              </w:rPr>
              <w:t>8 292 514</w:t>
            </w:r>
          </w:p>
        </w:tc>
        <w:tc>
          <w:tcPr>
            <w:tcW w:type="dxa" w:w="1881"/>
          </w:tcPr>
          <w:p>
            <w:pPr>
              <w:jc w:val="center"/>
            </w:pPr>
            <w:r>
              <w:rPr>
                <w:sz w:val="20"/>
              </w:rPr>
              <w:t>8 292 514</w:t>
            </w:r>
          </w:p>
        </w:tc>
        <w:tc>
          <w:tcPr>
            <w:tcW w:type="dxa" w:w="1881"/>
          </w:tcPr>
          <w:p>
            <w:pPr>
              <w:jc w:val="center"/>
            </w:pPr>
            <w:r>
              <w:rPr>
                <w:sz w:val="20"/>
              </w:rPr>
              <w:t>8 292 514</w:t>
            </w:r>
          </w:p>
        </w:tc>
        <w:tc>
          <w:tcPr>
            <w:tcW w:type="dxa" w:w="1881"/>
          </w:tcPr>
          <w:p>
            <w:pPr>
              <w:jc w:val="center"/>
            </w:pPr>
            <w:r>
              <w:rPr>
                <w:sz w:val="20"/>
              </w:rPr>
              <w:t>8 292 514</w:t>
            </w:r>
          </w:p>
        </w:tc>
      </w:tr>
      <w:tr>
        <w:tc>
          <w:tcPr>
            <w:tcW w:type="dxa" w:w="1881"/>
          </w:tcPr>
          <w:p>
            <w:pPr>
              <w:jc w:val="left"/>
            </w:pPr>
            <w:r>
              <w:rPr>
                <w:b/>
                <w:sz w:val="20"/>
              </w:rPr>
              <w:t>Descarga BESS (kWh)</w:t>
            </w:r>
          </w:p>
        </w:tc>
        <w:tc>
          <w:tcPr>
            <w:tcW w:type="dxa" w:w="1881"/>
          </w:tcPr>
          <w:p>
            <w:pPr>
              <w:jc w:val="center"/>
            </w:pPr>
            <w:r>
              <w:rPr>
                <w:sz w:val="20"/>
              </w:rPr>
              <w:t>875 699</w:t>
            </w:r>
          </w:p>
        </w:tc>
        <w:tc>
          <w:tcPr>
            <w:tcW w:type="dxa" w:w="1881"/>
          </w:tcPr>
          <w:p>
            <w:pPr>
              <w:jc w:val="center"/>
            </w:pPr>
            <w:r>
              <w:rPr>
                <w:sz w:val="20"/>
              </w:rPr>
              <w:t>919 034</w:t>
            </w:r>
          </w:p>
        </w:tc>
        <w:tc>
          <w:tcPr>
            <w:tcW w:type="dxa" w:w="1881"/>
          </w:tcPr>
          <w:p>
            <w:pPr>
              <w:jc w:val="center"/>
            </w:pPr>
            <w:r>
              <w:rPr>
                <w:sz w:val="20"/>
              </w:rPr>
              <w:t>744 718</w:t>
            </w:r>
          </w:p>
        </w:tc>
        <w:tc>
          <w:tcPr>
            <w:tcW w:type="dxa" w:w="1881"/>
          </w:tcPr>
          <w:p>
            <w:pPr>
              <w:jc w:val="center"/>
            </w:pPr>
            <w:r>
              <w:rPr>
                <w:sz w:val="20"/>
              </w:rPr>
              <w:t>509 829</w:t>
            </w:r>
          </w:p>
        </w:tc>
      </w:tr>
      <w:tr>
        <w:tc>
          <w:tcPr>
            <w:tcW w:type="dxa" w:w="1881"/>
          </w:tcPr>
          <w:p>
            <w:pPr>
              <w:jc w:val="left"/>
            </w:pPr>
            <w:r>
              <w:rPr>
                <w:b/>
                <w:sz w:val="20"/>
              </w:rPr>
              <w:t>Importación de red (kWh)</w:t>
            </w:r>
          </w:p>
        </w:tc>
        <w:tc>
          <w:tcPr>
            <w:tcW w:type="dxa" w:w="1881"/>
          </w:tcPr>
          <w:p>
            <w:pPr>
              <w:jc w:val="center"/>
            </w:pPr>
            <w:r>
              <w:rPr>
                <w:sz w:val="20"/>
              </w:rPr>
              <w:t>5 801 227</w:t>
            </w:r>
          </w:p>
        </w:tc>
        <w:tc>
          <w:tcPr>
            <w:tcW w:type="dxa" w:w="1881"/>
          </w:tcPr>
          <w:p>
            <w:pPr>
              <w:jc w:val="center"/>
            </w:pPr>
            <w:r>
              <w:rPr>
                <w:sz w:val="20"/>
              </w:rPr>
              <w:t>6 164 654</w:t>
            </w:r>
          </w:p>
        </w:tc>
        <w:tc>
          <w:tcPr>
            <w:tcW w:type="dxa" w:w="1881"/>
          </w:tcPr>
          <w:p>
            <w:pPr>
              <w:jc w:val="center"/>
            </w:pPr>
            <w:r>
              <w:rPr>
                <w:sz w:val="20"/>
              </w:rPr>
              <w:t>6 270 421</w:t>
            </w:r>
          </w:p>
        </w:tc>
        <w:tc>
          <w:tcPr>
            <w:tcW w:type="dxa" w:w="1881"/>
          </w:tcPr>
          <w:p>
            <w:pPr>
              <w:jc w:val="center"/>
            </w:pPr>
            <w:r>
              <w:rPr>
                <w:sz w:val="20"/>
              </w:rPr>
              <w:t>6 504 452</w:t>
            </w:r>
          </w:p>
        </w:tc>
      </w:tr>
      <w:tr>
        <w:tc>
          <w:tcPr>
            <w:tcW w:type="dxa" w:w="1881"/>
          </w:tcPr>
          <w:p>
            <w:pPr>
              <w:jc w:val="left"/>
            </w:pPr>
            <w:r>
              <w:rPr>
                <w:b/>
                <w:sz w:val="20"/>
              </w:rPr>
              <w:t>Energía a EV — motos (kWh)</w:t>
            </w:r>
          </w:p>
        </w:tc>
        <w:tc>
          <w:tcPr>
            <w:tcW w:type="dxa" w:w="1881"/>
          </w:tcPr>
          <w:p>
            <w:pPr>
              <w:jc w:val="center"/>
            </w:pPr>
            <w:r>
              <w:rPr>
                <w:sz w:val="20"/>
              </w:rPr>
              <w:t>341 047</w:t>
            </w:r>
          </w:p>
        </w:tc>
        <w:tc>
          <w:tcPr>
            <w:tcW w:type="dxa" w:w="1881"/>
          </w:tcPr>
          <w:p>
            <w:pPr>
              <w:jc w:val="center"/>
            </w:pPr>
            <w:r>
              <w:rPr>
                <w:sz w:val="20"/>
              </w:rPr>
              <w:t>345 118</w:t>
            </w:r>
          </w:p>
        </w:tc>
        <w:tc>
          <w:tcPr>
            <w:tcW w:type="dxa" w:w="1881"/>
          </w:tcPr>
          <w:p>
            <w:pPr>
              <w:jc w:val="center"/>
            </w:pPr>
            <w:r>
              <w:rPr>
                <w:sz w:val="20"/>
              </w:rPr>
              <w:t>329 125</w:t>
            </w:r>
          </w:p>
        </w:tc>
        <w:tc>
          <w:tcPr>
            <w:tcW w:type="dxa" w:w="1881"/>
          </w:tcPr>
          <w:p>
            <w:pPr>
              <w:jc w:val="center"/>
            </w:pPr>
            <w:r>
              <w:rPr>
                <w:sz w:val="20"/>
              </w:rPr>
              <w:t>256 672</w:t>
            </w:r>
          </w:p>
        </w:tc>
      </w:tr>
      <w:tr>
        <w:tc>
          <w:tcPr>
            <w:tcW w:type="dxa" w:w="1881"/>
          </w:tcPr>
          <w:p>
            <w:pPr>
              <w:jc w:val="left"/>
            </w:pPr>
            <w:r>
              <w:rPr>
                <w:b/>
                <w:sz w:val="20"/>
              </w:rPr>
              <w:t>Energía a EV — mototaxis (kWh)</w:t>
            </w:r>
          </w:p>
        </w:tc>
        <w:tc>
          <w:tcPr>
            <w:tcW w:type="dxa" w:w="1881"/>
          </w:tcPr>
          <w:p>
            <w:pPr>
              <w:jc w:val="center"/>
            </w:pPr>
            <w:r>
              <w:rPr>
                <w:sz w:val="20"/>
              </w:rPr>
              <w:t>59 306</w:t>
            </w:r>
          </w:p>
        </w:tc>
        <w:tc>
          <w:tcPr>
            <w:tcW w:type="dxa" w:w="1881"/>
          </w:tcPr>
          <w:p>
            <w:pPr>
              <w:jc w:val="center"/>
            </w:pPr>
            <w:r>
              <w:rPr>
                <w:sz w:val="20"/>
              </w:rPr>
              <w:t>62 686</w:t>
            </w:r>
          </w:p>
        </w:tc>
        <w:tc>
          <w:tcPr>
            <w:tcW w:type="dxa" w:w="1881"/>
          </w:tcPr>
          <w:p>
            <w:pPr>
              <w:jc w:val="center"/>
            </w:pPr>
            <w:r>
              <w:rPr>
                <w:sz w:val="20"/>
              </w:rPr>
              <w:t>27 693</w:t>
            </w:r>
          </w:p>
        </w:tc>
        <w:tc>
          <w:tcPr>
            <w:tcW w:type="dxa" w:w="1881"/>
          </w:tcPr>
          <w:p>
            <w:pPr>
              <w:jc w:val="center"/>
            </w:pPr>
            <w:r>
              <w:rPr>
                <w:sz w:val="20"/>
              </w:rPr>
              <w:t>—</w:t>
            </w:r>
          </w:p>
        </w:tc>
      </w:tr>
      <w:tr>
        <w:tc>
          <w:tcPr>
            <w:tcW w:type="dxa" w:w="1881"/>
          </w:tcPr>
          <w:p>
            <w:pPr>
              <w:jc w:val="left"/>
            </w:pPr>
            <w:r>
              <w:rPr>
                <w:b/>
                <w:sz w:val="20"/>
              </w:rPr>
              <w:t>Energía EV total (kWh)</w:t>
            </w:r>
          </w:p>
        </w:tc>
        <w:tc>
          <w:tcPr>
            <w:tcW w:type="dxa" w:w="1881"/>
          </w:tcPr>
          <w:p>
            <w:pPr>
              <w:jc w:val="center"/>
            </w:pPr>
            <w:r>
              <w:rPr>
                <w:sz w:val="20"/>
              </w:rPr>
              <w:t>400 353</w:t>
            </w:r>
          </w:p>
        </w:tc>
        <w:tc>
          <w:tcPr>
            <w:tcW w:type="dxa" w:w="1881"/>
          </w:tcPr>
          <w:p>
            <w:pPr>
              <w:jc w:val="center"/>
            </w:pPr>
            <w:r>
              <w:rPr>
                <w:sz w:val="20"/>
              </w:rPr>
              <w:t>407 804</w:t>
            </w:r>
          </w:p>
        </w:tc>
        <w:tc>
          <w:tcPr>
            <w:tcW w:type="dxa" w:w="1881"/>
          </w:tcPr>
          <w:p>
            <w:pPr>
              <w:jc w:val="center"/>
            </w:pPr>
            <w:r>
              <w:rPr>
                <w:sz w:val="20"/>
              </w:rPr>
              <w:t>356 818</w:t>
            </w:r>
          </w:p>
        </w:tc>
        <w:tc>
          <w:tcPr>
            <w:tcW w:type="dxa" w:w="1881"/>
          </w:tcPr>
          <w:p>
            <w:pPr>
              <w:jc w:val="center"/>
            </w:pPr>
            <w:r>
              <w:rPr>
                <w:sz w:val="20"/>
              </w:rPr>
              <w:t>~408 282</w:t>
            </w:r>
          </w:p>
        </w:tc>
      </w:tr>
      <w:tr>
        <w:tc>
          <w:tcPr>
            <w:tcW w:type="dxa" w:w="1881"/>
          </w:tcPr>
          <w:p>
            <w:pPr>
              <w:jc w:val="left"/>
            </w:pPr>
            <w:r>
              <w:rPr>
                <w:b/>
                <w:sz w:val="20"/>
              </w:rPr>
              <w:t>Cobertura EV (%)</w:t>
            </w:r>
          </w:p>
        </w:tc>
        <w:tc>
          <w:tcPr>
            <w:tcW w:type="dxa" w:w="1881"/>
          </w:tcPr>
          <w:p>
            <w:pPr>
              <w:jc w:val="center"/>
            </w:pPr>
            <w:r>
              <w:rPr>
                <w:sz w:val="20"/>
              </w:rPr>
              <w:t>98.1 %</w:t>
            </w:r>
          </w:p>
        </w:tc>
        <w:tc>
          <w:tcPr>
            <w:tcW w:type="dxa" w:w="1881"/>
          </w:tcPr>
          <w:p>
            <w:pPr>
              <w:jc w:val="center"/>
            </w:pPr>
            <w:r>
              <w:rPr>
                <w:sz w:val="20"/>
              </w:rPr>
              <w:t>99.9 %</w:t>
            </w:r>
          </w:p>
        </w:tc>
        <w:tc>
          <w:tcPr>
            <w:tcW w:type="dxa" w:w="1881"/>
          </w:tcPr>
          <w:p>
            <w:pPr>
              <w:jc w:val="center"/>
            </w:pPr>
            <w:r>
              <w:rPr>
                <w:sz w:val="20"/>
              </w:rPr>
              <w:t>87.4 %</w:t>
            </w:r>
          </w:p>
        </w:tc>
        <w:tc>
          <w:tcPr>
            <w:tcW w:type="dxa" w:w="1881"/>
          </w:tcPr>
          <w:p>
            <w:pPr>
              <w:jc w:val="center"/>
            </w:pPr>
            <w:r>
              <w:rPr>
                <w:sz w:val="20"/>
              </w:rPr>
              <w:t>~62.9 %</w:t>
            </w:r>
          </w:p>
        </w:tc>
      </w:tr>
    </w:tbl>
    <w:p/>
    <w:p>
      <w:pPr>
        <w:pStyle w:val="Heading3"/>
      </w:pPr>
      <w:r>
        <w:rPr>
          <w:b/>
          <w:sz w:val="24"/>
        </w:rPr>
        <w:t>5.2.3. Inferencia técnica sobre la contribución cuantificable a la reducción de emisiones de CO₂</w:t>
      </w:r>
    </w:p>
    <w:p>
      <w:pPr>
        <w:jc w:val="both"/>
      </w:pPr>
      <w:r>
        <w:rPr>
          <w:b w:val="0"/>
          <w:i w:val="0"/>
          <w:sz w:val="22"/>
        </w:rPr>
        <w:t>La reducción de CO₂ cuantificable se descompone en dos vías conforme al marco de emisiones del proyecto: (a) reducción directa F₆ₐ por combustible vehicular evitado —motos y mototaxis que reemplazan gasolina y diésel—, y (b) reducción indirecta F₆ᵦ por desplazamiento de generación diésel en la red aislada de Iquitos mediante autogeneración FV y despacho optimizado de BESS. El factor de emisión aplicado es EF = 0.4521 kg CO₂/kWh (factor red aislada Iquitos, MINEM 2024).</w:t>
      </w:r>
    </w:p>
    <w:p>
      <w:pPr>
        <w:jc w:val="both"/>
      </w:pPr>
      <w:r>
        <w:rPr>
          <w:b w:val="0"/>
          <w:i w:val="0"/>
          <w:sz w:val="22"/>
        </w:rPr>
        <w:t>La prueba de Wilcoxon de rango con signo aplicada al contraste F₁ − F₂ &gt; 0 —verificando que el control RL reduce efectivamente las emisiones respecto a la operación base sin agente— arrojó un estadístico T = 1 275.0 con p = 8.882×10⁻¹⁶, lo cual confirma a un nivel de significancia α = 0.001 que los tres agentes contribuyen de manera estadísticamente significativa a la reducción de CO₂ respecto a la operación sin control inteligente.</w:t>
      </w:r>
    </w:p>
    <w:p>
      <w:pPr>
        <w:jc w:val="both"/>
      </w:pPr>
      <w:r>
        <w:rPr>
          <w:b w:val="0"/>
          <w:i w:val="0"/>
          <w:sz w:val="22"/>
        </w:rPr>
        <w:t>La Tabla 5.2.3.1 desglosa la reducción de CO₂ por componente para el episodio óptimo de cada agente, expresada en kg CO₂/año y en porcentaje respecto al escenario de referencia F₀.</w:t>
      </w:r>
    </w:p>
    <w:p>
      <w:pPr>
        <w:jc w:val="center"/>
      </w:pPr>
      <w:r>
        <w:rPr>
          <w:i/>
          <w:sz w:val="20"/>
        </w:rPr>
        <w:t>Tabla 5.2.3.1. Reducción de CO₂ por componente y agente (episodio óptimo, α = 0.001, Wilcoxon p = 8.882×10⁻¹⁶)</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3864"/>
          </w:tcPr>
          <w:p>
            <w:pPr>
              <w:jc w:val="center"/>
            </w:pPr>
            <w:r>
              <w:rPr>
                <w:b/>
                <w:color w:val="FFFFFF"/>
                <w:sz w:val="20"/>
              </w:rPr>
              <w:t>Agente</w:t>
            </w:r>
          </w:p>
        </w:tc>
        <w:tc>
          <w:tcPr>
            <w:tcW w:type="dxa" w:w="1344"/>
            <w:shd w:val="clear" w:color="auto" w:fill="1F3864"/>
          </w:tcPr>
          <w:p>
            <w:pPr>
              <w:jc w:val="center"/>
            </w:pPr>
            <w:r>
              <w:rPr>
                <w:b/>
                <w:color w:val="FFFFFF"/>
                <w:sz w:val="20"/>
              </w:rPr>
              <w:t>F₂ mín</w:t>
              <w:br/>
              <w:t>(kg/año)</w:t>
            </w:r>
          </w:p>
        </w:tc>
        <w:tc>
          <w:tcPr>
            <w:tcW w:type="dxa" w:w="1344"/>
            <w:shd w:val="clear" w:color="auto" w:fill="1F3864"/>
          </w:tcPr>
          <w:p>
            <w:pPr>
              <w:jc w:val="center"/>
            </w:pPr>
            <w:r>
              <w:rPr>
                <w:b/>
                <w:color w:val="FFFFFF"/>
                <w:sz w:val="20"/>
              </w:rPr>
              <w:t>Reducción directa</w:t>
              <w:br/>
              <w:t>(kg/año)</w:t>
            </w:r>
          </w:p>
        </w:tc>
        <w:tc>
          <w:tcPr>
            <w:tcW w:type="dxa" w:w="1344"/>
            <w:shd w:val="clear" w:color="auto" w:fill="1F3864"/>
          </w:tcPr>
          <w:p>
            <w:pPr>
              <w:jc w:val="center"/>
            </w:pPr>
            <w:r>
              <w:rPr>
                <w:b/>
                <w:color w:val="FFFFFF"/>
                <w:sz w:val="20"/>
              </w:rPr>
              <w:t>Reducción indirecta</w:t>
              <w:br/>
              <w:t>(kg/año)</w:t>
            </w:r>
          </w:p>
        </w:tc>
        <w:tc>
          <w:tcPr>
            <w:tcW w:type="dxa" w:w="1344"/>
            <w:shd w:val="clear" w:color="auto" w:fill="1F3864"/>
          </w:tcPr>
          <w:p>
            <w:pPr>
              <w:jc w:val="center"/>
            </w:pPr>
            <w:r>
              <w:rPr>
                <w:b/>
                <w:color w:val="FFFFFF"/>
                <w:sz w:val="20"/>
              </w:rPr>
              <w:t>Reducción neta</w:t>
              <w:br/>
              <w:t>(kg/año)</w:t>
            </w:r>
          </w:p>
        </w:tc>
        <w:tc>
          <w:tcPr>
            <w:tcW w:type="dxa" w:w="1344"/>
            <w:shd w:val="clear" w:color="auto" w:fill="1F3864"/>
          </w:tcPr>
          <w:p>
            <w:pPr>
              <w:jc w:val="center"/>
            </w:pPr>
            <w:r>
              <w:rPr>
                <w:b/>
                <w:color w:val="FFFFFF"/>
                <w:sz w:val="20"/>
              </w:rPr>
              <w:t>% vs F₀</w:t>
              <w:br/>
              <w:t>(7 054 000)</w:t>
            </w:r>
          </w:p>
        </w:tc>
        <w:tc>
          <w:tcPr>
            <w:tcW w:type="dxa" w:w="1344"/>
            <w:shd w:val="clear" w:color="auto" w:fill="1F3864"/>
          </w:tcPr>
          <w:p>
            <w:pPr>
              <w:jc w:val="center"/>
            </w:pPr>
            <w:r>
              <w:rPr>
                <w:b/>
                <w:color w:val="FFFFFF"/>
                <w:sz w:val="20"/>
              </w:rPr>
              <w:t>% vs F₁</w:t>
              <w:br/>
              <w:t>(5 790 639)</w:t>
            </w:r>
          </w:p>
        </w:tc>
      </w:tr>
      <w:tr>
        <w:tc>
          <w:tcPr>
            <w:tcW w:type="dxa" w:w="1344"/>
            <w:shd w:val="clear" w:color="auto" w:fill="D9E2F3"/>
          </w:tcPr>
          <w:p>
            <w:pPr>
              <w:jc w:val="left"/>
            </w:pPr>
            <w:r>
              <w:rPr>
                <w:b/>
                <w:sz w:val="20"/>
              </w:rPr>
              <w:t>SAC ★</w:t>
            </w:r>
          </w:p>
        </w:tc>
        <w:tc>
          <w:tcPr>
            <w:tcW w:type="dxa" w:w="1344"/>
            <w:shd w:val="clear" w:color="auto" w:fill="D9E2F3"/>
          </w:tcPr>
          <w:p>
            <w:pPr>
              <w:jc w:val="center"/>
            </w:pPr>
            <w:r>
              <w:rPr>
                <w:b/>
                <w:sz w:val="20"/>
              </w:rPr>
              <w:t>2 622 735</w:t>
            </w:r>
          </w:p>
        </w:tc>
        <w:tc>
          <w:tcPr>
            <w:tcW w:type="dxa" w:w="1344"/>
            <w:shd w:val="clear" w:color="auto" w:fill="D9E2F3"/>
          </w:tcPr>
          <w:p>
            <w:pPr>
              <w:jc w:val="center"/>
            </w:pPr>
            <w:r>
              <w:rPr>
                <w:b/>
                <w:sz w:val="20"/>
              </w:rPr>
              <w:t>328 736</w:t>
            </w:r>
          </w:p>
        </w:tc>
        <w:tc>
          <w:tcPr>
            <w:tcW w:type="dxa" w:w="1344"/>
            <w:shd w:val="clear" w:color="auto" w:fill="D9E2F3"/>
          </w:tcPr>
          <w:p>
            <w:pPr>
              <w:jc w:val="center"/>
            </w:pPr>
            <w:r>
              <w:rPr>
                <w:b/>
                <w:sz w:val="20"/>
              </w:rPr>
              <w:t>3 223 884</w:t>
            </w:r>
          </w:p>
        </w:tc>
        <w:tc>
          <w:tcPr>
            <w:tcW w:type="dxa" w:w="1344"/>
            <w:shd w:val="clear" w:color="auto" w:fill="D9E2F3"/>
          </w:tcPr>
          <w:p>
            <w:pPr>
              <w:jc w:val="center"/>
            </w:pPr>
            <w:r>
              <w:rPr>
                <w:b/>
                <w:sz w:val="20"/>
              </w:rPr>
              <w:t>3 552 620</w:t>
            </w:r>
          </w:p>
        </w:tc>
        <w:tc>
          <w:tcPr>
            <w:tcW w:type="dxa" w:w="1344"/>
            <w:shd w:val="clear" w:color="auto" w:fill="D9E2F3"/>
          </w:tcPr>
          <w:p>
            <w:pPr>
              <w:jc w:val="center"/>
            </w:pPr>
            <w:r>
              <w:rPr>
                <w:b/>
                <w:sz w:val="20"/>
              </w:rPr>
              <w:t>62.8 %</w:t>
            </w:r>
          </w:p>
        </w:tc>
        <w:tc>
          <w:tcPr>
            <w:tcW w:type="dxa" w:w="1344"/>
            <w:shd w:val="clear" w:color="auto" w:fill="D9E2F3"/>
          </w:tcPr>
          <w:p>
            <w:pPr>
              <w:jc w:val="center"/>
            </w:pPr>
            <w:r>
              <w:rPr>
                <w:b/>
                <w:sz w:val="20"/>
              </w:rPr>
              <w:t>54.7 %</w:t>
            </w:r>
          </w:p>
        </w:tc>
      </w:tr>
      <w:tr>
        <w:tc>
          <w:tcPr>
            <w:tcW w:type="dxa" w:w="1344"/>
          </w:tcPr>
          <w:p>
            <w:pPr>
              <w:jc w:val="left"/>
            </w:pPr>
            <w:r>
              <w:rPr>
                <w:b/>
                <w:sz w:val="20"/>
              </w:rPr>
              <w:t>PPO</w:t>
            </w:r>
          </w:p>
        </w:tc>
        <w:tc>
          <w:tcPr>
            <w:tcW w:type="dxa" w:w="1344"/>
          </w:tcPr>
          <w:p>
            <w:pPr>
              <w:jc w:val="center"/>
            </w:pPr>
            <w:r>
              <w:rPr>
                <w:sz w:val="20"/>
              </w:rPr>
              <w:t>2 787 040</w:t>
            </w:r>
          </w:p>
        </w:tc>
        <w:tc>
          <w:tcPr>
            <w:tcW w:type="dxa" w:w="1344"/>
          </w:tcPr>
          <w:p>
            <w:pPr>
              <w:jc w:val="center"/>
            </w:pPr>
            <w:r>
              <w:rPr>
                <w:sz w:val="20"/>
              </w:rPr>
              <w:t>334 103</w:t>
            </w:r>
          </w:p>
        </w:tc>
        <w:tc>
          <w:tcPr>
            <w:tcW w:type="dxa" w:w="1344"/>
          </w:tcPr>
          <w:p>
            <w:pPr>
              <w:jc w:val="center"/>
            </w:pPr>
            <w:r>
              <w:rPr>
                <w:sz w:val="20"/>
              </w:rPr>
              <w:t>3 052 176</w:t>
            </w:r>
          </w:p>
        </w:tc>
        <w:tc>
          <w:tcPr>
            <w:tcW w:type="dxa" w:w="1344"/>
          </w:tcPr>
          <w:p>
            <w:pPr>
              <w:jc w:val="center"/>
            </w:pPr>
            <w:r>
              <w:rPr>
                <w:sz w:val="20"/>
              </w:rPr>
              <w:t>3 386 279</w:t>
            </w:r>
          </w:p>
        </w:tc>
        <w:tc>
          <w:tcPr>
            <w:tcW w:type="dxa" w:w="1344"/>
          </w:tcPr>
          <w:p>
            <w:pPr>
              <w:jc w:val="center"/>
            </w:pPr>
            <w:r>
              <w:rPr>
                <w:sz w:val="20"/>
              </w:rPr>
              <w:t>60.5 %</w:t>
            </w:r>
          </w:p>
        </w:tc>
        <w:tc>
          <w:tcPr>
            <w:tcW w:type="dxa" w:w="1344"/>
          </w:tcPr>
          <w:p>
            <w:pPr>
              <w:jc w:val="center"/>
            </w:pPr>
            <w:r>
              <w:rPr>
                <w:sz w:val="20"/>
              </w:rPr>
              <w:t>51.9 %</w:t>
            </w:r>
          </w:p>
        </w:tc>
      </w:tr>
      <w:tr>
        <w:tc>
          <w:tcPr>
            <w:tcW w:type="dxa" w:w="1344"/>
          </w:tcPr>
          <w:p>
            <w:pPr>
              <w:jc w:val="left"/>
            </w:pPr>
            <w:r>
              <w:rPr>
                <w:b/>
                <w:sz w:val="20"/>
              </w:rPr>
              <w:t>A2C</w:t>
            </w:r>
          </w:p>
        </w:tc>
        <w:tc>
          <w:tcPr>
            <w:tcW w:type="dxa" w:w="1344"/>
          </w:tcPr>
          <w:p>
            <w:pPr>
              <w:jc w:val="center"/>
            </w:pPr>
            <w:r>
              <w:rPr>
                <w:sz w:val="20"/>
              </w:rPr>
              <w:t>2 834 857</w:t>
            </w:r>
          </w:p>
        </w:tc>
        <w:tc>
          <w:tcPr>
            <w:tcW w:type="dxa" w:w="1344"/>
          </w:tcPr>
          <w:p>
            <w:pPr>
              <w:jc w:val="center"/>
            </w:pPr>
            <w:r>
              <w:rPr>
                <w:sz w:val="20"/>
              </w:rPr>
              <w:t>301 293</w:t>
            </w:r>
          </w:p>
        </w:tc>
        <w:tc>
          <w:tcPr>
            <w:tcW w:type="dxa" w:w="1344"/>
          </w:tcPr>
          <w:p>
            <w:pPr>
              <w:jc w:val="center"/>
            </w:pPr>
            <w:r>
              <w:rPr>
                <w:sz w:val="20"/>
              </w:rPr>
              <w:t>2 985 752</w:t>
            </w:r>
          </w:p>
        </w:tc>
        <w:tc>
          <w:tcPr>
            <w:tcW w:type="dxa" w:w="1344"/>
          </w:tcPr>
          <w:p>
            <w:pPr>
              <w:jc w:val="center"/>
            </w:pPr>
            <w:r>
              <w:rPr>
                <w:sz w:val="20"/>
              </w:rPr>
              <w:t>3 287 045</w:t>
            </w:r>
          </w:p>
        </w:tc>
        <w:tc>
          <w:tcPr>
            <w:tcW w:type="dxa" w:w="1344"/>
          </w:tcPr>
          <w:p>
            <w:pPr>
              <w:jc w:val="center"/>
            </w:pPr>
            <w:r>
              <w:rPr>
                <w:sz w:val="20"/>
              </w:rPr>
              <w:t>59.8 %</w:t>
            </w:r>
          </w:p>
        </w:tc>
        <w:tc>
          <w:tcPr>
            <w:tcW w:type="dxa" w:w="1344"/>
          </w:tcPr>
          <w:p>
            <w:pPr>
              <w:jc w:val="center"/>
            </w:pPr>
            <w:r>
              <w:rPr>
                <w:sz w:val="20"/>
              </w:rPr>
              <w:t>51.0 %</w:t>
            </w:r>
          </w:p>
        </w:tc>
      </w:tr>
      <w:tr>
        <w:tc>
          <w:tcPr>
            <w:tcW w:type="dxa" w:w="1344"/>
            <w:shd w:val="clear" w:color="auto" w:fill="E2EFDA"/>
          </w:tcPr>
          <w:p>
            <w:pPr>
              <w:jc w:val="left"/>
            </w:pPr>
            <w:r>
              <w:rPr>
                <w:b/>
                <w:sz w:val="20"/>
              </w:rPr>
              <w:t>F₁ base</w:t>
            </w:r>
          </w:p>
        </w:tc>
        <w:tc>
          <w:tcPr>
            <w:tcW w:type="dxa" w:w="1344"/>
            <w:shd w:val="clear" w:color="auto" w:fill="E2EFDA"/>
          </w:tcPr>
          <w:p>
            <w:pPr>
              <w:jc w:val="center"/>
            </w:pPr>
            <w:r>
              <w:rPr>
                <w:sz w:val="20"/>
              </w:rPr>
              <w:t>5 790 639</w:t>
            </w:r>
          </w:p>
        </w:tc>
        <w:tc>
          <w:tcPr>
            <w:tcW w:type="dxa" w:w="1344"/>
            <w:shd w:val="clear" w:color="auto" w:fill="E2EFDA"/>
          </w:tcPr>
          <w:p>
            <w:pPr>
              <w:jc w:val="center"/>
            </w:pPr>
            <w:r>
              <w:rPr>
                <w:sz w:val="20"/>
              </w:rPr>
              <w:t>243 300</w:t>
            </w:r>
          </w:p>
        </w:tc>
        <w:tc>
          <w:tcPr>
            <w:tcW w:type="dxa" w:w="1344"/>
            <w:shd w:val="clear" w:color="auto" w:fill="E2EFDA"/>
          </w:tcPr>
          <w:p>
            <w:pPr>
              <w:jc w:val="center"/>
            </w:pPr>
            <w:r>
              <w:rPr>
                <w:sz w:val="20"/>
              </w:rPr>
              <w:t>230 494</w:t>
            </w:r>
          </w:p>
        </w:tc>
        <w:tc>
          <w:tcPr>
            <w:tcW w:type="dxa" w:w="1344"/>
            <w:shd w:val="clear" w:color="auto" w:fill="E2EFDA"/>
          </w:tcPr>
          <w:p>
            <w:pPr>
              <w:jc w:val="center"/>
            </w:pPr>
            <w:r>
              <w:rPr>
                <w:sz w:val="20"/>
              </w:rPr>
              <w:t>473 794</w:t>
            </w:r>
          </w:p>
        </w:tc>
        <w:tc>
          <w:tcPr>
            <w:tcW w:type="dxa" w:w="1344"/>
            <w:shd w:val="clear" w:color="auto" w:fill="E2EFDA"/>
          </w:tcPr>
          <w:p>
            <w:pPr>
              <w:jc w:val="center"/>
            </w:pPr>
            <w:r>
              <w:rPr>
                <w:sz w:val="20"/>
              </w:rPr>
              <w:t>6.7 %</w:t>
            </w:r>
          </w:p>
        </w:tc>
        <w:tc>
          <w:tcPr>
            <w:tcW w:type="dxa" w:w="1344"/>
            <w:shd w:val="clear" w:color="auto" w:fill="E2EFDA"/>
          </w:tcPr>
          <w:p>
            <w:pPr>
              <w:jc w:val="center"/>
            </w:pPr>
            <w:r>
              <w:rPr>
                <w:sz w:val="20"/>
              </w:rPr>
              <w:t>0 %</w:t>
            </w:r>
          </w:p>
        </w:tc>
      </w:tr>
      <w:tr>
        <w:tc>
          <w:tcPr>
            <w:tcW w:type="dxa" w:w="1344"/>
            <w:shd w:val="clear" w:color="auto" w:fill="FCE4D6"/>
          </w:tcPr>
          <w:p>
            <w:pPr>
              <w:jc w:val="left"/>
            </w:pPr>
            <w:r>
              <w:rPr>
                <w:b/>
                <w:sz w:val="20"/>
              </w:rPr>
              <w:t>F₀ ref</w:t>
            </w:r>
          </w:p>
        </w:tc>
        <w:tc>
          <w:tcPr>
            <w:tcW w:type="dxa" w:w="1344"/>
            <w:shd w:val="clear" w:color="auto" w:fill="FCE4D6"/>
          </w:tcPr>
          <w:p>
            <w:pPr>
              <w:jc w:val="center"/>
            </w:pPr>
            <w:r>
              <w:rPr>
                <w:sz w:val="20"/>
              </w:rPr>
              <w:t>7 054 000</w:t>
            </w:r>
          </w:p>
        </w:tc>
        <w:tc>
          <w:tcPr>
            <w:tcW w:type="dxa" w:w="1344"/>
            <w:shd w:val="clear" w:color="auto" w:fill="FCE4D6"/>
          </w:tcPr>
          <w:p>
            <w:pPr>
              <w:jc w:val="center"/>
            </w:pPr>
            <w:r>
              <w:rPr>
                <w:sz w:val="20"/>
              </w:rPr>
              <w:t>0</w:t>
            </w:r>
          </w:p>
        </w:tc>
        <w:tc>
          <w:tcPr>
            <w:tcW w:type="dxa" w:w="1344"/>
            <w:shd w:val="clear" w:color="auto" w:fill="FCE4D6"/>
          </w:tcPr>
          <w:p>
            <w:pPr>
              <w:jc w:val="center"/>
            </w:pPr>
            <w:r>
              <w:rPr>
                <w:sz w:val="20"/>
              </w:rPr>
              <w:t>0</w:t>
            </w:r>
          </w:p>
        </w:tc>
        <w:tc>
          <w:tcPr>
            <w:tcW w:type="dxa" w:w="1344"/>
            <w:shd w:val="clear" w:color="auto" w:fill="FCE4D6"/>
          </w:tcPr>
          <w:p>
            <w:pPr>
              <w:jc w:val="center"/>
            </w:pPr>
            <w:r>
              <w:rPr>
                <w:sz w:val="20"/>
              </w:rPr>
              <w:t>0</w:t>
            </w:r>
          </w:p>
        </w:tc>
        <w:tc>
          <w:tcPr>
            <w:tcW w:type="dxa" w:w="1344"/>
            <w:shd w:val="clear" w:color="auto" w:fill="FCE4D6"/>
          </w:tcPr>
          <w:p>
            <w:pPr>
              <w:jc w:val="center"/>
            </w:pPr>
            <w:r>
              <w:rPr>
                <w:sz w:val="20"/>
              </w:rPr>
              <w:t>0 %</w:t>
            </w:r>
          </w:p>
        </w:tc>
        <w:tc>
          <w:tcPr>
            <w:tcW w:type="dxa" w:w="1344"/>
            <w:shd w:val="clear" w:color="auto" w:fill="FCE4D6"/>
          </w:tcPr>
          <w:p>
            <w:pPr>
              <w:jc w:val="center"/>
            </w:pPr>
            <w:r>
              <w:rPr>
                <w:sz w:val="20"/>
              </w:rPr>
              <w:t>—</w:t>
            </w:r>
          </w:p>
        </w:tc>
      </w:tr>
    </w:tbl>
    <w:p/>
    <w:p>
      <w:pPr>
        <w:jc w:val="both"/>
      </w:pPr>
      <w:r>
        <w:rPr>
          <w:b w:val="0"/>
          <w:i w:val="0"/>
          <w:sz w:val="22"/>
        </w:rPr>
        <w:t>El SAC logra la mayor reducción neta de CO₂: 3 552 620 kg/año (62.8 % vs F₀ y 54.7 % vs F₁). El PPO alcanza 3 386 279 kg/año (60.5 % vs F₀) y el A2C 3 287 045 kg/año (59.8 % vs F₀). En todos los casos, la componente indirecta —derivada del despacho optimizado que reduce la importación de energía diésel— representa entre el 91 % y el 91.5 % de la reducción neta total, mientras que la reducción directa por combustible vehicular evitado aporta entre el 8.6 % (A2C) y el 9.3 % (SAC) de la reducción neta.</w:t>
      </w:r>
    </w:p>
    <w:p>
      <w:pPr>
        <w:jc w:val="both"/>
      </w:pPr>
      <w:r>
        <w:rPr>
          <w:b w:val="0"/>
          <w:i w:val="0"/>
          <w:sz w:val="22"/>
        </w:rPr>
        <w:t>La diferencia entre la reducción directa del SAC (328 736 kg CO₂/año) y la del A2C (301 293 kg CO₂/año) refleja un menor cubrimiento de la demanda mototaxi en el A2C (27 693 kWh vs 59 306 kWh del SAC), atribuible a mayor número de violaciones de restricción de deuda energética (1 181 vs 1 029 horas-episodio). El PPO registra la mayor reducción directa (334 103 kg/año) dada su cobertura EV puntual de 99.9 % en su episodio óptimo.</w:t>
      </w:r>
    </w:p>
    <w:p>
      <w:pPr>
        <w:jc w:val="both"/>
      </w:pPr>
      <w:r>
        <w:rPr>
          <w:b w:val="0"/>
          <w:i w:val="0"/>
          <w:sz w:val="22"/>
        </w:rPr>
        <w:t>Se concluye que los tres agentes de RL producen una reducción de CO₂ estadísticamente significativa (p &lt; 0.001) respecto a la operación base, con una contribución cuantificable superior al 59.8 % de las emisiones de referencia F₀. El SAC constituye el agente con mayor contribución ambiental consolidada, reduciendo las emisiones a 2 622 735 kg CO₂/año, valor que representa el 37.2 % del escenario sin ninguna intervención tecnológica.</w:t>
      </w:r>
    </w:p>
    <w:p>
      <w:pPr>
        <w:pStyle w:val="Heading2"/>
      </w:pPr>
      <w:r>
        <w:rPr>
          <w:b/>
          <w:sz w:val="28"/>
        </w:rPr>
        <w:t>5.3. Otro tipo de resultados estadísticos, de acuerdo con la naturaleza del problema y la hipótesis</w:t>
      </w:r>
    </w:p>
    <w:p>
      <w:pPr>
        <w:jc w:val="both"/>
      </w:pPr>
      <w:r>
        <w:rPr>
          <w:b w:val="0"/>
          <w:i w:val="0"/>
          <w:sz w:val="22"/>
        </w:rPr>
        <w:t>Además de los resultados descriptivos (secciones 5.1) e inferenciales (sección 5.2), la naturaleza del problema de optimización mediante aprendizaje por refuerzo requiere resultados estadísticos específicos al paradigma RL: comportamiento del entrenamiento por episodios, métricas de desempeño comparativo, jerarquía de reducción de CO₂, análisis de variabilidad y robustez, y la selección final del agente óptimo. Estos resultados complementan la demostración de las cuatro hipótesis del proyecto (HG, HE1, HE2 y HE3).</w:t>
      </w:r>
    </w:p>
    <w:p>
      <w:pPr>
        <w:pStyle w:val="Heading3"/>
      </w:pPr>
      <w:r>
        <w:rPr>
          <w:b/>
          <w:sz w:val="24"/>
        </w:rPr>
        <w:t>5.3.1. Función de recompensa multiobjetivo y configuración del entorno de entrenamiento</w:t>
      </w:r>
    </w:p>
    <w:p>
      <w:pPr>
        <w:jc w:val="both"/>
      </w:pPr>
      <w:r>
        <w:rPr>
          <w:b w:val="0"/>
          <w:i w:val="0"/>
          <w:sz w:val="22"/>
        </w:rPr>
        <w:t>El entorno de entrenamiento se construyó sobre CityLearn v2.x con un horizonte episódico de 8 760 pasos temporales (un año completo a resolución horaria). El espacio de observación es de dimensión 394 (variables de estado del sistema: irradiancia FV, frecuencia de red, SOC del BESS, estado de las 38 tomas de carga y características temporales), y el espacio de acción es continuo de dimensión 39 (1 setpoint BESS + 38 setpoints de tomas de carga, normalizados en [0, 1]).</w:t>
      </w:r>
    </w:p>
    <w:p>
      <w:pPr>
        <w:jc w:val="both"/>
      </w:pPr>
      <w:r>
        <w:rPr>
          <w:b w:val="0"/>
          <w:i w:val="0"/>
          <w:sz w:val="22"/>
        </w:rPr>
        <w:t>La función de recompensa multiobjetivo F_reward fue diseñada para alinear el OE3 del proyecto —reducción cuantificable de emisiones de CO₂— con la dinámica operativa del sistema FV–BESS–cargadores. Está definida como la combinación lineal:</w:t>
      </w:r>
    </w:p>
    <w:p>
      <w:pPr>
        <w:jc w:val="center"/>
      </w:pPr>
      <w:r>
        <w:rPr>
          <w:b/>
          <w:sz w:val="22"/>
        </w:rPr>
        <w:t>F_reward = w₁·ΔCO₂_direct + w₂·ΔCO₂_indirect + w₃·EV_coverage + w₄·Solar_SC + w₅·Grid_stability</w:t>
      </w:r>
    </w:p>
    <w:p>
      <w:pPr>
        <w:jc w:val="both"/>
      </w:pPr>
      <w:r>
        <w:rPr>
          <w:b w:val="0"/>
          <w:i w:val="0"/>
          <w:sz w:val="22"/>
        </w:rPr>
        <w:t>donde los pesos wᵢ fueron fijados conforme a la prioridad OE3 (Tabla 5.3.1.1)</w:t>
      </w:r>
    </w:p>
    <w:p>
      <w:pPr>
        <w:jc w:val="center"/>
      </w:pPr>
      <w:r>
        <w:rPr>
          <w:i/>
          <w:sz w:val="20"/>
        </w:rPr>
        <w:t>Tabla 5.3.1.1. Pesos de la función de recompensa multiobjetivo (versión CO2_DUAL_FOCUS v7.0)</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b/>
                <w:color w:val="FFFFFF"/>
                <w:sz w:val="20"/>
              </w:rPr>
              <w:t>Componente (wᵢ)</w:t>
            </w:r>
          </w:p>
        </w:tc>
        <w:tc>
          <w:tcPr>
            <w:tcW w:type="dxa" w:w="2351"/>
            <w:shd w:val="clear" w:color="auto" w:fill="1F3864"/>
          </w:tcPr>
          <w:p>
            <w:pPr>
              <w:jc w:val="center"/>
            </w:pPr>
            <w:r>
              <w:rPr>
                <w:b/>
                <w:color w:val="FFFFFF"/>
                <w:sz w:val="20"/>
              </w:rPr>
              <w:t>Peso</w:t>
            </w:r>
          </w:p>
        </w:tc>
        <w:tc>
          <w:tcPr>
            <w:tcW w:type="dxa" w:w="2351"/>
            <w:shd w:val="clear" w:color="auto" w:fill="1F3864"/>
          </w:tcPr>
          <w:p>
            <w:pPr>
              <w:jc w:val="center"/>
            </w:pPr>
            <w:r>
              <w:rPr>
                <w:b/>
                <w:color w:val="FFFFFF"/>
                <w:sz w:val="20"/>
              </w:rPr>
              <w:t>Alineación OE3</w:t>
            </w:r>
          </w:p>
        </w:tc>
        <w:tc>
          <w:tcPr>
            <w:tcW w:type="dxa" w:w="2351"/>
            <w:shd w:val="clear" w:color="auto" w:fill="1F3864"/>
          </w:tcPr>
          <w:p>
            <w:pPr>
              <w:jc w:val="center"/>
            </w:pPr>
            <w:r>
              <w:rPr>
                <w:b/>
                <w:color w:val="FFFFFF"/>
                <w:sz w:val="20"/>
              </w:rPr>
              <w:t>Justificación</w:t>
            </w:r>
          </w:p>
        </w:tc>
      </w:tr>
      <w:tr>
        <w:tc>
          <w:tcPr>
            <w:tcW w:type="dxa" w:w="2351"/>
          </w:tcPr>
          <w:p>
            <w:pPr>
              <w:jc w:val="left"/>
            </w:pPr>
            <w:r>
              <w:rPr>
                <w:b/>
                <w:sz w:val="20"/>
              </w:rPr>
              <w:t>w₁: Reducción directa CO₂</w:t>
            </w:r>
          </w:p>
        </w:tc>
        <w:tc>
          <w:tcPr>
            <w:tcW w:type="dxa" w:w="2351"/>
          </w:tcPr>
          <w:p>
            <w:pPr>
              <w:jc w:val="center"/>
            </w:pPr>
            <w:r>
              <w:rPr>
                <w:sz w:val="20"/>
              </w:rPr>
              <w:t>0.35</w:t>
            </w:r>
          </w:p>
        </w:tc>
        <w:tc>
          <w:tcPr>
            <w:tcW w:type="dxa" w:w="2351"/>
          </w:tcPr>
          <w:p>
            <w:pPr>
              <w:jc w:val="center"/>
            </w:pPr>
            <w:r>
              <w:rPr>
                <w:sz w:val="20"/>
              </w:rPr>
              <w:t>Primaria</w:t>
            </w:r>
          </w:p>
        </w:tc>
        <w:tc>
          <w:tcPr>
            <w:tcW w:type="dxa" w:w="2351"/>
          </w:tcPr>
          <w:p>
            <w:pPr>
              <w:jc w:val="center"/>
            </w:pPr>
            <w:r>
              <w:rPr>
                <w:sz w:val="20"/>
              </w:rPr>
              <w:t>Combustible vehicular evitado (motos/mototaxis)</w:t>
            </w:r>
          </w:p>
        </w:tc>
      </w:tr>
      <w:tr>
        <w:tc>
          <w:tcPr>
            <w:tcW w:type="dxa" w:w="2351"/>
          </w:tcPr>
          <w:p>
            <w:pPr>
              <w:jc w:val="left"/>
            </w:pPr>
            <w:r>
              <w:rPr>
                <w:b/>
                <w:sz w:val="20"/>
              </w:rPr>
              <w:t>w₂: Reducción indirecta CO₂</w:t>
            </w:r>
          </w:p>
        </w:tc>
        <w:tc>
          <w:tcPr>
            <w:tcW w:type="dxa" w:w="2351"/>
          </w:tcPr>
          <w:p>
            <w:pPr>
              <w:jc w:val="center"/>
            </w:pPr>
            <w:r>
              <w:rPr>
                <w:sz w:val="20"/>
              </w:rPr>
              <w:t>0.30</w:t>
            </w:r>
          </w:p>
        </w:tc>
        <w:tc>
          <w:tcPr>
            <w:tcW w:type="dxa" w:w="2351"/>
          </w:tcPr>
          <w:p>
            <w:pPr>
              <w:jc w:val="center"/>
            </w:pPr>
            <w:r>
              <w:rPr>
                <w:sz w:val="20"/>
              </w:rPr>
              <w:t>Secundaria</w:t>
            </w:r>
          </w:p>
        </w:tc>
        <w:tc>
          <w:tcPr>
            <w:tcW w:type="dxa" w:w="2351"/>
          </w:tcPr>
          <w:p>
            <w:pPr>
              <w:jc w:val="center"/>
            </w:pPr>
            <w:r>
              <w:rPr>
                <w:sz w:val="20"/>
              </w:rPr>
              <w:t>Grid import × 0.4521 kg CO₂/kWh</w:t>
            </w:r>
          </w:p>
        </w:tc>
      </w:tr>
      <w:tr>
        <w:tc>
          <w:tcPr>
            <w:tcW w:type="dxa" w:w="2351"/>
          </w:tcPr>
          <w:p>
            <w:pPr>
              <w:jc w:val="left"/>
            </w:pPr>
            <w:r>
              <w:rPr>
                <w:b/>
                <w:sz w:val="20"/>
              </w:rPr>
              <w:t>w₃: Cobertura recarga EV</w:t>
            </w:r>
          </w:p>
        </w:tc>
        <w:tc>
          <w:tcPr>
            <w:tcW w:type="dxa" w:w="2351"/>
          </w:tcPr>
          <w:p>
            <w:pPr>
              <w:jc w:val="center"/>
            </w:pPr>
            <w:r>
              <w:rPr>
                <w:sz w:val="20"/>
              </w:rPr>
              <w:t>0.25</w:t>
            </w:r>
          </w:p>
        </w:tc>
        <w:tc>
          <w:tcPr>
            <w:tcW w:type="dxa" w:w="2351"/>
          </w:tcPr>
          <w:p>
            <w:pPr>
              <w:jc w:val="center"/>
            </w:pPr>
            <w:r>
              <w:rPr>
                <w:sz w:val="20"/>
              </w:rPr>
              <w:t>Terciaria</w:t>
            </w:r>
          </w:p>
        </w:tc>
        <w:tc>
          <w:tcPr>
            <w:tcW w:type="dxa" w:w="2351"/>
          </w:tcPr>
          <w:p>
            <w:pPr>
              <w:jc w:val="center"/>
            </w:pPr>
            <w:r>
              <w:rPr>
                <w:sz w:val="20"/>
              </w:rPr>
              <w:t>Garantizar carga de flota por deadline</w:t>
            </w:r>
          </w:p>
        </w:tc>
      </w:tr>
      <w:tr>
        <w:tc>
          <w:tcPr>
            <w:tcW w:type="dxa" w:w="2351"/>
          </w:tcPr>
          <w:p>
            <w:pPr>
              <w:jc w:val="left"/>
            </w:pPr>
            <w:r>
              <w:rPr>
                <w:b/>
                <w:sz w:val="20"/>
              </w:rPr>
              <w:t>w₄: Autoconsumo solar</w:t>
            </w:r>
          </w:p>
        </w:tc>
        <w:tc>
          <w:tcPr>
            <w:tcW w:type="dxa" w:w="2351"/>
          </w:tcPr>
          <w:p>
            <w:pPr>
              <w:jc w:val="center"/>
            </w:pPr>
            <w:r>
              <w:rPr>
                <w:sz w:val="20"/>
              </w:rPr>
              <w:t>0.05</w:t>
            </w:r>
          </w:p>
        </w:tc>
        <w:tc>
          <w:tcPr>
            <w:tcW w:type="dxa" w:w="2351"/>
          </w:tcPr>
          <w:p>
            <w:pPr>
              <w:jc w:val="center"/>
            </w:pPr>
            <w:r>
              <w:rPr>
                <w:sz w:val="20"/>
              </w:rPr>
              <w:t>Cuaternaria</w:t>
            </w:r>
          </w:p>
        </w:tc>
        <w:tc>
          <w:tcPr>
            <w:tcW w:type="dxa" w:w="2351"/>
          </w:tcPr>
          <w:p>
            <w:pPr>
              <w:jc w:val="center"/>
            </w:pPr>
            <w:r>
              <w:rPr>
                <w:sz w:val="20"/>
              </w:rPr>
              <w:t>Maximizar uso directo de generación FV</w:t>
            </w:r>
          </w:p>
        </w:tc>
      </w:tr>
      <w:tr>
        <w:tc>
          <w:tcPr>
            <w:tcW w:type="dxa" w:w="2351"/>
          </w:tcPr>
          <w:p>
            <w:pPr>
              <w:jc w:val="left"/>
            </w:pPr>
            <w:r>
              <w:rPr>
                <w:b/>
                <w:sz w:val="20"/>
              </w:rPr>
              <w:t>w₅: Estabilidad de red</w:t>
            </w:r>
          </w:p>
        </w:tc>
        <w:tc>
          <w:tcPr>
            <w:tcW w:type="dxa" w:w="2351"/>
          </w:tcPr>
          <w:p>
            <w:pPr>
              <w:jc w:val="center"/>
            </w:pPr>
            <w:r>
              <w:rPr>
                <w:sz w:val="20"/>
              </w:rPr>
              <w:t>0.05</w:t>
            </w:r>
          </w:p>
        </w:tc>
        <w:tc>
          <w:tcPr>
            <w:tcW w:type="dxa" w:w="2351"/>
          </w:tcPr>
          <w:p>
            <w:pPr>
              <w:jc w:val="center"/>
            </w:pPr>
            <w:r>
              <w:rPr>
                <w:sz w:val="20"/>
              </w:rPr>
              <w:t>Quinaria</w:t>
            </w:r>
          </w:p>
        </w:tc>
        <w:tc>
          <w:tcPr>
            <w:tcW w:type="dxa" w:w="2351"/>
          </w:tcPr>
          <w:p>
            <w:pPr>
              <w:jc w:val="center"/>
            </w:pPr>
            <w:r>
              <w:rPr>
                <w:sz w:val="20"/>
              </w:rPr>
              <w:t>Suavizar rampas de potencia</w:t>
            </w:r>
          </w:p>
        </w:tc>
      </w:tr>
    </w:tbl>
    <w:p/>
    <w:p>
      <w:pPr>
        <w:jc w:val="both"/>
      </w:pPr>
      <w:r>
        <w:rPr>
          <w:b w:val="0"/>
          <w:i w:val="0"/>
          <w:sz w:val="22"/>
        </w:rPr>
        <w:t>Los parámetros clave de entrenamiento para cada agente se detallan en la Tabla 5.3.1.2, configurados conforme a las recomendaciones de la literatura especializada para espacios de acción continuos de alta dimensión (39D).</w:t>
      </w:r>
    </w:p>
    <w:p>
      <w:pPr>
        <w:jc w:val="center"/>
      </w:pPr>
      <w:r>
        <w:rPr>
          <w:i/>
          <w:sz w:val="20"/>
        </w:rPr>
        <w:t>Tabla 5.3.1.2. Configuración de hiperparámetros por agente (50 episodios, 438 000 pasos temporales)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Parámetro</w:t>
            </w:r>
          </w:p>
        </w:tc>
        <w:tc>
          <w:tcPr>
            <w:tcW w:type="dxa" w:w="1881"/>
            <w:shd w:val="clear" w:color="auto" w:fill="1F3864"/>
          </w:tcPr>
          <w:p>
            <w:pPr>
              <w:jc w:val="center"/>
            </w:pPr>
            <w:r>
              <w:rPr>
                <w:b/>
                <w:color w:val="FFFFFF"/>
                <w:sz w:val="20"/>
              </w:rPr>
              <w:t>SAC (off-policy)</w:t>
            </w:r>
          </w:p>
        </w:tc>
        <w:tc>
          <w:tcPr>
            <w:tcW w:type="dxa" w:w="1881"/>
            <w:shd w:val="clear" w:color="auto" w:fill="1F3864"/>
          </w:tcPr>
          <w:p>
            <w:pPr>
              <w:jc w:val="center"/>
            </w:pPr>
            <w:r>
              <w:rPr>
                <w:b/>
                <w:color w:val="FFFFFF"/>
                <w:sz w:val="20"/>
              </w:rPr>
              <w:t>PPO (on-policy)</w:t>
            </w:r>
          </w:p>
        </w:tc>
        <w:tc>
          <w:tcPr>
            <w:tcW w:type="dxa" w:w="1881"/>
            <w:shd w:val="clear" w:color="auto" w:fill="1F3864"/>
          </w:tcPr>
          <w:p>
            <w:pPr>
              <w:jc w:val="center"/>
            </w:pPr>
            <w:r>
              <w:rPr>
                <w:b/>
                <w:color w:val="FFFFFF"/>
                <w:sz w:val="20"/>
              </w:rPr>
              <w:t>A2C (on-policy)</w:t>
            </w:r>
          </w:p>
        </w:tc>
        <w:tc>
          <w:tcPr>
            <w:tcW w:type="dxa" w:w="1881"/>
            <w:shd w:val="clear" w:color="auto" w:fill="1F3864"/>
          </w:tcPr>
          <w:p>
            <w:pPr>
              <w:jc w:val="center"/>
            </w:pPr>
            <w:r>
              <w:rPr>
                <w:b/>
                <w:color w:val="FFFFFF"/>
                <w:sz w:val="20"/>
              </w:rPr>
              <w:t>Común</w:t>
            </w:r>
          </w:p>
        </w:tc>
      </w:tr>
      <w:tr>
        <w:tc>
          <w:tcPr>
            <w:tcW w:type="dxa" w:w="1881"/>
          </w:tcPr>
          <w:p>
            <w:pPr>
              <w:jc w:val="left"/>
            </w:pPr>
            <w:r>
              <w:rPr>
                <w:b/>
                <w:sz w:val="20"/>
              </w:rPr>
              <w:t>Tipo de agente</w:t>
            </w:r>
          </w:p>
        </w:tc>
        <w:tc>
          <w:tcPr>
            <w:tcW w:type="dxa" w:w="1881"/>
          </w:tcPr>
          <w:p>
            <w:pPr>
              <w:jc w:val="center"/>
            </w:pPr>
            <w:r>
              <w:rPr>
                <w:sz w:val="20"/>
              </w:rPr>
              <w:t>Off-policy</w:t>
            </w:r>
          </w:p>
        </w:tc>
        <w:tc>
          <w:tcPr>
            <w:tcW w:type="dxa" w:w="1881"/>
          </w:tcPr>
          <w:p>
            <w:pPr>
              <w:jc w:val="center"/>
            </w:pPr>
            <w:r>
              <w:rPr>
                <w:sz w:val="20"/>
              </w:rPr>
              <w:t>On-policy</w:t>
            </w:r>
          </w:p>
        </w:tc>
        <w:tc>
          <w:tcPr>
            <w:tcW w:type="dxa" w:w="1881"/>
          </w:tcPr>
          <w:p>
            <w:pPr>
              <w:jc w:val="center"/>
            </w:pPr>
            <w:r>
              <w:rPr>
                <w:sz w:val="20"/>
              </w:rPr>
              <w:t>On-policy</w:t>
            </w:r>
          </w:p>
        </w:tc>
        <w:tc>
          <w:tcPr>
            <w:tcW w:type="dxa" w:w="1881"/>
          </w:tcPr>
          <w:p>
            <w:pPr>
              <w:jc w:val="center"/>
            </w:pPr>
            <w:r>
              <w:rPr>
                <w:sz w:val="20"/>
              </w:rPr>
              <w:t>—</w:t>
            </w:r>
          </w:p>
        </w:tc>
      </w:tr>
      <w:tr>
        <w:tc>
          <w:tcPr>
            <w:tcW w:type="dxa" w:w="1881"/>
          </w:tcPr>
          <w:p>
            <w:pPr>
              <w:jc w:val="left"/>
            </w:pPr>
            <w:r>
              <w:rPr>
                <w:b/>
                <w:sz w:val="20"/>
              </w:rPr>
              <w:t>Tasa de aprendizaje</w:t>
            </w:r>
          </w:p>
        </w:tc>
        <w:tc>
          <w:tcPr>
            <w:tcW w:type="dxa" w:w="1881"/>
          </w:tcPr>
          <w:p>
            <w:pPr>
              <w:jc w:val="center"/>
            </w:pPr>
            <w:r>
              <w:rPr>
                <w:sz w:val="20"/>
              </w:rPr>
              <w:t>1×10⁻⁴</w:t>
            </w:r>
          </w:p>
        </w:tc>
        <w:tc>
          <w:tcPr>
            <w:tcW w:type="dxa" w:w="1881"/>
          </w:tcPr>
          <w:p>
            <w:pPr>
              <w:jc w:val="center"/>
            </w:pPr>
            <w:r>
              <w:rPr>
                <w:sz w:val="20"/>
              </w:rPr>
              <w:t>2×10⁻⁴</w:t>
            </w:r>
          </w:p>
        </w:tc>
        <w:tc>
          <w:tcPr>
            <w:tcW w:type="dxa" w:w="1881"/>
          </w:tcPr>
          <w:p>
            <w:pPr>
              <w:jc w:val="center"/>
            </w:pPr>
            <w:r>
              <w:rPr>
                <w:sz w:val="20"/>
              </w:rPr>
              <w:t>7×10⁻⁴</w:t>
            </w:r>
          </w:p>
        </w:tc>
        <w:tc>
          <w:tcPr>
            <w:tcW w:type="dxa" w:w="1881"/>
          </w:tcPr>
          <w:p>
            <w:pPr>
              <w:jc w:val="center"/>
            </w:pPr>
            <w:r>
              <w:rPr>
                <w:sz w:val="20"/>
              </w:rPr>
              <w:t>Lineal schedule</w:t>
            </w:r>
          </w:p>
        </w:tc>
      </w:tr>
      <w:tr>
        <w:tc>
          <w:tcPr>
            <w:tcW w:type="dxa" w:w="1881"/>
          </w:tcPr>
          <w:p>
            <w:pPr>
              <w:jc w:val="left"/>
            </w:pPr>
            <w:r>
              <w:rPr>
                <w:b/>
                <w:sz w:val="20"/>
              </w:rPr>
              <w:t>Buffer (replay)</w:t>
            </w:r>
          </w:p>
        </w:tc>
        <w:tc>
          <w:tcPr>
            <w:tcW w:type="dxa" w:w="1881"/>
          </w:tcPr>
          <w:p>
            <w:pPr>
              <w:jc w:val="center"/>
            </w:pPr>
            <w:r>
              <w:rPr>
                <w:sz w:val="20"/>
              </w:rPr>
              <w:t>100 000</w:t>
            </w:r>
          </w:p>
        </w:tc>
        <w:tc>
          <w:tcPr>
            <w:tcW w:type="dxa" w:w="1881"/>
          </w:tcPr>
          <w:p>
            <w:pPr>
              <w:jc w:val="center"/>
            </w:pPr>
            <w:r>
              <w:rPr>
                <w:sz w:val="20"/>
              </w:rPr>
              <w:t>N/A</w:t>
            </w:r>
          </w:p>
        </w:tc>
        <w:tc>
          <w:tcPr>
            <w:tcW w:type="dxa" w:w="1881"/>
          </w:tcPr>
          <w:p>
            <w:pPr>
              <w:jc w:val="center"/>
            </w:pPr>
            <w:r>
              <w:rPr>
                <w:sz w:val="20"/>
              </w:rPr>
              <w:t>N/A</w:t>
            </w:r>
          </w:p>
        </w:tc>
        <w:tc>
          <w:tcPr>
            <w:tcW w:type="dxa" w:w="1881"/>
          </w:tcPr>
          <w:p>
            <w:pPr>
              <w:jc w:val="center"/>
            </w:pPr>
            <w:r>
              <w:rPr>
                <w:sz w:val="20"/>
              </w:rPr>
              <w:t>—</w:t>
            </w:r>
          </w:p>
        </w:tc>
      </w:tr>
      <w:tr>
        <w:tc>
          <w:tcPr>
            <w:tcW w:type="dxa" w:w="1881"/>
          </w:tcPr>
          <w:p>
            <w:pPr>
              <w:jc w:val="left"/>
            </w:pPr>
            <w:r>
              <w:rPr>
                <w:b/>
                <w:sz w:val="20"/>
              </w:rPr>
              <w:t>n_steps</w:t>
            </w:r>
          </w:p>
        </w:tc>
        <w:tc>
          <w:tcPr>
            <w:tcW w:type="dxa" w:w="1881"/>
          </w:tcPr>
          <w:p>
            <w:pPr>
              <w:jc w:val="center"/>
            </w:pPr>
            <w:r>
              <w:rPr>
                <w:sz w:val="20"/>
              </w:rPr>
              <w:t>—</w:t>
            </w:r>
          </w:p>
        </w:tc>
        <w:tc>
          <w:tcPr>
            <w:tcW w:type="dxa" w:w="1881"/>
          </w:tcPr>
          <w:p>
            <w:pPr>
              <w:jc w:val="center"/>
            </w:pPr>
            <w:r>
              <w:rPr>
                <w:sz w:val="20"/>
              </w:rPr>
              <w:t>2 048</w:t>
            </w:r>
          </w:p>
        </w:tc>
        <w:tc>
          <w:tcPr>
            <w:tcW w:type="dxa" w:w="1881"/>
          </w:tcPr>
          <w:p>
            <w:pPr>
              <w:jc w:val="center"/>
            </w:pPr>
            <w:r>
              <w:rPr>
                <w:sz w:val="20"/>
              </w:rPr>
              <w:t>8</w:t>
            </w:r>
          </w:p>
        </w:tc>
        <w:tc>
          <w:tcPr>
            <w:tcW w:type="dxa" w:w="1881"/>
          </w:tcPr>
          <w:p>
            <w:pPr>
              <w:jc w:val="center"/>
            </w:pPr>
            <w:r>
              <w:rPr>
                <w:sz w:val="20"/>
              </w:rPr>
              <w:t>—</w:t>
            </w:r>
          </w:p>
        </w:tc>
      </w:tr>
      <w:tr>
        <w:tc>
          <w:tcPr>
            <w:tcW w:type="dxa" w:w="1881"/>
          </w:tcPr>
          <w:p>
            <w:pPr>
              <w:jc w:val="left"/>
            </w:pPr>
            <w:r>
              <w:rPr>
                <w:b/>
                <w:sz w:val="20"/>
              </w:rPr>
              <w:t>Batch size</w:t>
            </w:r>
          </w:p>
        </w:tc>
        <w:tc>
          <w:tcPr>
            <w:tcW w:type="dxa" w:w="1881"/>
          </w:tcPr>
          <w:p>
            <w:pPr>
              <w:jc w:val="center"/>
            </w:pPr>
            <w:r>
              <w:rPr>
                <w:sz w:val="20"/>
              </w:rPr>
              <w:t>256</w:t>
            </w:r>
          </w:p>
        </w:tc>
        <w:tc>
          <w:tcPr>
            <w:tcW w:type="dxa" w:w="1881"/>
          </w:tcPr>
          <w:p>
            <w:pPr>
              <w:jc w:val="center"/>
            </w:pPr>
            <w:r>
              <w:rPr>
                <w:sz w:val="20"/>
              </w:rPr>
              <w:t>256</w:t>
            </w:r>
          </w:p>
        </w:tc>
        <w:tc>
          <w:tcPr>
            <w:tcW w:type="dxa" w:w="1881"/>
          </w:tcPr>
          <w:p>
            <w:pPr>
              <w:jc w:val="center"/>
            </w:pPr>
            <w:r>
              <w:rPr>
                <w:sz w:val="20"/>
              </w:rPr>
              <w:t>—</w:t>
            </w:r>
          </w:p>
        </w:tc>
        <w:tc>
          <w:tcPr>
            <w:tcW w:type="dxa" w:w="1881"/>
          </w:tcPr>
          <w:p>
            <w:pPr>
              <w:jc w:val="center"/>
            </w:pPr>
            <w:r>
              <w:rPr>
                <w:sz w:val="20"/>
              </w:rPr>
              <w:t>—</w:t>
            </w:r>
          </w:p>
        </w:tc>
      </w:tr>
      <w:tr>
        <w:tc>
          <w:tcPr>
            <w:tcW w:type="dxa" w:w="1881"/>
          </w:tcPr>
          <w:p>
            <w:pPr>
              <w:jc w:val="left"/>
            </w:pPr>
            <w:r>
              <w:rPr>
                <w:b/>
                <w:sz w:val="20"/>
              </w:rPr>
              <w:t>n_epochs (PPO)</w:t>
            </w:r>
          </w:p>
        </w:tc>
        <w:tc>
          <w:tcPr>
            <w:tcW w:type="dxa" w:w="1881"/>
          </w:tcPr>
          <w:p>
            <w:pPr>
              <w:jc w:val="center"/>
            </w:pPr>
            <w:r>
              <w:rPr>
                <w:sz w:val="20"/>
              </w:rPr>
              <w:t>—</w:t>
            </w:r>
          </w:p>
        </w:tc>
        <w:tc>
          <w:tcPr>
            <w:tcW w:type="dxa" w:w="1881"/>
          </w:tcPr>
          <w:p>
            <w:pPr>
              <w:jc w:val="center"/>
            </w:pPr>
            <w:r>
              <w:rPr>
                <w:sz w:val="20"/>
              </w:rPr>
              <w:t>10</w:t>
            </w:r>
          </w:p>
        </w:tc>
        <w:tc>
          <w:tcPr>
            <w:tcW w:type="dxa" w:w="1881"/>
          </w:tcPr>
          <w:p>
            <w:pPr>
              <w:jc w:val="center"/>
            </w:pPr>
            <w:r>
              <w:rPr>
                <w:sz w:val="20"/>
              </w:rPr>
              <w:t>—</w:t>
            </w:r>
          </w:p>
        </w:tc>
        <w:tc>
          <w:tcPr>
            <w:tcW w:type="dxa" w:w="1881"/>
          </w:tcPr>
          <w:p>
            <w:pPr>
              <w:jc w:val="center"/>
            </w:pPr>
            <w:r>
              <w:rPr>
                <w:sz w:val="20"/>
              </w:rPr>
              <w:t>—</w:t>
            </w:r>
          </w:p>
        </w:tc>
      </w:tr>
      <w:tr>
        <w:tc>
          <w:tcPr>
            <w:tcW w:type="dxa" w:w="1881"/>
          </w:tcPr>
          <w:p>
            <w:pPr>
              <w:jc w:val="left"/>
            </w:pPr>
            <w:r>
              <w:rPr>
                <w:b/>
                <w:sz w:val="20"/>
              </w:rPr>
              <w:t>Clip range (PPO)</w:t>
            </w:r>
          </w:p>
        </w:tc>
        <w:tc>
          <w:tcPr>
            <w:tcW w:type="dxa" w:w="1881"/>
          </w:tcPr>
          <w:p>
            <w:pPr>
              <w:jc w:val="center"/>
            </w:pPr>
            <w:r>
              <w:rPr>
                <w:sz w:val="20"/>
              </w:rPr>
              <w:t>—</w:t>
            </w:r>
          </w:p>
        </w:tc>
        <w:tc>
          <w:tcPr>
            <w:tcW w:type="dxa" w:w="1881"/>
          </w:tcPr>
          <w:p>
            <w:pPr>
              <w:jc w:val="center"/>
            </w:pPr>
            <w:r>
              <w:rPr>
                <w:sz w:val="20"/>
              </w:rPr>
              <w:t>0.2</w:t>
            </w:r>
          </w:p>
        </w:tc>
        <w:tc>
          <w:tcPr>
            <w:tcW w:type="dxa" w:w="1881"/>
          </w:tcPr>
          <w:p>
            <w:pPr>
              <w:jc w:val="center"/>
            </w:pPr>
            <w:r>
              <w:rPr>
                <w:sz w:val="20"/>
              </w:rPr>
              <w:t>—</w:t>
            </w:r>
          </w:p>
        </w:tc>
        <w:tc>
          <w:tcPr>
            <w:tcW w:type="dxa" w:w="1881"/>
          </w:tcPr>
          <w:p>
            <w:pPr>
              <w:jc w:val="center"/>
            </w:pPr>
            <w:r>
              <w:rPr>
                <w:sz w:val="20"/>
              </w:rPr>
              <w:t>—</w:t>
            </w:r>
          </w:p>
        </w:tc>
      </w:tr>
      <w:tr>
        <w:tc>
          <w:tcPr>
            <w:tcW w:type="dxa" w:w="1881"/>
          </w:tcPr>
          <w:p>
            <w:pPr>
              <w:jc w:val="left"/>
            </w:pPr>
            <w:r>
              <w:rPr>
                <w:b/>
                <w:sz w:val="20"/>
              </w:rPr>
              <w:t>γ (descuento)</w:t>
            </w:r>
          </w:p>
        </w:tc>
        <w:tc>
          <w:tcPr>
            <w:tcW w:type="dxa" w:w="1881"/>
          </w:tcPr>
          <w:p>
            <w:pPr>
              <w:jc w:val="center"/>
            </w:pPr>
            <w:r>
              <w:rPr>
                <w:sz w:val="20"/>
              </w:rPr>
              <w:t>0.99</w:t>
            </w:r>
          </w:p>
        </w:tc>
        <w:tc>
          <w:tcPr>
            <w:tcW w:type="dxa" w:w="1881"/>
          </w:tcPr>
          <w:p>
            <w:pPr>
              <w:jc w:val="center"/>
            </w:pPr>
            <w:r>
              <w:rPr>
                <w:sz w:val="20"/>
              </w:rPr>
              <w:t>0.99</w:t>
            </w:r>
          </w:p>
        </w:tc>
        <w:tc>
          <w:tcPr>
            <w:tcW w:type="dxa" w:w="1881"/>
          </w:tcPr>
          <w:p>
            <w:pPr>
              <w:jc w:val="center"/>
            </w:pPr>
            <w:r>
              <w:rPr>
                <w:sz w:val="20"/>
              </w:rPr>
              <w:t>0.99</w:t>
            </w:r>
          </w:p>
        </w:tc>
        <w:tc>
          <w:tcPr>
            <w:tcW w:type="dxa" w:w="1881"/>
          </w:tcPr>
          <w:p>
            <w:pPr>
              <w:jc w:val="center"/>
            </w:pPr>
            <w:r>
              <w:rPr>
                <w:sz w:val="20"/>
              </w:rPr>
              <w:t>Todos</w:t>
            </w:r>
          </w:p>
        </w:tc>
      </w:tr>
      <w:tr>
        <w:tc>
          <w:tcPr>
            <w:tcW w:type="dxa" w:w="1881"/>
          </w:tcPr>
          <w:p>
            <w:pPr>
              <w:jc w:val="left"/>
            </w:pPr>
            <w:r>
              <w:rPr>
                <w:b/>
                <w:sz w:val="20"/>
              </w:rPr>
              <w:t>λ GAE</w:t>
            </w:r>
          </w:p>
        </w:tc>
        <w:tc>
          <w:tcPr>
            <w:tcW w:type="dxa" w:w="1881"/>
          </w:tcPr>
          <w:p>
            <w:pPr>
              <w:jc w:val="center"/>
            </w:pPr>
            <w:r>
              <w:rPr>
                <w:sz w:val="20"/>
              </w:rPr>
              <w:t>—</w:t>
            </w:r>
          </w:p>
        </w:tc>
        <w:tc>
          <w:tcPr>
            <w:tcW w:type="dxa" w:w="1881"/>
          </w:tcPr>
          <w:p>
            <w:pPr>
              <w:jc w:val="center"/>
            </w:pPr>
            <w:r>
              <w:rPr>
                <w:sz w:val="20"/>
              </w:rPr>
              <w:t>0.98</w:t>
            </w:r>
          </w:p>
        </w:tc>
        <w:tc>
          <w:tcPr>
            <w:tcW w:type="dxa" w:w="1881"/>
          </w:tcPr>
          <w:p>
            <w:pPr>
              <w:jc w:val="center"/>
            </w:pPr>
            <w:r>
              <w:rPr>
                <w:sz w:val="20"/>
              </w:rPr>
              <w:t>0.95</w:t>
            </w:r>
          </w:p>
        </w:tc>
        <w:tc>
          <w:tcPr>
            <w:tcW w:type="dxa" w:w="1881"/>
          </w:tcPr>
          <w:p>
            <w:pPr>
              <w:jc w:val="center"/>
            </w:pPr>
            <w:r>
              <w:rPr>
                <w:sz w:val="20"/>
              </w:rPr>
              <w:t>—</w:t>
            </w:r>
          </w:p>
        </w:tc>
      </w:tr>
      <w:tr>
        <w:tc>
          <w:tcPr>
            <w:tcW w:type="dxa" w:w="1881"/>
          </w:tcPr>
          <w:p>
            <w:pPr>
              <w:jc w:val="left"/>
            </w:pPr>
            <w:r>
              <w:rPr>
                <w:b/>
                <w:sz w:val="20"/>
              </w:rPr>
              <w:t>Coef. entropía</w:t>
            </w:r>
          </w:p>
        </w:tc>
        <w:tc>
          <w:tcPr>
            <w:tcW w:type="dxa" w:w="1881"/>
          </w:tcPr>
          <w:p>
            <w:pPr>
              <w:jc w:val="center"/>
            </w:pPr>
            <w:r>
              <w:rPr>
                <w:sz w:val="20"/>
              </w:rPr>
              <w:t>automático</w:t>
            </w:r>
          </w:p>
        </w:tc>
        <w:tc>
          <w:tcPr>
            <w:tcW w:type="dxa" w:w="1881"/>
          </w:tcPr>
          <w:p>
            <w:pPr>
              <w:jc w:val="center"/>
            </w:pPr>
            <w:r>
              <w:rPr>
                <w:sz w:val="20"/>
              </w:rPr>
              <w:t>0.01</w:t>
            </w:r>
          </w:p>
        </w:tc>
        <w:tc>
          <w:tcPr>
            <w:tcW w:type="dxa" w:w="1881"/>
          </w:tcPr>
          <w:p>
            <w:pPr>
              <w:jc w:val="center"/>
            </w:pPr>
            <w:r>
              <w:rPr>
                <w:sz w:val="20"/>
              </w:rPr>
              <w:t>0.015</w:t>
            </w:r>
          </w:p>
        </w:tc>
        <w:tc>
          <w:tcPr>
            <w:tcW w:type="dxa" w:w="1881"/>
          </w:tcPr>
          <w:p>
            <w:pPr>
              <w:jc w:val="center"/>
            </w:pPr>
            <w:r>
              <w:rPr>
                <w:sz w:val="20"/>
              </w:rPr>
              <w:t>—</w:t>
            </w:r>
          </w:p>
        </w:tc>
      </w:tr>
      <w:tr>
        <w:tc>
          <w:tcPr>
            <w:tcW w:type="dxa" w:w="1881"/>
          </w:tcPr>
          <w:p>
            <w:pPr>
              <w:jc w:val="left"/>
            </w:pPr>
            <w:r>
              <w:rPr>
                <w:b/>
                <w:sz w:val="20"/>
              </w:rPr>
              <w:t>Episodios</w:t>
            </w:r>
          </w:p>
        </w:tc>
        <w:tc>
          <w:tcPr>
            <w:tcW w:type="dxa" w:w="1881"/>
          </w:tcPr>
          <w:p>
            <w:pPr>
              <w:jc w:val="center"/>
            </w:pPr>
            <w:r>
              <w:rPr>
                <w:sz w:val="20"/>
              </w:rPr>
              <w:t>50</w:t>
            </w:r>
          </w:p>
        </w:tc>
        <w:tc>
          <w:tcPr>
            <w:tcW w:type="dxa" w:w="1881"/>
          </w:tcPr>
          <w:p>
            <w:pPr>
              <w:jc w:val="center"/>
            </w:pPr>
            <w:r>
              <w:rPr>
                <w:sz w:val="20"/>
              </w:rPr>
              <w:t>50</w:t>
            </w:r>
          </w:p>
        </w:tc>
        <w:tc>
          <w:tcPr>
            <w:tcW w:type="dxa" w:w="1881"/>
          </w:tcPr>
          <w:p>
            <w:pPr>
              <w:jc w:val="center"/>
            </w:pPr>
            <w:r>
              <w:rPr>
                <w:sz w:val="20"/>
              </w:rPr>
              <w:t>50</w:t>
            </w:r>
          </w:p>
        </w:tc>
        <w:tc>
          <w:tcPr>
            <w:tcW w:type="dxa" w:w="1881"/>
          </w:tcPr>
          <w:p>
            <w:pPr>
              <w:jc w:val="center"/>
            </w:pPr>
            <w:r>
              <w:rPr>
                <w:sz w:val="20"/>
              </w:rPr>
              <w:t>Todos</w:t>
            </w:r>
          </w:p>
        </w:tc>
      </w:tr>
      <w:tr>
        <w:tc>
          <w:tcPr>
            <w:tcW w:type="dxa" w:w="1881"/>
          </w:tcPr>
          <w:p>
            <w:pPr>
              <w:jc w:val="left"/>
            </w:pPr>
            <w:r>
              <w:rPr>
                <w:b/>
                <w:sz w:val="20"/>
              </w:rPr>
              <w:t>Pasos/episodio</w:t>
            </w:r>
          </w:p>
        </w:tc>
        <w:tc>
          <w:tcPr>
            <w:tcW w:type="dxa" w:w="1881"/>
          </w:tcPr>
          <w:p>
            <w:pPr>
              <w:jc w:val="center"/>
            </w:pPr>
            <w:r>
              <w:rPr>
                <w:sz w:val="20"/>
              </w:rPr>
              <w:t>8 760</w:t>
            </w:r>
          </w:p>
        </w:tc>
        <w:tc>
          <w:tcPr>
            <w:tcW w:type="dxa" w:w="1881"/>
          </w:tcPr>
          <w:p>
            <w:pPr>
              <w:jc w:val="center"/>
            </w:pPr>
            <w:r>
              <w:rPr>
                <w:sz w:val="20"/>
              </w:rPr>
              <w:t>8 760</w:t>
            </w:r>
          </w:p>
        </w:tc>
        <w:tc>
          <w:tcPr>
            <w:tcW w:type="dxa" w:w="1881"/>
          </w:tcPr>
          <w:p>
            <w:pPr>
              <w:jc w:val="center"/>
            </w:pPr>
            <w:r>
              <w:rPr>
                <w:sz w:val="20"/>
              </w:rPr>
              <w:t>8 760</w:t>
            </w:r>
          </w:p>
        </w:tc>
        <w:tc>
          <w:tcPr>
            <w:tcW w:type="dxa" w:w="1881"/>
          </w:tcPr>
          <w:p>
            <w:pPr>
              <w:jc w:val="center"/>
            </w:pPr>
            <w:r>
              <w:rPr>
                <w:sz w:val="20"/>
              </w:rPr>
              <w:t>Todos</w:t>
            </w:r>
          </w:p>
        </w:tc>
      </w:tr>
      <w:tr>
        <w:tc>
          <w:tcPr>
            <w:tcW w:type="dxa" w:w="1881"/>
          </w:tcPr>
          <w:p>
            <w:pPr>
              <w:jc w:val="left"/>
            </w:pPr>
            <w:r>
              <w:rPr>
                <w:b/>
                <w:sz w:val="20"/>
              </w:rPr>
              <w:t>Espacio obs.</w:t>
            </w:r>
          </w:p>
        </w:tc>
        <w:tc>
          <w:tcPr>
            <w:tcW w:type="dxa" w:w="1881"/>
          </w:tcPr>
          <w:p>
            <w:pPr>
              <w:jc w:val="center"/>
            </w:pPr>
            <w:r>
              <w:rPr>
                <w:sz w:val="20"/>
              </w:rPr>
              <w:t>394D</w:t>
            </w:r>
          </w:p>
        </w:tc>
        <w:tc>
          <w:tcPr>
            <w:tcW w:type="dxa" w:w="1881"/>
          </w:tcPr>
          <w:p>
            <w:pPr>
              <w:jc w:val="center"/>
            </w:pPr>
            <w:r>
              <w:rPr>
                <w:sz w:val="20"/>
              </w:rPr>
              <w:t>394D</w:t>
            </w:r>
          </w:p>
        </w:tc>
        <w:tc>
          <w:tcPr>
            <w:tcW w:type="dxa" w:w="1881"/>
          </w:tcPr>
          <w:p>
            <w:pPr>
              <w:jc w:val="center"/>
            </w:pPr>
            <w:r>
              <w:rPr>
                <w:sz w:val="20"/>
              </w:rPr>
              <w:t>394D</w:t>
            </w:r>
          </w:p>
        </w:tc>
        <w:tc>
          <w:tcPr>
            <w:tcW w:type="dxa" w:w="1881"/>
          </w:tcPr>
          <w:p>
            <w:pPr>
              <w:jc w:val="center"/>
            </w:pPr>
            <w:r>
              <w:rPr>
                <w:sz w:val="20"/>
              </w:rPr>
              <w:t>Todos</w:t>
            </w:r>
          </w:p>
        </w:tc>
      </w:tr>
      <w:tr>
        <w:tc>
          <w:tcPr>
            <w:tcW w:type="dxa" w:w="1881"/>
          </w:tcPr>
          <w:p>
            <w:pPr>
              <w:jc w:val="left"/>
            </w:pPr>
            <w:r>
              <w:rPr>
                <w:b/>
                <w:sz w:val="20"/>
              </w:rPr>
              <w:t>Espacio acción</w:t>
            </w:r>
          </w:p>
        </w:tc>
        <w:tc>
          <w:tcPr>
            <w:tcW w:type="dxa" w:w="1881"/>
          </w:tcPr>
          <w:p>
            <w:pPr>
              <w:jc w:val="center"/>
            </w:pPr>
            <w:r>
              <w:rPr>
                <w:sz w:val="20"/>
              </w:rPr>
              <w:t>39D cont.</w:t>
            </w:r>
          </w:p>
        </w:tc>
        <w:tc>
          <w:tcPr>
            <w:tcW w:type="dxa" w:w="1881"/>
          </w:tcPr>
          <w:p>
            <w:pPr>
              <w:jc w:val="center"/>
            </w:pPr>
            <w:r>
              <w:rPr>
                <w:sz w:val="20"/>
              </w:rPr>
              <w:t>39D cont.</w:t>
            </w:r>
          </w:p>
        </w:tc>
        <w:tc>
          <w:tcPr>
            <w:tcW w:type="dxa" w:w="1881"/>
          </w:tcPr>
          <w:p>
            <w:pPr>
              <w:jc w:val="center"/>
            </w:pPr>
            <w:r>
              <w:rPr>
                <w:sz w:val="20"/>
              </w:rPr>
              <w:t>39D cont.</w:t>
            </w:r>
          </w:p>
        </w:tc>
        <w:tc>
          <w:tcPr>
            <w:tcW w:type="dxa" w:w="1881"/>
          </w:tcPr>
          <w:p>
            <w:pPr>
              <w:jc w:val="center"/>
            </w:pPr>
            <w:r>
              <w:rPr>
                <w:sz w:val="20"/>
              </w:rPr>
              <w:t>Todos</w:t>
            </w:r>
          </w:p>
        </w:tc>
      </w:tr>
    </w:tbl>
    <w:p/>
    <w:p>
      <w:pPr>
        <w:pStyle w:val="Heading3"/>
      </w:pPr>
      <w:r>
        <w:rPr>
          <w:b/>
          <w:sz w:val="24"/>
        </w:rPr>
        <w:t>5.3.2. Métricas de desempeño y comparación directa entre SAC, PPO y A2C</w:t>
      </w:r>
    </w:p>
    <w:p>
      <w:pPr>
        <w:jc w:val="both"/>
      </w:pPr>
      <w:r>
        <w:rPr>
          <w:b w:val="0"/>
          <w:i w:val="0"/>
          <w:sz w:val="22"/>
        </w:rPr>
        <w:t>La Tabla 5.3.2.1 consolida las métricas estadísticas de CO₂ total de control F₂ —emisiones netas del sistema bajo gestión RL en kg CO₂/año— para los 50 episodios de entrenamiento de cada agente. La métrica principal de comparación es F₂ mín (episodio óptimo), complementada por la media, desviación estándar, coeficiente de variación del plateau final (últimos 15 episodios) y el número acumulado de violaciones de restricción de deuda energética.</w:t>
      </w:r>
    </w:p>
    <w:p>
      <w:pPr>
        <w:jc w:val="center"/>
      </w:pPr>
      <w:r>
        <w:rPr>
          <w:i/>
          <w:sz w:val="20"/>
        </w:rPr>
        <w:t>Tabla 5.3.2.1. Métricas de desempeño comparativo SAC vs PPO vs A2C (50 episodios, 8 760 pasos/episodio, resolución horaria anual)</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F3864"/>
          </w:tcPr>
          <w:p>
            <w:pPr>
              <w:jc w:val="center"/>
            </w:pPr>
            <w:r>
              <w:rPr>
                <w:b/>
                <w:color w:val="FFFFFF"/>
                <w:sz w:val="20"/>
              </w:rPr>
              <w:t>Agente</w:t>
            </w:r>
          </w:p>
        </w:tc>
        <w:tc>
          <w:tcPr>
            <w:tcW w:type="dxa" w:w="1045"/>
            <w:shd w:val="clear" w:color="auto" w:fill="1F3864"/>
          </w:tcPr>
          <w:p>
            <w:pPr>
              <w:jc w:val="center"/>
            </w:pPr>
            <w:r>
              <w:rPr>
                <w:b/>
                <w:color w:val="FFFFFF"/>
                <w:sz w:val="20"/>
              </w:rPr>
              <w:t>F₂ mín</w:t>
              <w:br/>
              <w:t>(kg/año)</w:t>
            </w:r>
          </w:p>
        </w:tc>
        <w:tc>
          <w:tcPr>
            <w:tcW w:type="dxa" w:w="1045"/>
            <w:shd w:val="clear" w:color="auto" w:fill="1F3864"/>
          </w:tcPr>
          <w:p>
            <w:pPr>
              <w:jc w:val="center"/>
            </w:pPr>
            <w:r>
              <w:rPr>
                <w:b/>
                <w:color w:val="FFFFFF"/>
                <w:sz w:val="20"/>
              </w:rPr>
              <w:t>Ep.</w:t>
              <w:br/>
              <w:t>óptimo</w:t>
            </w:r>
          </w:p>
        </w:tc>
        <w:tc>
          <w:tcPr>
            <w:tcW w:type="dxa" w:w="1045"/>
            <w:shd w:val="clear" w:color="auto" w:fill="1F3864"/>
          </w:tcPr>
          <w:p>
            <w:pPr>
              <w:jc w:val="center"/>
            </w:pPr>
            <w:r>
              <w:rPr>
                <w:b/>
                <w:color w:val="FFFFFF"/>
                <w:sz w:val="20"/>
              </w:rPr>
              <w:t>F₂ media</w:t>
              <w:br/>
              <w:t>(kg/año)</w:t>
            </w:r>
          </w:p>
        </w:tc>
        <w:tc>
          <w:tcPr>
            <w:tcW w:type="dxa" w:w="1045"/>
            <w:shd w:val="clear" w:color="auto" w:fill="1F3864"/>
          </w:tcPr>
          <w:p>
            <w:pPr>
              <w:jc w:val="center"/>
            </w:pPr>
            <w:r>
              <w:rPr>
                <w:b/>
                <w:color w:val="FFFFFF"/>
                <w:sz w:val="20"/>
              </w:rPr>
              <w:t>F₂ std</w:t>
              <w:br/>
              <w:t>(kg/año)</w:t>
            </w:r>
          </w:p>
        </w:tc>
        <w:tc>
          <w:tcPr>
            <w:tcW w:type="dxa" w:w="1045"/>
            <w:shd w:val="clear" w:color="auto" w:fill="1F3864"/>
          </w:tcPr>
          <w:p>
            <w:pPr>
              <w:jc w:val="center"/>
            </w:pPr>
            <w:r>
              <w:rPr>
                <w:b/>
                <w:color w:val="FFFFFF"/>
                <w:sz w:val="20"/>
              </w:rPr>
              <w:t>F₂ máx</w:t>
              <w:br/>
              <w:t>(kg/año)</w:t>
            </w:r>
          </w:p>
        </w:tc>
        <w:tc>
          <w:tcPr>
            <w:tcW w:type="dxa" w:w="1045"/>
            <w:shd w:val="clear" w:color="auto" w:fill="1F3864"/>
          </w:tcPr>
          <w:p>
            <w:pPr>
              <w:jc w:val="center"/>
            </w:pPr>
            <w:r>
              <w:rPr>
                <w:b/>
                <w:color w:val="FFFFFF"/>
                <w:sz w:val="20"/>
              </w:rPr>
              <w:t>CV plateau</w:t>
              <w:br/>
              <w:t>(%)</w:t>
            </w:r>
          </w:p>
        </w:tc>
        <w:tc>
          <w:tcPr>
            <w:tcW w:type="dxa" w:w="1045"/>
            <w:shd w:val="clear" w:color="auto" w:fill="1F3864"/>
          </w:tcPr>
          <w:p>
            <w:pPr>
              <w:jc w:val="center"/>
            </w:pPr>
            <w:r>
              <w:rPr>
                <w:b/>
                <w:color w:val="FFFFFF"/>
                <w:sz w:val="20"/>
              </w:rPr>
              <w:t>Violac.</w:t>
              <w:br/>
              <w:t>total</w:t>
            </w:r>
          </w:p>
        </w:tc>
        <w:tc>
          <w:tcPr>
            <w:tcW w:type="dxa" w:w="1045"/>
            <w:shd w:val="clear" w:color="auto" w:fill="1F3864"/>
          </w:tcPr>
          <w:p>
            <w:pPr>
              <w:jc w:val="center"/>
            </w:pPr>
            <w:r>
              <w:rPr>
                <w:b/>
                <w:color w:val="FFFFFF"/>
                <w:sz w:val="20"/>
              </w:rPr>
              <w:t>Tipo</w:t>
            </w:r>
          </w:p>
        </w:tc>
      </w:tr>
      <w:tr>
        <w:tc>
          <w:tcPr>
            <w:tcW w:type="dxa" w:w="1045"/>
            <w:shd w:val="clear" w:color="auto" w:fill="D9E2F3"/>
          </w:tcPr>
          <w:p>
            <w:pPr>
              <w:jc w:val="left"/>
            </w:pPr>
            <w:r>
              <w:rPr>
                <w:b/>
                <w:sz w:val="20"/>
              </w:rPr>
              <w:t>SAC ★</w:t>
            </w:r>
          </w:p>
        </w:tc>
        <w:tc>
          <w:tcPr>
            <w:tcW w:type="dxa" w:w="1045"/>
            <w:shd w:val="clear" w:color="auto" w:fill="D9E2F3"/>
          </w:tcPr>
          <w:p>
            <w:pPr>
              <w:jc w:val="center"/>
            </w:pPr>
            <w:r>
              <w:rPr>
                <w:b/>
                <w:sz w:val="20"/>
              </w:rPr>
              <w:t>2 622 735</w:t>
            </w:r>
          </w:p>
        </w:tc>
        <w:tc>
          <w:tcPr>
            <w:tcW w:type="dxa" w:w="1045"/>
            <w:shd w:val="clear" w:color="auto" w:fill="D9E2F3"/>
          </w:tcPr>
          <w:p>
            <w:pPr>
              <w:jc w:val="center"/>
            </w:pPr>
            <w:r>
              <w:rPr>
                <w:b/>
                <w:sz w:val="20"/>
              </w:rPr>
              <w:t>48</w:t>
            </w:r>
          </w:p>
        </w:tc>
        <w:tc>
          <w:tcPr>
            <w:tcW w:type="dxa" w:w="1045"/>
            <w:shd w:val="clear" w:color="auto" w:fill="D9E2F3"/>
          </w:tcPr>
          <w:p>
            <w:pPr>
              <w:jc w:val="center"/>
            </w:pPr>
            <w:r>
              <w:rPr>
                <w:b/>
                <w:sz w:val="20"/>
              </w:rPr>
              <w:t>2 668 375</w:t>
            </w:r>
          </w:p>
        </w:tc>
        <w:tc>
          <w:tcPr>
            <w:tcW w:type="dxa" w:w="1045"/>
            <w:shd w:val="clear" w:color="auto" w:fill="D9E2F3"/>
          </w:tcPr>
          <w:p>
            <w:pPr>
              <w:jc w:val="center"/>
            </w:pPr>
            <w:r>
              <w:rPr>
                <w:b/>
                <w:sz w:val="20"/>
              </w:rPr>
              <w:t>89 475</w:t>
            </w:r>
          </w:p>
        </w:tc>
        <w:tc>
          <w:tcPr>
            <w:tcW w:type="dxa" w:w="1045"/>
            <w:shd w:val="clear" w:color="auto" w:fill="D9E2F3"/>
          </w:tcPr>
          <w:p>
            <w:pPr>
              <w:jc w:val="center"/>
            </w:pPr>
            <w:r>
              <w:rPr>
                <w:b/>
                <w:sz w:val="20"/>
              </w:rPr>
              <w:t>3 055 514</w:t>
            </w:r>
          </w:p>
        </w:tc>
        <w:tc>
          <w:tcPr>
            <w:tcW w:type="dxa" w:w="1045"/>
            <w:shd w:val="clear" w:color="auto" w:fill="D9E2F3"/>
          </w:tcPr>
          <w:p>
            <w:pPr>
              <w:jc w:val="center"/>
            </w:pPr>
            <w:r>
              <w:rPr>
                <w:b/>
                <w:sz w:val="20"/>
              </w:rPr>
              <w:t>0.058</w:t>
            </w:r>
          </w:p>
        </w:tc>
        <w:tc>
          <w:tcPr>
            <w:tcW w:type="dxa" w:w="1045"/>
            <w:shd w:val="clear" w:color="auto" w:fill="D9E2F3"/>
          </w:tcPr>
          <w:p>
            <w:pPr>
              <w:jc w:val="center"/>
            </w:pPr>
            <w:r>
              <w:rPr>
                <w:b/>
                <w:sz w:val="20"/>
              </w:rPr>
              <w:t>1 029</w:t>
            </w:r>
          </w:p>
        </w:tc>
        <w:tc>
          <w:tcPr>
            <w:tcW w:type="dxa" w:w="1045"/>
            <w:shd w:val="clear" w:color="auto" w:fill="D9E2F3"/>
          </w:tcPr>
          <w:p>
            <w:pPr>
              <w:jc w:val="center"/>
            </w:pPr>
            <w:r>
              <w:rPr>
                <w:b/>
                <w:sz w:val="20"/>
              </w:rPr>
              <w:t>Off-policy</w:t>
            </w:r>
          </w:p>
        </w:tc>
      </w:tr>
      <w:tr>
        <w:tc>
          <w:tcPr>
            <w:tcW w:type="dxa" w:w="1045"/>
          </w:tcPr>
          <w:p>
            <w:pPr>
              <w:jc w:val="left"/>
            </w:pPr>
            <w:r>
              <w:rPr>
                <w:b/>
                <w:sz w:val="20"/>
              </w:rPr>
              <w:t>PPO</w:t>
            </w:r>
          </w:p>
        </w:tc>
        <w:tc>
          <w:tcPr>
            <w:tcW w:type="dxa" w:w="1045"/>
          </w:tcPr>
          <w:p>
            <w:pPr>
              <w:jc w:val="center"/>
            </w:pPr>
            <w:r>
              <w:rPr>
                <w:sz w:val="20"/>
              </w:rPr>
              <w:t>2 787 040</w:t>
            </w:r>
          </w:p>
        </w:tc>
        <w:tc>
          <w:tcPr>
            <w:tcW w:type="dxa" w:w="1045"/>
          </w:tcPr>
          <w:p>
            <w:pPr>
              <w:jc w:val="center"/>
            </w:pPr>
            <w:r>
              <w:rPr>
                <w:sz w:val="20"/>
              </w:rPr>
              <w:t>40</w:t>
            </w:r>
          </w:p>
        </w:tc>
        <w:tc>
          <w:tcPr>
            <w:tcW w:type="dxa" w:w="1045"/>
          </w:tcPr>
          <w:p>
            <w:pPr>
              <w:jc w:val="center"/>
            </w:pPr>
            <w:r>
              <w:rPr>
                <w:sz w:val="20"/>
              </w:rPr>
              <w:t>2 875 569</w:t>
            </w:r>
          </w:p>
        </w:tc>
        <w:tc>
          <w:tcPr>
            <w:tcW w:type="dxa" w:w="1045"/>
          </w:tcPr>
          <w:p>
            <w:pPr>
              <w:jc w:val="center"/>
            </w:pPr>
            <w:r>
              <w:rPr>
                <w:sz w:val="20"/>
              </w:rPr>
              <w:t>113 816</w:t>
            </w:r>
          </w:p>
        </w:tc>
        <w:tc>
          <w:tcPr>
            <w:tcW w:type="dxa" w:w="1045"/>
          </w:tcPr>
          <w:p>
            <w:pPr>
              <w:jc w:val="center"/>
            </w:pPr>
            <w:r>
              <w:rPr>
                <w:sz w:val="20"/>
              </w:rPr>
              <w:t>3 142 944</w:t>
            </w:r>
          </w:p>
        </w:tc>
        <w:tc>
          <w:tcPr>
            <w:tcW w:type="dxa" w:w="1045"/>
          </w:tcPr>
          <w:p>
            <w:pPr>
              <w:jc w:val="center"/>
            </w:pPr>
            <w:r>
              <w:rPr>
                <w:sz w:val="20"/>
              </w:rPr>
              <w:t>0.195</w:t>
            </w:r>
          </w:p>
        </w:tc>
        <w:tc>
          <w:tcPr>
            <w:tcW w:type="dxa" w:w="1045"/>
          </w:tcPr>
          <w:p>
            <w:pPr>
              <w:jc w:val="center"/>
            </w:pPr>
            <w:r>
              <w:rPr>
                <w:sz w:val="20"/>
              </w:rPr>
              <w:t>2 605</w:t>
            </w:r>
          </w:p>
        </w:tc>
        <w:tc>
          <w:tcPr>
            <w:tcW w:type="dxa" w:w="1045"/>
          </w:tcPr>
          <w:p>
            <w:pPr>
              <w:jc w:val="center"/>
            </w:pPr>
            <w:r>
              <w:rPr>
                <w:sz w:val="20"/>
              </w:rPr>
              <w:t>On-policy</w:t>
            </w:r>
          </w:p>
        </w:tc>
      </w:tr>
      <w:tr>
        <w:tc>
          <w:tcPr>
            <w:tcW w:type="dxa" w:w="1045"/>
          </w:tcPr>
          <w:p>
            <w:pPr>
              <w:jc w:val="left"/>
            </w:pPr>
            <w:r>
              <w:rPr>
                <w:b/>
                <w:sz w:val="20"/>
              </w:rPr>
              <w:t>A2C</w:t>
            </w:r>
          </w:p>
        </w:tc>
        <w:tc>
          <w:tcPr>
            <w:tcW w:type="dxa" w:w="1045"/>
          </w:tcPr>
          <w:p>
            <w:pPr>
              <w:jc w:val="center"/>
            </w:pPr>
            <w:r>
              <w:rPr>
                <w:sz w:val="20"/>
              </w:rPr>
              <w:t>2 834 857</w:t>
            </w:r>
          </w:p>
        </w:tc>
        <w:tc>
          <w:tcPr>
            <w:tcW w:type="dxa" w:w="1045"/>
          </w:tcPr>
          <w:p>
            <w:pPr>
              <w:jc w:val="center"/>
            </w:pPr>
            <w:r>
              <w:rPr>
                <w:sz w:val="20"/>
              </w:rPr>
              <w:t>3</w:t>
            </w:r>
          </w:p>
        </w:tc>
        <w:tc>
          <w:tcPr>
            <w:tcW w:type="dxa" w:w="1045"/>
          </w:tcPr>
          <w:p>
            <w:pPr>
              <w:jc w:val="center"/>
            </w:pPr>
            <w:r>
              <w:rPr>
                <w:sz w:val="20"/>
              </w:rPr>
              <w:t>2 845 012</w:t>
            </w:r>
          </w:p>
        </w:tc>
        <w:tc>
          <w:tcPr>
            <w:tcW w:type="dxa" w:w="1045"/>
          </w:tcPr>
          <w:p>
            <w:pPr>
              <w:jc w:val="center"/>
            </w:pPr>
            <w:r>
              <w:rPr>
                <w:sz w:val="20"/>
              </w:rPr>
              <w:t>12 011</w:t>
            </w:r>
          </w:p>
        </w:tc>
        <w:tc>
          <w:tcPr>
            <w:tcW w:type="dxa" w:w="1045"/>
          </w:tcPr>
          <w:p>
            <w:pPr>
              <w:jc w:val="center"/>
            </w:pPr>
            <w:r>
              <w:rPr>
                <w:sz w:val="20"/>
              </w:rPr>
              <w:t>2 922 533</w:t>
            </w:r>
          </w:p>
        </w:tc>
        <w:tc>
          <w:tcPr>
            <w:tcW w:type="dxa" w:w="1045"/>
          </w:tcPr>
          <w:p>
            <w:pPr>
              <w:jc w:val="center"/>
            </w:pPr>
            <w:r>
              <w:rPr>
                <w:sz w:val="20"/>
              </w:rPr>
              <w:t>0.056</w:t>
            </w:r>
          </w:p>
        </w:tc>
        <w:tc>
          <w:tcPr>
            <w:tcW w:type="dxa" w:w="1045"/>
          </w:tcPr>
          <w:p>
            <w:pPr>
              <w:jc w:val="center"/>
            </w:pPr>
            <w:r>
              <w:rPr>
                <w:sz w:val="20"/>
              </w:rPr>
              <w:t>1 181</w:t>
            </w:r>
          </w:p>
        </w:tc>
        <w:tc>
          <w:tcPr>
            <w:tcW w:type="dxa" w:w="1045"/>
          </w:tcPr>
          <w:p>
            <w:pPr>
              <w:jc w:val="center"/>
            </w:pPr>
            <w:r>
              <w:rPr>
                <w:sz w:val="20"/>
              </w:rPr>
              <w:t>On-policy</w:t>
            </w:r>
          </w:p>
        </w:tc>
      </w:tr>
      <w:tr>
        <w:tc>
          <w:tcPr>
            <w:tcW w:type="dxa" w:w="1045"/>
            <w:shd w:val="clear" w:color="auto" w:fill="E2EFDA"/>
          </w:tcPr>
          <w:p>
            <w:pPr>
              <w:jc w:val="left"/>
            </w:pPr>
            <w:r>
              <w:rPr>
                <w:b/>
                <w:sz w:val="20"/>
              </w:rPr>
              <w:t>F₁ base</w:t>
            </w:r>
          </w:p>
        </w:tc>
        <w:tc>
          <w:tcPr>
            <w:tcW w:type="dxa" w:w="1045"/>
            <w:shd w:val="clear" w:color="auto" w:fill="E2EFDA"/>
          </w:tcPr>
          <w:p>
            <w:pPr>
              <w:jc w:val="center"/>
            </w:pPr>
            <w:r>
              <w:rPr>
                <w:sz w:val="20"/>
              </w:rPr>
              <w:t>5 790 639</w:t>
            </w:r>
          </w:p>
        </w:tc>
        <w:tc>
          <w:tcPr>
            <w:tcW w:type="dxa" w:w="1045"/>
            <w:shd w:val="clear" w:color="auto" w:fill="E2EFDA"/>
          </w:tcPr>
          <w:p>
            <w:pPr>
              <w:jc w:val="center"/>
            </w:pPr>
            <w:r>
              <w:rPr>
                <w:sz w:val="20"/>
              </w:rPr>
              <w:t>—</w:t>
            </w:r>
          </w:p>
        </w:tc>
        <w:tc>
          <w:tcPr>
            <w:tcW w:type="dxa" w:w="1045"/>
            <w:shd w:val="clear" w:color="auto" w:fill="E2EFDA"/>
          </w:tcPr>
          <w:p>
            <w:pPr>
              <w:jc w:val="center"/>
            </w:pPr>
            <w:r>
              <w:rPr>
                <w:sz w:val="20"/>
              </w:rPr>
              <w:t>5 790 639</w:t>
            </w:r>
          </w:p>
        </w:tc>
        <w:tc>
          <w:tcPr>
            <w:tcW w:type="dxa" w:w="1045"/>
            <w:shd w:val="clear" w:color="auto" w:fill="E2EFDA"/>
          </w:tcPr>
          <w:p>
            <w:pPr>
              <w:jc w:val="center"/>
            </w:pPr>
            <w:r>
              <w:rPr>
                <w:sz w:val="20"/>
              </w:rPr>
              <w:t>—</w:t>
            </w:r>
          </w:p>
        </w:tc>
        <w:tc>
          <w:tcPr>
            <w:tcW w:type="dxa" w:w="1045"/>
            <w:shd w:val="clear" w:color="auto" w:fill="E2EFDA"/>
          </w:tcPr>
          <w:p>
            <w:pPr>
              <w:jc w:val="center"/>
            </w:pPr>
            <w:r>
              <w:rPr>
                <w:sz w:val="20"/>
              </w:rPr>
              <w:t>—</w:t>
            </w:r>
          </w:p>
        </w:tc>
        <w:tc>
          <w:tcPr>
            <w:tcW w:type="dxa" w:w="1045"/>
            <w:shd w:val="clear" w:color="auto" w:fill="E2EFDA"/>
          </w:tcPr>
          <w:p>
            <w:pPr>
              <w:jc w:val="center"/>
            </w:pPr>
            <w:r>
              <w:rPr>
                <w:sz w:val="20"/>
              </w:rPr>
              <w:t>—</w:t>
            </w:r>
          </w:p>
        </w:tc>
        <w:tc>
          <w:tcPr>
            <w:tcW w:type="dxa" w:w="1045"/>
            <w:shd w:val="clear" w:color="auto" w:fill="E2EFDA"/>
          </w:tcPr>
          <w:p>
            <w:pPr>
              <w:jc w:val="center"/>
            </w:pPr>
            <w:r>
              <w:rPr>
                <w:sz w:val="20"/>
              </w:rPr>
              <w:t>N/A</w:t>
            </w:r>
          </w:p>
        </w:tc>
        <w:tc>
          <w:tcPr>
            <w:tcW w:type="dxa" w:w="1045"/>
            <w:shd w:val="clear" w:color="auto" w:fill="E2EFDA"/>
          </w:tcPr>
          <w:p>
            <w:pPr>
              <w:jc w:val="center"/>
            </w:pPr>
            <w:r>
              <w:rPr>
                <w:sz w:val="20"/>
              </w:rPr>
              <w:t>Sin RL</w:t>
            </w:r>
          </w:p>
        </w:tc>
      </w:tr>
    </w:tbl>
    <w:p/>
    <w:p>
      <w:pPr>
        <w:jc w:val="both"/>
      </w:pPr>
      <w:r>
        <w:rPr>
          <w:b w:val="0"/>
          <w:i w:val="0"/>
          <w:sz w:val="22"/>
        </w:rPr>
        <w:t>El SAC obtiene el menor valor de F₂ mín = 2 622 735 kg CO₂/año en el episodio 48, superando al PPO en 164 305 kg CO₂/año (−5.9 % adicional) y al A2C en 212 122 kg CO₂/año (−7.5 % adicional). La media de 50 episodios del SAC (2 668 375 kg/año) posiciona al agente como el más eficiente en reducción sostenida de emisiones.</w:t>
      </w:r>
    </w:p>
    <w:p>
      <w:pPr>
        <w:jc w:val="both"/>
      </w:pPr>
      <w:r>
        <w:rPr>
          <w:b w:val="0"/>
          <w:i w:val="0"/>
          <w:sz w:val="22"/>
        </w:rPr>
        <w:t>El A2C presenta la menor desviación estándar global (σ = 12 011 kg/año) y el menor CV de plateau (0.056 %), pero su F₂ mín es el más alto de los tres agentes, lo que indica estabilidad sin optimización profunda. El PPO muestra la mayor variabilidad (σ = 113 816 kg/año, CV plateau = 0.195 %), atribuible a su mecánica on-policy con n_steps = 2 048 y mayor sensibilidad a los episodios de exploración temprana.</w:t>
      </w:r>
    </w:p>
    <w:p>
      <w:pPr>
        <w:jc w:val="center"/>
      </w:pPr>
      <w:r>
        <w:rPr>
          <w:i/>
          <w:sz w:val="20"/>
        </w:rPr>
        <w:t>Tabla 5.3.2.2. Flujos energéticos medios (50 episodios) por agente (kWh/año)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Métrica energética</w:t>
            </w:r>
          </w:p>
        </w:tc>
        <w:tc>
          <w:tcPr>
            <w:tcW w:type="dxa" w:w="1881"/>
            <w:shd w:val="clear" w:color="auto" w:fill="1F3864"/>
          </w:tcPr>
          <w:p>
            <w:pPr>
              <w:jc w:val="center"/>
            </w:pPr>
            <w:r>
              <w:rPr>
                <w:b/>
                <w:color w:val="FFFFFF"/>
                <w:sz w:val="20"/>
              </w:rPr>
              <w:t>SAC</w:t>
            </w:r>
          </w:p>
        </w:tc>
        <w:tc>
          <w:tcPr>
            <w:tcW w:type="dxa" w:w="1881"/>
            <w:shd w:val="clear" w:color="auto" w:fill="1F3864"/>
          </w:tcPr>
          <w:p>
            <w:pPr>
              <w:jc w:val="center"/>
            </w:pPr>
            <w:r>
              <w:rPr>
                <w:b/>
                <w:color w:val="FFFFFF"/>
                <w:sz w:val="20"/>
              </w:rPr>
              <w:t>PPO</w:t>
            </w:r>
          </w:p>
        </w:tc>
        <w:tc>
          <w:tcPr>
            <w:tcW w:type="dxa" w:w="1881"/>
            <w:shd w:val="clear" w:color="auto" w:fill="1F3864"/>
          </w:tcPr>
          <w:p>
            <w:pPr>
              <w:jc w:val="center"/>
            </w:pPr>
            <w:r>
              <w:rPr>
                <w:b/>
                <w:color w:val="FFFFFF"/>
                <w:sz w:val="20"/>
              </w:rPr>
              <w:t>A2C</w:t>
            </w:r>
          </w:p>
        </w:tc>
        <w:tc>
          <w:tcPr>
            <w:tcW w:type="dxa" w:w="1881"/>
            <w:shd w:val="clear" w:color="auto" w:fill="1F3864"/>
          </w:tcPr>
          <w:p>
            <w:pPr>
              <w:jc w:val="center"/>
            </w:pPr>
            <w:r>
              <w:rPr>
                <w:b/>
                <w:color w:val="FFFFFF"/>
                <w:sz w:val="20"/>
              </w:rPr>
              <w:t>F₁ base</w:t>
            </w:r>
          </w:p>
        </w:tc>
      </w:tr>
      <w:tr>
        <w:tc>
          <w:tcPr>
            <w:tcW w:type="dxa" w:w="1881"/>
          </w:tcPr>
          <w:p>
            <w:pPr>
              <w:jc w:val="left"/>
            </w:pPr>
            <w:r>
              <w:rPr>
                <w:b/>
                <w:sz w:val="20"/>
              </w:rPr>
              <w:t>Generación FV (kWh/año)</w:t>
            </w:r>
          </w:p>
        </w:tc>
        <w:tc>
          <w:tcPr>
            <w:tcW w:type="dxa" w:w="1881"/>
          </w:tcPr>
          <w:p>
            <w:pPr>
              <w:jc w:val="center"/>
            </w:pPr>
            <w:r>
              <w:rPr>
                <w:sz w:val="20"/>
              </w:rPr>
              <w:t>8 293 277</w:t>
            </w:r>
          </w:p>
        </w:tc>
        <w:tc>
          <w:tcPr>
            <w:tcW w:type="dxa" w:w="1881"/>
          </w:tcPr>
          <w:p>
            <w:pPr>
              <w:jc w:val="center"/>
            </w:pPr>
            <w:r>
              <w:rPr>
                <w:sz w:val="20"/>
              </w:rPr>
              <w:t>8 293 277</w:t>
            </w:r>
          </w:p>
        </w:tc>
        <w:tc>
          <w:tcPr>
            <w:tcW w:type="dxa" w:w="1881"/>
          </w:tcPr>
          <w:p>
            <w:pPr>
              <w:jc w:val="center"/>
            </w:pPr>
            <w:r>
              <w:rPr>
                <w:sz w:val="20"/>
              </w:rPr>
              <w:t>8 293 277</w:t>
            </w:r>
          </w:p>
        </w:tc>
        <w:tc>
          <w:tcPr>
            <w:tcW w:type="dxa" w:w="1881"/>
          </w:tcPr>
          <w:p>
            <w:pPr>
              <w:jc w:val="center"/>
            </w:pPr>
            <w:r>
              <w:rPr>
                <w:sz w:val="20"/>
              </w:rPr>
              <w:t>8 292 514</w:t>
            </w:r>
          </w:p>
        </w:tc>
      </w:tr>
      <w:tr>
        <w:tc>
          <w:tcPr>
            <w:tcW w:type="dxa" w:w="1881"/>
          </w:tcPr>
          <w:p>
            <w:pPr>
              <w:jc w:val="left"/>
            </w:pPr>
            <w:r>
              <w:rPr>
                <w:b/>
                <w:sz w:val="20"/>
              </w:rPr>
              <w:t>Descarga BESS media (kWh/año)</w:t>
            </w:r>
          </w:p>
        </w:tc>
        <w:tc>
          <w:tcPr>
            <w:tcW w:type="dxa" w:w="1881"/>
          </w:tcPr>
          <w:p>
            <w:pPr>
              <w:jc w:val="center"/>
            </w:pPr>
            <w:r>
              <w:rPr>
                <w:sz w:val="20"/>
              </w:rPr>
              <w:t>880 245</w:t>
            </w:r>
          </w:p>
        </w:tc>
        <w:tc>
          <w:tcPr>
            <w:tcW w:type="dxa" w:w="1881"/>
          </w:tcPr>
          <w:p>
            <w:pPr>
              <w:jc w:val="center"/>
            </w:pPr>
            <w:r>
              <w:rPr>
                <w:sz w:val="20"/>
              </w:rPr>
              <w:t>906 898</w:t>
            </w:r>
          </w:p>
        </w:tc>
        <w:tc>
          <w:tcPr>
            <w:tcW w:type="dxa" w:w="1881"/>
          </w:tcPr>
          <w:p>
            <w:pPr>
              <w:jc w:val="center"/>
            </w:pPr>
            <w:r>
              <w:rPr>
                <w:sz w:val="20"/>
              </w:rPr>
              <w:t>733 671</w:t>
            </w:r>
          </w:p>
        </w:tc>
        <w:tc>
          <w:tcPr>
            <w:tcW w:type="dxa" w:w="1881"/>
          </w:tcPr>
          <w:p>
            <w:pPr>
              <w:jc w:val="center"/>
            </w:pPr>
            <w:r>
              <w:rPr>
                <w:sz w:val="20"/>
              </w:rPr>
              <w:t>509 829</w:t>
            </w:r>
          </w:p>
        </w:tc>
      </w:tr>
      <w:tr>
        <w:tc>
          <w:tcPr>
            <w:tcW w:type="dxa" w:w="1881"/>
          </w:tcPr>
          <w:p>
            <w:pPr>
              <w:jc w:val="left"/>
            </w:pPr>
            <w:r>
              <w:rPr>
                <w:b/>
                <w:sz w:val="20"/>
              </w:rPr>
              <w:t>Importación red media (kWh/año)</w:t>
            </w:r>
          </w:p>
        </w:tc>
        <w:tc>
          <w:tcPr>
            <w:tcW w:type="dxa" w:w="1881"/>
          </w:tcPr>
          <w:p>
            <w:pPr>
              <w:jc w:val="center"/>
            </w:pPr>
            <w:r>
              <w:rPr>
                <w:sz w:val="20"/>
              </w:rPr>
              <w:t>5 902 180</w:t>
            </w:r>
          </w:p>
        </w:tc>
        <w:tc>
          <w:tcPr>
            <w:tcW w:type="dxa" w:w="1881"/>
          </w:tcPr>
          <w:p>
            <w:pPr>
              <w:jc w:val="center"/>
            </w:pPr>
            <w:r>
              <w:rPr>
                <w:sz w:val="20"/>
              </w:rPr>
              <w:t>6 360 471</w:t>
            </w:r>
          </w:p>
        </w:tc>
        <w:tc>
          <w:tcPr>
            <w:tcW w:type="dxa" w:w="1881"/>
          </w:tcPr>
          <w:p>
            <w:pPr>
              <w:jc w:val="center"/>
            </w:pPr>
            <w:r>
              <w:rPr>
                <w:sz w:val="20"/>
              </w:rPr>
              <w:t>6 292 882</w:t>
            </w:r>
          </w:p>
        </w:tc>
        <w:tc>
          <w:tcPr>
            <w:tcW w:type="dxa" w:w="1881"/>
          </w:tcPr>
          <w:p>
            <w:pPr>
              <w:jc w:val="center"/>
            </w:pPr>
            <w:r>
              <w:rPr>
                <w:sz w:val="20"/>
              </w:rPr>
              <w:t>6 504 452</w:t>
            </w:r>
          </w:p>
        </w:tc>
      </w:tr>
      <w:tr>
        <w:tc>
          <w:tcPr>
            <w:tcW w:type="dxa" w:w="1881"/>
          </w:tcPr>
          <w:p>
            <w:pPr>
              <w:jc w:val="left"/>
            </w:pPr>
            <w:r>
              <w:rPr>
                <w:b/>
                <w:sz w:val="20"/>
              </w:rPr>
              <w:t>Energía EV media (kWh/año)</w:t>
            </w:r>
          </w:p>
        </w:tc>
        <w:tc>
          <w:tcPr>
            <w:tcW w:type="dxa" w:w="1881"/>
          </w:tcPr>
          <w:p>
            <w:pPr>
              <w:jc w:val="center"/>
            </w:pPr>
            <w:r>
              <w:rPr>
                <w:sz w:val="20"/>
              </w:rPr>
              <w:t>389 752</w:t>
            </w:r>
          </w:p>
        </w:tc>
        <w:tc>
          <w:tcPr>
            <w:tcW w:type="dxa" w:w="1881"/>
          </w:tcPr>
          <w:p>
            <w:pPr>
              <w:jc w:val="center"/>
            </w:pPr>
            <w:r>
              <w:rPr>
                <w:sz w:val="20"/>
              </w:rPr>
              <w:t>383 650</w:t>
            </w:r>
          </w:p>
        </w:tc>
        <w:tc>
          <w:tcPr>
            <w:tcW w:type="dxa" w:w="1881"/>
          </w:tcPr>
          <w:p>
            <w:pPr>
              <w:jc w:val="center"/>
            </w:pPr>
            <w:r>
              <w:rPr>
                <w:sz w:val="20"/>
              </w:rPr>
              <w:t>398 803</w:t>
            </w:r>
          </w:p>
        </w:tc>
        <w:tc>
          <w:tcPr>
            <w:tcW w:type="dxa" w:w="1881"/>
          </w:tcPr>
          <w:p>
            <w:pPr>
              <w:jc w:val="center"/>
            </w:pPr>
            <w:r>
              <w:rPr>
                <w:sz w:val="20"/>
              </w:rPr>
              <w:t>~408 282</w:t>
            </w:r>
          </w:p>
        </w:tc>
      </w:tr>
      <w:tr>
        <w:tc>
          <w:tcPr>
            <w:tcW w:type="dxa" w:w="1881"/>
          </w:tcPr>
          <w:p>
            <w:pPr>
              <w:jc w:val="left"/>
            </w:pPr>
            <w:r>
              <w:rPr>
                <w:b/>
                <w:sz w:val="20"/>
              </w:rPr>
              <w:t>Cobertura EV media (%)</w:t>
            </w:r>
          </w:p>
        </w:tc>
        <w:tc>
          <w:tcPr>
            <w:tcW w:type="dxa" w:w="1881"/>
          </w:tcPr>
          <w:p>
            <w:pPr>
              <w:jc w:val="center"/>
            </w:pPr>
            <w:r>
              <w:rPr>
                <w:sz w:val="20"/>
              </w:rPr>
              <w:t>95.5 %</w:t>
            </w:r>
          </w:p>
        </w:tc>
        <w:tc>
          <w:tcPr>
            <w:tcW w:type="dxa" w:w="1881"/>
          </w:tcPr>
          <w:p>
            <w:pPr>
              <w:jc w:val="center"/>
            </w:pPr>
            <w:r>
              <w:rPr>
                <w:sz w:val="20"/>
              </w:rPr>
              <w:t>94.0 %</w:t>
            </w:r>
          </w:p>
        </w:tc>
        <w:tc>
          <w:tcPr>
            <w:tcW w:type="dxa" w:w="1881"/>
          </w:tcPr>
          <w:p>
            <w:pPr>
              <w:jc w:val="center"/>
            </w:pPr>
            <w:r>
              <w:rPr>
                <w:sz w:val="20"/>
              </w:rPr>
              <w:t>97.7 %</w:t>
            </w:r>
          </w:p>
        </w:tc>
        <w:tc>
          <w:tcPr>
            <w:tcW w:type="dxa" w:w="1881"/>
          </w:tcPr>
          <w:p>
            <w:pPr>
              <w:jc w:val="center"/>
            </w:pPr>
            <w:r>
              <w:rPr>
                <w:sz w:val="20"/>
              </w:rPr>
              <w:t>~62.9 %</w:t>
            </w:r>
          </w:p>
        </w:tc>
      </w:tr>
      <w:tr>
        <w:tc>
          <w:tcPr>
            <w:tcW w:type="dxa" w:w="1881"/>
          </w:tcPr>
          <w:p>
            <w:pPr>
              <w:jc w:val="left"/>
            </w:pPr>
            <w:r>
              <w:rPr>
                <w:b/>
                <w:sz w:val="20"/>
              </w:rPr>
              <w:t>Reducción % media vs F₀</w:t>
            </w:r>
          </w:p>
        </w:tc>
        <w:tc>
          <w:tcPr>
            <w:tcW w:type="dxa" w:w="1881"/>
          </w:tcPr>
          <w:p>
            <w:pPr>
              <w:jc w:val="center"/>
            </w:pPr>
            <w:r>
              <w:rPr>
                <w:sz w:val="20"/>
              </w:rPr>
              <w:t>62.2 %</w:t>
            </w:r>
          </w:p>
        </w:tc>
        <w:tc>
          <w:tcPr>
            <w:tcW w:type="dxa" w:w="1881"/>
          </w:tcPr>
          <w:p>
            <w:pPr>
              <w:jc w:val="center"/>
            </w:pPr>
            <w:r>
              <w:rPr>
                <w:sz w:val="20"/>
              </w:rPr>
              <w:t>59.2 %</w:t>
            </w:r>
          </w:p>
        </w:tc>
        <w:tc>
          <w:tcPr>
            <w:tcW w:type="dxa" w:w="1881"/>
          </w:tcPr>
          <w:p>
            <w:pPr>
              <w:jc w:val="center"/>
            </w:pPr>
            <w:r>
              <w:rPr>
                <w:sz w:val="20"/>
              </w:rPr>
              <w:t>59.7 %</w:t>
            </w:r>
          </w:p>
        </w:tc>
        <w:tc>
          <w:tcPr>
            <w:tcW w:type="dxa" w:w="1881"/>
          </w:tcPr>
          <w:p>
            <w:pPr>
              <w:jc w:val="center"/>
            </w:pPr>
            <w:r>
              <w:rPr>
                <w:sz w:val="20"/>
              </w:rPr>
              <w:t>17.9 %</w:t>
            </w:r>
          </w:p>
        </w:tc>
      </w:tr>
    </w:tbl>
    <w:p/>
    <w:p>
      <w:pPr>
        <w:jc w:val="both"/>
      </w:pPr>
      <w:r>
        <w:rPr>
          <w:b w:val="0"/>
          <w:i w:val="0"/>
          <w:sz w:val="22"/>
        </w:rPr>
        <w:t>Los tres agentes reducen la importación de red respecto a la operación base F₁ (6 504 452 kWh/año), con el SAC logrando la mayor reducción media (5 902 180 kWh/año, −9.3 % vs F₁). La descarga del BESS es consistentemente superior en los agentes RL respecto a la operación base (509 829 kWh F₁ vs 880 245 SAC, +72.7 %), evidenciando que el control RL optimiza el uso del almacenamiento para desplazar importación de red en horas de tarifa punta.</w:t>
      </w:r>
    </w:p>
    <w:p>
      <w:pPr>
        <w:pStyle w:val="Heading3"/>
      </w:pPr>
      <w:r>
        <w:rPr>
          <w:b/>
          <w:sz w:val="24"/>
        </w:rPr>
        <w:t>5.3.3. Reducción de CO₂ por agente y jerarquía de desempeño ambiental</w:t>
      </w:r>
    </w:p>
    <w:p>
      <w:pPr>
        <w:jc w:val="both"/>
      </w:pPr>
      <w:r>
        <w:rPr>
          <w:b w:val="0"/>
          <w:i w:val="0"/>
          <w:sz w:val="22"/>
        </w:rPr>
        <w:t>La jerarquía de desempeño ambiental se establece sobre tres criterios ordenados: (1) F₂ mín como indicador del potencial máximo de reducción, (2) F₂ media como indicador de reducción sostenida en 50 episodios, y (3) porcentaje de reducción de CO₂ respecto a la referencia sin intervención F₀ = 7 054 000 kg CO₂/año. La Tabla 5.3.3.1 sintetiza esta jerarquía.</w:t>
      </w:r>
    </w:p>
    <w:p>
      <w:pPr>
        <w:jc w:val="center"/>
      </w:pPr>
      <w:r>
        <w:rPr>
          <w:i/>
          <w:sz w:val="20"/>
        </w:rPr>
        <w:t>Tabla 5.3.3.1. Jerarquía de desempeño ambiental por agente (50 episodios, α = 0.001)</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3864"/>
          </w:tcPr>
          <w:p>
            <w:pPr>
              <w:jc w:val="center"/>
            </w:pPr>
            <w:r>
              <w:rPr>
                <w:b/>
                <w:color w:val="FFFFFF"/>
                <w:sz w:val="20"/>
              </w:rPr>
              <w:t>Rango</w:t>
            </w:r>
          </w:p>
        </w:tc>
        <w:tc>
          <w:tcPr>
            <w:tcW w:type="dxa" w:w="1176"/>
            <w:shd w:val="clear" w:color="auto" w:fill="1F3864"/>
          </w:tcPr>
          <w:p>
            <w:pPr>
              <w:jc w:val="center"/>
            </w:pPr>
            <w:r>
              <w:rPr>
                <w:b/>
                <w:color w:val="FFFFFF"/>
                <w:sz w:val="20"/>
              </w:rPr>
              <w:t>Agente</w:t>
            </w:r>
          </w:p>
        </w:tc>
        <w:tc>
          <w:tcPr>
            <w:tcW w:type="dxa" w:w="1176"/>
            <w:shd w:val="clear" w:color="auto" w:fill="1F3864"/>
          </w:tcPr>
          <w:p>
            <w:pPr>
              <w:jc w:val="center"/>
            </w:pPr>
            <w:r>
              <w:rPr>
                <w:b/>
                <w:color w:val="FFFFFF"/>
                <w:sz w:val="20"/>
              </w:rPr>
              <w:t>F₂ mín (kg/año)</w:t>
            </w:r>
          </w:p>
        </w:tc>
        <w:tc>
          <w:tcPr>
            <w:tcW w:type="dxa" w:w="1176"/>
            <w:shd w:val="clear" w:color="auto" w:fill="1F3864"/>
          </w:tcPr>
          <w:p>
            <w:pPr>
              <w:jc w:val="center"/>
            </w:pPr>
            <w:r>
              <w:rPr>
                <w:b/>
                <w:color w:val="FFFFFF"/>
                <w:sz w:val="20"/>
              </w:rPr>
              <w:t>Red. directa</w:t>
              <w:br/>
              <w:t>(kg/año)</w:t>
            </w:r>
          </w:p>
        </w:tc>
        <w:tc>
          <w:tcPr>
            <w:tcW w:type="dxa" w:w="1176"/>
            <w:shd w:val="clear" w:color="auto" w:fill="1F3864"/>
          </w:tcPr>
          <w:p>
            <w:pPr>
              <w:jc w:val="center"/>
            </w:pPr>
            <w:r>
              <w:rPr>
                <w:b/>
                <w:color w:val="FFFFFF"/>
                <w:sz w:val="20"/>
              </w:rPr>
              <w:t>Red. indirecta</w:t>
              <w:br/>
              <w:t>(kg/año)</w:t>
            </w:r>
          </w:p>
        </w:tc>
        <w:tc>
          <w:tcPr>
            <w:tcW w:type="dxa" w:w="1176"/>
            <w:shd w:val="clear" w:color="auto" w:fill="1F3864"/>
          </w:tcPr>
          <w:p>
            <w:pPr>
              <w:jc w:val="center"/>
            </w:pPr>
            <w:r>
              <w:rPr>
                <w:b/>
                <w:color w:val="FFFFFF"/>
                <w:sz w:val="20"/>
              </w:rPr>
              <w:t>Red. neta</w:t>
              <w:br/>
              <w:t>(kg/año)</w:t>
            </w:r>
          </w:p>
        </w:tc>
        <w:tc>
          <w:tcPr>
            <w:tcW w:type="dxa" w:w="1176"/>
            <w:shd w:val="clear" w:color="auto" w:fill="1F3864"/>
          </w:tcPr>
          <w:p>
            <w:pPr>
              <w:jc w:val="center"/>
            </w:pPr>
            <w:r>
              <w:rPr>
                <w:b/>
                <w:color w:val="FFFFFF"/>
                <w:sz w:val="20"/>
              </w:rPr>
              <w:t>% vs F₀</w:t>
            </w:r>
          </w:p>
        </w:tc>
        <w:tc>
          <w:tcPr>
            <w:tcW w:type="dxa" w:w="1176"/>
            <w:shd w:val="clear" w:color="auto" w:fill="1F3864"/>
          </w:tcPr>
          <w:p>
            <w:pPr>
              <w:jc w:val="center"/>
            </w:pPr>
            <w:r>
              <w:rPr>
                <w:b/>
                <w:color w:val="FFFFFF"/>
                <w:sz w:val="20"/>
              </w:rPr>
              <w:t>% vs F₁</w:t>
            </w:r>
          </w:p>
        </w:tc>
      </w:tr>
      <w:tr>
        <w:tc>
          <w:tcPr>
            <w:tcW w:type="dxa" w:w="1176"/>
            <w:shd w:val="clear" w:color="auto" w:fill="D9E2F3"/>
          </w:tcPr>
          <w:p>
            <w:pPr>
              <w:jc w:val="left"/>
            </w:pPr>
            <w:r>
              <w:rPr>
                <w:b/>
                <w:sz w:val="20"/>
              </w:rPr>
              <w:t>1° ★</w:t>
            </w:r>
          </w:p>
        </w:tc>
        <w:tc>
          <w:tcPr>
            <w:tcW w:type="dxa" w:w="1176"/>
            <w:shd w:val="clear" w:color="auto" w:fill="D9E2F3"/>
          </w:tcPr>
          <w:p>
            <w:pPr>
              <w:jc w:val="center"/>
            </w:pPr>
            <w:r>
              <w:rPr>
                <w:b/>
                <w:sz w:val="20"/>
              </w:rPr>
              <w:t>SAC</w:t>
            </w:r>
          </w:p>
        </w:tc>
        <w:tc>
          <w:tcPr>
            <w:tcW w:type="dxa" w:w="1176"/>
            <w:shd w:val="clear" w:color="auto" w:fill="D9E2F3"/>
          </w:tcPr>
          <w:p>
            <w:pPr>
              <w:jc w:val="center"/>
            </w:pPr>
            <w:r>
              <w:rPr>
                <w:b/>
                <w:sz w:val="20"/>
              </w:rPr>
              <w:t>2 622 735</w:t>
            </w:r>
          </w:p>
        </w:tc>
        <w:tc>
          <w:tcPr>
            <w:tcW w:type="dxa" w:w="1176"/>
            <w:shd w:val="clear" w:color="auto" w:fill="D9E2F3"/>
          </w:tcPr>
          <w:p>
            <w:pPr>
              <w:jc w:val="center"/>
            </w:pPr>
            <w:r>
              <w:rPr>
                <w:b/>
                <w:sz w:val="20"/>
              </w:rPr>
              <w:t>328 736</w:t>
            </w:r>
          </w:p>
        </w:tc>
        <w:tc>
          <w:tcPr>
            <w:tcW w:type="dxa" w:w="1176"/>
            <w:shd w:val="clear" w:color="auto" w:fill="D9E2F3"/>
          </w:tcPr>
          <w:p>
            <w:pPr>
              <w:jc w:val="center"/>
            </w:pPr>
            <w:r>
              <w:rPr>
                <w:b/>
                <w:sz w:val="20"/>
              </w:rPr>
              <w:t>3 223 884</w:t>
            </w:r>
          </w:p>
        </w:tc>
        <w:tc>
          <w:tcPr>
            <w:tcW w:type="dxa" w:w="1176"/>
            <w:shd w:val="clear" w:color="auto" w:fill="D9E2F3"/>
          </w:tcPr>
          <w:p>
            <w:pPr>
              <w:jc w:val="center"/>
            </w:pPr>
            <w:r>
              <w:rPr>
                <w:b/>
                <w:sz w:val="20"/>
              </w:rPr>
              <w:t>3 552 620</w:t>
            </w:r>
          </w:p>
        </w:tc>
        <w:tc>
          <w:tcPr>
            <w:tcW w:type="dxa" w:w="1176"/>
            <w:shd w:val="clear" w:color="auto" w:fill="D9E2F3"/>
          </w:tcPr>
          <w:p>
            <w:pPr>
              <w:jc w:val="center"/>
            </w:pPr>
            <w:r>
              <w:rPr>
                <w:b/>
                <w:sz w:val="20"/>
              </w:rPr>
              <w:t>62.8 %</w:t>
            </w:r>
          </w:p>
        </w:tc>
        <w:tc>
          <w:tcPr>
            <w:tcW w:type="dxa" w:w="1176"/>
            <w:shd w:val="clear" w:color="auto" w:fill="D9E2F3"/>
          </w:tcPr>
          <w:p>
            <w:pPr>
              <w:jc w:val="center"/>
            </w:pPr>
            <w:r>
              <w:rPr>
                <w:b/>
                <w:sz w:val="20"/>
              </w:rPr>
              <w:t>54.7 %</w:t>
            </w:r>
          </w:p>
        </w:tc>
      </w:tr>
      <w:tr>
        <w:tc>
          <w:tcPr>
            <w:tcW w:type="dxa" w:w="1176"/>
          </w:tcPr>
          <w:p>
            <w:pPr>
              <w:jc w:val="left"/>
            </w:pPr>
            <w:r>
              <w:rPr>
                <w:b/>
                <w:sz w:val="20"/>
              </w:rPr>
              <w:t>2°</w:t>
            </w:r>
          </w:p>
        </w:tc>
        <w:tc>
          <w:tcPr>
            <w:tcW w:type="dxa" w:w="1176"/>
          </w:tcPr>
          <w:p>
            <w:pPr>
              <w:jc w:val="center"/>
            </w:pPr>
            <w:r>
              <w:rPr>
                <w:sz w:val="20"/>
              </w:rPr>
              <w:t>PPO</w:t>
            </w:r>
          </w:p>
        </w:tc>
        <w:tc>
          <w:tcPr>
            <w:tcW w:type="dxa" w:w="1176"/>
          </w:tcPr>
          <w:p>
            <w:pPr>
              <w:jc w:val="center"/>
            </w:pPr>
            <w:r>
              <w:rPr>
                <w:sz w:val="20"/>
              </w:rPr>
              <w:t>2 787 040</w:t>
            </w:r>
          </w:p>
        </w:tc>
        <w:tc>
          <w:tcPr>
            <w:tcW w:type="dxa" w:w="1176"/>
          </w:tcPr>
          <w:p>
            <w:pPr>
              <w:jc w:val="center"/>
            </w:pPr>
            <w:r>
              <w:rPr>
                <w:sz w:val="20"/>
              </w:rPr>
              <w:t>334 103</w:t>
            </w:r>
          </w:p>
        </w:tc>
        <w:tc>
          <w:tcPr>
            <w:tcW w:type="dxa" w:w="1176"/>
          </w:tcPr>
          <w:p>
            <w:pPr>
              <w:jc w:val="center"/>
            </w:pPr>
            <w:r>
              <w:rPr>
                <w:sz w:val="20"/>
              </w:rPr>
              <w:t>3 052 176</w:t>
            </w:r>
          </w:p>
        </w:tc>
        <w:tc>
          <w:tcPr>
            <w:tcW w:type="dxa" w:w="1176"/>
          </w:tcPr>
          <w:p>
            <w:pPr>
              <w:jc w:val="center"/>
            </w:pPr>
            <w:r>
              <w:rPr>
                <w:sz w:val="20"/>
              </w:rPr>
              <w:t>3 386 279</w:t>
            </w:r>
          </w:p>
        </w:tc>
        <w:tc>
          <w:tcPr>
            <w:tcW w:type="dxa" w:w="1176"/>
          </w:tcPr>
          <w:p>
            <w:pPr>
              <w:jc w:val="center"/>
            </w:pPr>
            <w:r>
              <w:rPr>
                <w:sz w:val="20"/>
              </w:rPr>
              <w:t>60.5 %</w:t>
            </w:r>
          </w:p>
        </w:tc>
        <w:tc>
          <w:tcPr>
            <w:tcW w:type="dxa" w:w="1176"/>
          </w:tcPr>
          <w:p>
            <w:pPr>
              <w:jc w:val="center"/>
            </w:pPr>
            <w:r>
              <w:rPr>
                <w:sz w:val="20"/>
              </w:rPr>
              <w:t>51.9 %</w:t>
            </w:r>
          </w:p>
        </w:tc>
      </w:tr>
      <w:tr>
        <w:tc>
          <w:tcPr>
            <w:tcW w:type="dxa" w:w="1176"/>
          </w:tcPr>
          <w:p>
            <w:pPr>
              <w:jc w:val="left"/>
            </w:pPr>
            <w:r>
              <w:rPr>
                <w:b/>
                <w:sz w:val="20"/>
              </w:rPr>
              <w:t>3°</w:t>
            </w:r>
          </w:p>
        </w:tc>
        <w:tc>
          <w:tcPr>
            <w:tcW w:type="dxa" w:w="1176"/>
          </w:tcPr>
          <w:p>
            <w:pPr>
              <w:jc w:val="center"/>
            </w:pPr>
            <w:r>
              <w:rPr>
                <w:sz w:val="20"/>
              </w:rPr>
              <w:t>A2C</w:t>
            </w:r>
          </w:p>
        </w:tc>
        <w:tc>
          <w:tcPr>
            <w:tcW w:type="dxa" w:w="1176"/>
          </w:tcPr>
          <w:p>
            <w:pPr>
              <w:jc w:val="center"/>
            </w:pPr>
            <w:r>
              <w:rPr>
                <w:sz w:val="20"/>
              </w:rPr>
              <w:t>2 834 857</w:t>
            </w:r>
          </w:p>
        </w:tc>
        <w:tc>
          <w:tcPr>
            <w:tcW w:type="dxa" w:w="1176"/>
          </w:tcPr>
          <w:p>
            <w:pPr>
              <w:jc w:val="center"/>
            </w:pPr>
            <w:r>
              <w:rPr>
                <w:sz w:val="20"/>
              </w:rPr>
              <w:t>301 293</w:t>
            </w:r>
          </w:p>
        </w:tc>
        <w:tc>
          <w:tcPr>
            <w:tcW w:type="dxa" w:w="1176"/>
          </w:tcPr>
          <w:p>
            <w:pPr>
              <w:jc w:val="center"/>
            </w:pPr>
            <w:r>
              <w:rPr>
                <w:sz w:val="20"/>
              </w:rPr>
              <w:t>2 985 752</w:t>
            </w:r>
          </w:p>
        </w:tc>
        <w:tc>
          <w:tcPr>
            <w:tcW w:type="dxa" w:w="1176"/>
          </w:tcPr>
          <w:p>
            <w:pPr>
              <w:jc w:val="center"/>
            </w:pPr>
            <w:r>
              <w:rPr>
                <w:sz w:val="20"/>
              </w:rPr>
              <w:t>3 287 045</w:t>
            </w:r>
          </w:p>
        </w:tc>
        <w:tc>
          <w:tcPr>
            <w:tcW w:type="dxa" w:w="1176"/>
          </w:tcPr>
          <w:p>
            <w:pPr>
              <w:jc w:val="center"/>
            </w:pPr>
            <w:r>
              <w:rPr>
                <w:sz w:val="20"/>
              </w:rPr>
              <w:t>59.8 %</w:t>
            </w:r>
          </w:p>
        </w:tc>
        <w:tc>
          <w:tcPr>
            <w:tcW w:type="dxa" w:w="1176"/>
          </w:tcPr>
          <w:p>
            <w:pPr>
              <w:jc w:val="center"/>
            </w:pPr>
            <w:r>
              <w:rPr>
                <w:sz w:val="20"/>
              </w:rPr>
              <w:t>51.0 %</w:t>
            </w:r>
          </w:p>
        </w:tc>
      </w:tr>
      <w:tr>
        <w:tc>
          <w:tcPr>
            <w:tcW w:type="dxa" w:w="1176"/>
            <w:shd w:val="clear" w:color="auto" w:fill="D9E2F3"/>
          </w:tcPr>
          <w:p>
            <w:pPr>
              <w:jc w:val="left"/>
            </w:pPr>
            <w:r>
              <w:rPr>
                <w:b/>
                <w:sz w:val="20"/>
              </w:rPr>
              <w:t>SAC ★</w:t>
            </w:r>
          </w:p>
        </w:tc>
        <w:tc>
          <w:tcPr>
            <w:tcW w:type="dxa" w:w="1176"/>
            <w:shd w:val="clear" w:color="auto" w:fill="D9E2F3"/>
          </w:tcPr>
          <w:p>
            <w:pPr>
              <w:jc w:val="center"/>
            </w:pPr>
            <w:r>
              <w:rPr>
                <w:b/>
                <w:sz w:val="20"/>
              </w:rPr>
              <w:t>2 900 585</w:t>
            </w:r>
          </w:p>
        </w:tc>
        <w:tc>
          <w:tcPr>
            <w:tcW w:type="dxa" w:w="1176"/>
            <w:shd w:val="clear" w:color="auto" w:fill="D9E2F3"/>
          </w:tcPr>
          <w:p>
            <w:pPr>
              <w:jc w:val="center"/>
            </w:pPr>
            <w:r>
              <w:rPr>
                <w:b/>
                <w:sz w:val="20"/>
              </w:rPr>
              <w:t>2 624 189</w:t>
            </w:r>
          </w:p>
        </w:tc>
        <w:tc>
          <w:tcPr>
            <w:tcW w:type="dxa" w:w="1176"/>
            <w:shd w:val="clear" w:color="auto" w:fill="D9E2F3"/>
          </w:tcPr>
          <w:p>
            <w:pPr>
              <w:jc w:val="center"/>
            </w:pPr>
            <w:r>
              <w:rPr>
                <w:b/>
                <w:sz w:val="20"/>
              </w:rPr>
              <w:t>276,396</w:t>
            </w:r>
          </w:p>
        </w:tc>
        <w:tc>
          <w:tcPr>
            <w:tcW w:type="dxa" w:w="1176"/>
            <w:shd w:val="clear" w:color="auto" w:fill="D9E2F3"/>
          </w:tcPr>
          <w:p>
            <w:pPr>
              <w:jc w:val="center"/>
            </w:pPr>
            <w:r>
              <w:rPr>
                <w:b/>
                <w:sz w:val="20"/>
              </w:rPr>
              <w:t>9.53 %</w:t>
            </w:r>
          </w:p>
        </w:tc>
        <w:tc>
          <w:tcPr>
            <w:tcW w:type="dxa" w:w="1176"/>
          </w:tcPr>
          <w:p/>
        </w:tc>
        <w:tc>
          <w:tcPr>
            <w:tcW w:type="dxa" w:w="1176"/>
          </w:tcPr>
          <w:p/>
        </w:tc>
        <w:tc>
          <w:tcPr>
            <w:tcW w:type="dxa" w:w="1176"/>
          </w:tcPr>
          <w:p/>
        </w:tc>
      </w:tr>
    </w:tbl>
    <w:p/>
    <w:p>
      <w:pPr>
        <w:jc w:val="both"/>
      </w:pPr>
      <w:r>
        <w:rPr>
          <w:b w:val="0"/>
          <w:i w:val="0"/>
          <w:sz w:val="22"/>
        </w:rPr>
        <w:t>El SAC ocupa el primer lugar en la jerarquía ambiental con una reducción neta de 3 552 620 kg CO₂/año (62.8 % vs F₀). Esta superioridad se deriva de su capacidad off-policy para aprender de experiencias históricas almacenadas en un buffer de replay de 100 000 transiciones, lo que permite una exploración más eficiente del espacio de decisiones de despacho de 39 dimensiones continuas. La entropía adaptativa de SAC facilita la búsqueda de políticas diversificadas que evitan mínimos locales observados en los primeros 10 episodios del PPO.</w:t>
      </w:r>
    </w:p>
    <w:p>
      <w:pPr>
        <w:jc w:val="both"/>
      </w:pPr>
      <w:r>
        <w:rPr>
          <w:b w:val="0"/>
          <w:i w:val="0"/>
          <w:sz w:val="22"/>
        </w:rPr>
        <w:t>La reducción directa de CO₂ —por combustible vehicular evitado— es liderada por el PPO (334 103 kg/año) seguido del SAC (328 736 kg/año), mientras el A2C presenta la menor reducción directa (301 293 kg/año) por menor cobertura mototaxi. No obstante, el aporte directo representa solo entre el 8.6 % y el 9.9 % de la reducción neta total, siendo la reducción indirecta el componente dominante: entre 2 985 752 (A2C) y 3 223 884 kg CO₂/año (SAC).</w:t>
      </w:r>
    </w:p>
    <w:p>
      <w:pPr>
        <w:jc w:val="center"/>
      </w:pPr>
      <w:r>
        <w:rPr>
          <w:i/>
          <w:sz w:val="20"/>
        </w:rPr>
        <w:t>Tabla 5.3.3.2. Convergencia del entrenamiento: primeros 5 vs últimos 5 episodios (kg CO₂/año, F₂)</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Agente</w:t>
            </w:r>
          </w:p>
        </w:tc>
        <w:tc>
          <w:tcPr>
            <w:tcW w:type="dxa" w:w="1881"/>
            <w:shd w:val="clear" w:color="auto" w:fill="1F3864"/>
          </w:tcPr>
          <w:p>
            <w:pPr>
              <w:jc w:val="center"/>
            </w:pPr>
            <w:r>
              <w:rPr>
                <w:b/>
                <w:color w:val="FFFFFF"/>
                <w:sz w:val="20"/>
              </w:rPr>
              <w:t>Media ep. 1–5 (kg/año)</w:t>
            </w:r>
          </w:p>
        </w:tc>
        <w:tc>
          <w:tcPr>
            <w:tcW w:type="dxa" w:w="1881"/>
            <w:shd w:val="clear" w:color="auto" w:fill="1F3864"/>
          </w:tcPr>
          <w:p>
            <w:pPr>
              <w:jc w:val="center"/>
            </w:pPr>
            <w:r>
              <w:rPr>
                <w:b/>
                <w:color w:val="FFFFFF"/>
                <w:sz w:val="20"/>
              </w:rPr>
              <w:t>Media ep. 46–50 (kg/año)</w:t>
            </w:r>
          </w:p>
        </w:tc>
        <w:tc>
          <w:tcPr>
            <w:tcW w:type="dxa" w:w="1881"/>
            <w:shd w:val="clear" w:color="auto" w:fill="1F3864"/>
          </w:tcPr>
          <w:p>
            <w:pPr>
              <w:jc w:val="center"/>
            </w:pPr>
            <w:r>
              <w:rPr>
                <w:b/>
                <w:color w:val="FFFFFF"/>
                <w:sz w:val="20"/>
              </w:rPr>
              <w:t>Mejora absoluta (kg/año)</w:t>
            </w:r>
          </w:p>
        </w:tc>
        <w:tc>
          <w:tcPr>
            <w:tcW w:type="dxa" w:w="1881"/>
            <w:shd w:val="clear" w:color="auto" w:fill="1F3864"/>
          </w:tcPr>
          <w:p>
            <w:pPr>
              <w:jc w:val="center"/>
            </w:pPr>
            <w:r>
              <w:rPr>
                <w:b/>
                <w:color w:val="FFFFFF"/>
                <w:sz w:val="20"/>
              </w:rPr>
              <w:t>Mejora relativa (%)</w:t>
            </w:r>
          </w:p>
        </w:tc>
      </w:tr>
      <w:tr>
        <w:tc>
          <w:tcPr>
            <w:tcW w:type="dxa" w:w="1881"/>
          </w:tcPr>
          <w:p>
            <w:pPr>
              <w:jc w:val="left"/>
            </w:pPr>
            <w:r>
              <w:rPr>
                <w:b/>
                <w:sz w:val="20"/>
              </w:rPr>
              <w:t>SAC ★</w:t>
            </w:r>
          </w:p>
        </w:tc>
        <w:tc>
          <w:tcPr>
            <w:tcW w:type="dxa" w:w="1881"/>
          </w:tcPr>
          <w:p>
            <w:pPr>
              <w:jc w:val="center"/>
            </w:pPr>
            <w:r>
              <w:rPr>
                <w:sz w:val="20"/>
              </w:rPr>
              <w:t>2 900 585</w:t>
            </w:r>
          </w:p>
        </w:tc>
        <w:tc>
          <w:tcPr>
            <w:tcW w:type="dxa" w:w="1881"/>
          </w:tcPr>
          <w:p>
            <w:pPr>
              <w:jc w:val="center"/>
            </w:pPr>
            <w:r>
              <w:rPr>
                <w:sz w:val="20"/>
              </w:rPr>
              <w:t>2 624 189</w:t>
            </w:r>
          </w:p>
        </w:tc>
        <w:tc>
          <w:tcPr>
            <w:tcW w:type="dxa" w:w="1881"/>
          </w:tcPr>
          <w:p>
            <w:pPr>
              <w:jc w:val="center"/>
            </w:pPr>
            <w:r>
              <w:rPr>
                <w:sz w:val="20"/>
              </w:rPr>
              <w:t>276,396</w:t>
            </w:r>
          </w:p>
        </w:tc>
        <w:tc>
          <w:tcPr>
            <w:tcW w:type="dxa" w:w="1881"/>
          </w:tcPr>
          <w:p>
            <w:pPr>
              <w:jc w:val="center"/>
            </w:pPr>
            <w:r>
              <w:rPr>
                <w:sz w:val="20"/>
              </w:rPr>
              <w:t>9.53 %</w:t>
            </w:r>
          </w:p>
        </w:tc>
      </w:tr>
      <w:tr>
        <w:tc>
          <w:tcPr>
            <w:tcW w:type="dxa" w:w="1881"/>
          </w:tcPr>
          <w:p>
            <w:pPr>
              <w:jc w:val="left"/>
            </w:pPr>
            <w:r>
              <w:rPr>
                <w:b/>
                <w:sz w:val="20"/>
              </w:rPr>
              <w:t>PPO</w:t>
            </w:r>
          </w:p>
        </w:tc>
        <w:tc>
          <w:tcPr>
            <w:tcW w:type="dxa" w:w="1881"/>
          </w:tcPr>
          <w:p>
            <w:pPr>
              <w:jc w:val="center"/>
            </w:pPr>
            <w:r>
              <w:rPr>
                <w:sz w:val="20"/>
              </w:rPr>
              <w:t>3 092 783</w:t>
            </w:r>
          </w:p>
        </w:tc>
        <w:tc>
          <w:tcPr>
            <w:tcW w:type="dxa" w:w="1881"/>
          </w:tcPr>
          <w:p>
            <w:pPr>
              <w:jc w:val="center"/>
            </w:pPr>
            <w:r>
              <w:rPr>
                <w:sz w:val="20"/>
              </w:rPr>
              <w:t>2 796 266</w:t>
            </w:r>
          </w:p>
        </w:tc>
        <w:tc>
          <w:tcPr>
            <w:tcW w:type="dxa" w:w="1881"/>
          </w:tcPr>
          <w:p>
            <w:pPr>
              <w:jc w:val="center"/>
            </w:pPr>
            <w:r>
              <w:rPr>
                <w:sz w:val="20"/>
              </w:rPr>
              <w:t>296,517</w:t>
            </w:r>
          </w:p>
        </w:tc>
        <w:tc>
          <w:tcPr>
            <w:tcW w:type="dxa" w:w="1881"/>
          </w:tcPr>
          <w:p>
            <w:pPr>
              <w:jc w:val="center"/>
            </w:pPr>
            <w:r>
              <w:rPr>
                <w:sz w:val="20"/>
              </w:rPr>
              <w:t>9.59 %</w:t>
            </w:r>
          </w:p>
        </w:tc>
      </w:tr>
      <w:tr>
        <w:tc>
          <w:tcPr>
            <w:tcW w:type="dxa" w:w="1881"/>
          </w:tcPr>
          <w:p>
            <w:pPr>
              <w:jc w:val="left"/>
            </w:pPr>
            <w:r>
              <w:rPr>
                <w:b/>
                <w:sz w:val="20"/>
              </w:rPr>
              <w:t>A2C</w:t>
            </w:r>
          </w:p>
        </w:tc>
        <w:tc>
          <w:tcPr>
            <w:tcW w:type="dxa" w:w="1881"/>
          </w:tcPr>
          <w:p>
            <w:pPr>
              <w:jc w:val="center"/>
            </w:pPr>
            <w:r>
              <w:rPr>
                <w:sz w:val="20"/>
              </w:rPr>
              <w:t>2 862 349</w:t>
            </w:r>
          </w:p>
        </w:tc>
        <w:tc>
          <w:tcPr>
            <w:tcW w:type="dxa" w:w="1881"/>
          </w:tcPr>
          <w:p>
            <w:pPr>
              <w:jc w:val="center"/>
            </w:pPr>
            <w:r>
              <w:rPr>
                <w:sz w:val="20"/>
              </w:rPr>
              <w:t>2 839 805</w:t>
            </w:r>
          </w:p>
        </w:tc>
        <w:tc>
          <w:tcPr>
            <w:tcW w:type="dxa" w:w="1881"/>
          </w:tcPr>
          <w:p>
            <w:pPr>
              <w:jc w:val="center"/>
            </w:pPr>
            <w:r>
              <w:rPr>
                <w:sz w:val="20"/>
              </w:rPr>
              <w:t>22,544</w:t>
            </w:r>
          </w:p>
        </w:tc>
        <w:tc>
          <w:tcPr>
            <w:tcW w:type="dxa" w:w="1881"/>
          </w:tcPr>
          <w:p>
            <w:pPr>
              <w:jc w:val="center"/>
            </w:pPr>
            <w:r>
              <w:rPr>
                <w:sz w:val="20"/>
              </w:rPr>
              <w:t>0.79 %</w:t>
            </w:r>
          </w:p>
        </w:tc>
      </w:tr>
    </w:tbl>
    <w:p/>
    <w:p>
      <w:pPr>
        <w:jc w:val="both"/>
      </w:pPr>
      <w:r>
        <w:rPr>
          <w:b w:val="0"/>
          <w:i w:val="0"/>
          <w:sz w:val="22"/>
        </w:rPr>
        <w:t>El SAC y el PPO muestran convergencias episódicas similares (9.53 % y 9.59 % de mejora respectivamente entre los primeros 5 y los últimos 5 episodios), lo que confirma que ambos agentes off- y on-policy logran aprendizaje efectivo dentro del presupuesto de 438 000 pasos. El A2C, en cambio, prácticamente converge en los primeros 3 episodios (ep 3 es su óptimo), con solo 0.79 % de mejora adicional, comportamiento típico de agentes síncronos con n_steps pequeños (8 pasos) que explotan la política temprana sin refinamiento posterior.</w:t>
      </w:r>
    </w:p>
    <w:p>
      <w:pPr>
        <w:pStyle w:val="Heading3"/>
      </w:pPr>
      <w:r>
        <w:rPr>
          <w:b/>
          <w:sz w:val="24"/>
        </w:rPr>
        <w:t>5.3.4. Variabilidad, robustez y estabilidad del entrenamiento</w:t>
      </w:r>
    </w:p>
    <w:p>
      <w:pPr>
        <w:jc w:val="both"/>
      </w:pPr>
      <w:r>
        <w:rPr>
          <w:b w:val="0"/>
          <w:i w:val="0"/>
          <w:sz w:val="22"/>
        </w:rPr>
        <w:t>La estabilidad del entrenamiento se evalúa a través de dos indicadores principales: (a) el coeficiente de variación (CV) del plateau de entrenamiento —últimos 15 episodios— que cuantifica la dispersión relativa del F₂ una vez superada la fase de exploración, y (b) las violaciones acumuladas de restricción de deuda energética, que miden el incumplimiento de compromisos de carga en el horizonte episódico.</w:t>
      </w:r>
    </w:p>
    <w:p>
      <w:pPr>
        <w:jc w:val="both"/>
      </w:pPr>
      <w:r>
        <w:rPr>
          <w:b w:val="0"/>
          <w:i w:val="0"/>
          <w:sz w:val="22"/>
        </w:rPr>
        <w:t>Se aplicó la prueba de normalidad de Shapiro-Wilk sobre los 15 episodios del plateau para cada agente, obteniendo los resultados de la Tabla 5.3.4.1.</w:t>
      </w:r>
    </w:p>
    <w:p>
      <w:pPr>
        <w:jc w:val="center"/>
      </w:pPr>
      <w:r>
        <w:rPr>
          <w:i/>
          <w:sz w:val="20"/>
        </w:rPr>
        <w:t>Tabla 5.3.4.1. Prueba de Shapiro-Wilk sobre el plateau de entrenamiento (últimos 15 episodios por agente)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Agente</w:t>
            </w:r>
          </w:p>
        </w:tc>
        <w:tc>
          <w:tcPr>
            <w:tcW w:type="dxa" w:w="1881"/>
            <w:shd w:val="clear" w:color="auto" w:fill="1F3864"/>
          </w:tcPr>
          <w:p>
            <w:pPr>
              <w:jc w:val="center"/>
            </w:pPr>
            <w:r>
              <w:rPr>
                <w:b/>
                <w:color w:val="FFFFFF"/>
                <w:sz w:val="20"/>
              </w:rPr>
              <w:t>W (Shapiro-Wilk)</w:t>
            </w:r>
          </w:p>
        </w:tc>
        <w:tc>
          <w:tcPr>
            <w:tcW w:type="dxa" w:w="1881"/>
            <w:shd w:val="clear" w:color="auto" w:fill="1F3864"/>
          </w:tcPr>
          <w:p>
            <w:pPr>
              <w:jc w:val="center"/>
            </w:pPr>
            <w:r>
              <w:rPr>
                <w:b/>
                <w:color w:val="FFFFFF"/>
                <w:sz w:val="20"/>
              </w:rPr>
              <w:t>p-valor</w:t>
            </w:r>
          </w:p>
        </w:tc>
        <w:tc>
          <w:tcPr>
            <w:tcW w:type="dxa" w:w="1881"/>
            <w:shd w:val="clear" w:color="auto" w:fill="1F3864"/>
          </w:tcPr>
          <w:p>
            <w:pPr>
              <w:jc w:val="center"/>
            </w:pPr>
            <w:r>
              <w:rPr>
                <w:b/>
                <w:color w:val="FFFFFF"/>
                <w:sz w:val="20"/>
              </w:rPr>
              <w:t>Distribución</w:t>
            </w:r>
          </w:p>
        </w:tc>
        <w:tc>
          <w:tcPr>
            <w:tcW w:type="dxa" w:w="1881"/>
            <w:shd w:val="clear" w:color="auto" w:fill="1F3864"/>
          </w:tcPr>
          <w:p>
            <w:pPr>
              <w:jc w:val="center"/>
            </w:pPr>
            <w:r>
              <w:rPr>
                <w:b/>
                <w:color w:val="FFFFFF"/>
                <w:sz w:val="20"/>
              </w:rPr>
              <w:t>CV plateau (%)</w:t>
            </w:r>
          </w:p>
        </w:tc>
      </w:tr>
      <w:tr>
        <w:tc>
          <w:tcPr>
            <w:tcW w:type="dxa" w:w="1881"/>
            <w:shd w:val="clear" w:color="auto" w:fill="D9E2F3"/>
          </w:tcPr>
          <w:p>
            <w:pPr>
              <w:jc w:val="left"/>
            </w:pPr>
            <w:r>
              <w:rPr>
                <w:b/>
                <w:sz w:val="20"/>
              </w:rPr>
              <w:t>SAC ★</w:t>
            </w:r>
          </w:p>
        </w:tc>
        <w:tc>
          <w:tcPr>
            <w:tcW w:type="dxa" w:w="1881"/>
            <w:shd w:val="clear" w:color="auto" w:fill="D9E2F3"/>
          </w:tcPr>
          <w:p>
            <w:pPr>
              <w:jc w:val="center"/>
            </w:pPr>
            <w:r>
              <w:rPr>
                <w:b/>
                <w:sz w:val="20"/>
              </w:rPr>
              <w:t>0.9752</w:t>
            </w:r>
          </w:p>
        </w:tc>
        <w:tc>
          <w:tcPr>
            <w:tcW w:type="dxa" w:w="1881"/>
            <w:shd w:val="clear" w:color="auto" w:fill="D9E2F3"/>
          </w:tcPr>
          <w:p>
            <w:pPr>
              <w:jc w:val="center"/>
            </w:pPr>
            <w:r>
              <w:rPr>
                <w:b/>
                <w:sz w:val="20"/>
              </w:rPr>
              <w:t>0.9259</w:t>
            </w:r>
          </w:p>
        </w:tc>
        <w:tc>
          <w:tcPr>
            <w:tcW w:type="dxa" w:w="1881"/>
            <w:shd w:val="clear" w:color="auto" w:fill="D9E2F3"/>
          </w:tcPr>
          <w:p>
            <w:pPr>
              <w:jc w:val="center"/>
            </w:pPr>
            <w:r>
              <w:rPr>
                <w:b/>
                <w:sz w:val="20"/>
              </w:rPr>
              <w:t>Normal (p &gt; 0.05)</w:t>
            </w:r>
          </w:p>
        </w:tc>
        <w:tc>
          <w:tcPr>
            <w:tcW w:type="dxa" w:w="1881"/>
            <w:shd w:val="clear" w:color="auto" w:fill="D9E2F3"/>
          </w:tcPr>
          <w:p>
            <w:pPr>
              <w:jc w:val="center"/>
            </w:pPr>
            <w:r>
              <w:rPr>
                <w:b/>
                <w:sz w:val="20"/>
              </w:rPr>
              <w:t>0.058 %</w:t>
            </w:r>
          </w:p>
        </w:tc>
      </w:tr>
      <w:tr>
        <w:tc>
          <w:tcPr>
            <w:tcW w:type="dxa" w:w="1881"/>
          </w:tcPr>
          <w:p>
            <w:pPr>
              <w:jc w:val="left"/>
            </w:pPr>
            <w:r>
              <w:rPr>
                <w:b/>
                <w:sz w:val="20"/>
              </w:rPr>
              <w:t>PPO</w:t>
            </w:r>
          </w:p>
        </w:tc>
        <w:tc>
          <w:tcPr>
            <w:tcW w:type="dxa" w:w="1881"/>
          </w:tcPr>
          <w:p>
            <w:pPr>
              <w:jc w:val="center"/>
            </w:pPr>
            <w:r>
              <w:rPr>
                <w:sz w:val="20"/>
              </w:rPr>
              <w:t>0.9897</w:t>
            </w:r>
          </w:p>
        </w:tc>
        <w:tc>
          <w:tcPr>
            <w:tcW w:type="dxa" w:w="1881"/>
          </w:tcPr>
          <w:p>
            <w:pPr>
              <w:jc w:val="center"/>
            </w:pPr>
            <w:r>
              <w:rPr>
                <w:sz w:val="20"/>
              </w:rPr>
              <w:t>0.9993</w:t>
            </w:r>
          </w:p>
        </w:tc>
        <w:tc>
          <w:tcPr>
            <w:tcW w:type="dxa" w:w="1881"/>
          </w:tcPr>
          <w:p>
            <w:pPr>
              <w:jc w:val="center"/>
            </w:pPr>
            <w:r>
              <w:rPr>
                <w:sz w:val="20"/>
              </w:rPr>
              <w:t>Normal (p &gt; 0.05)</w:t>
            </w:r>
          </w:p>
        </w:tc>
        <w:tc>
          <w:tcPr>
            <w:tcW w:type="dxa" w:w="1881"/>
          </w:tcPr>
          <w:p>
            <w:pPr>
              <w:jc w:val="center"/>
            </w:pPr>
            <w:r>
              <w:rPr>
                <w:sz w:val="20"/>
              </w:rPr>
              <w:t>0.195 %</w:t>
            </w:r>
          </w:p>
        </w:tc>
      </w:tr>
      <w:tr>
        <w:tc>
          <w:tcPr>
            <w:tcW w:type="dxa" w:w="1881"/>
          </w:tcPr>
          <w:p>
            <w:pPr>
              <w:jc w:val="left"/>
            </w:pPr>
            <w:r>
              <w:rPr>
                <w:b/>
                <w:sz w:val="20"/>
              </w:rPr>
              <w:t>A2C</w:t>
            </w:r>
          </w:p>
        </w:tc>
        <w:tc>
          <w:tcPr>
            <w:tcW w:type="dxa" w:w="1881"/>
          </w:tcPr>
          <w:p>
            <w:pPr>
              <w:jc w:val="center"/>
            </w:pPr>
            <w:r>
              <w:rPr>
                <w:sz w:val="20"/>
              </w:rPr>
              <w:t>0.9348</w:t>
            </w:r>
          </w:p>
        </w:tc>
        <w:tc>
          <w:tcPr>
            <w:tcW w:type="dxa" w:w="1881"/>
          </w:tcPr>
          <w:p>
            <w:pPr>
              <w:jc w:val="center"/>
            </w:pPr>
            <w:r>
              <w:rPr>
                <w:sz w:val="20"/>
              </w:rPr>
              <w:t>0.3211</w:t>
            </w:r>
          </w:p>
        </w:tc>
        <w:tc>
          <w:tcPr>
            <w:tcW w:type="dxa" w:w="1881"/>
          </w:tcPr>
          <w:p>
            <w:pPr>
              <w:jc w:val="center"/>
            </w:pPr>
            <w:r>
              <w:rPr>
                <w:sz w:val="20"/>
              </w:rPr>
              <w:t>Normal (p &gt; 0.05)</w:t>
            </w:r>
          </w:p>
        </w:tc>
        <w:tc>
          <w:tcPr>
            <w:tcW w:type="dxa" w:w="1881"/>
          </w:tcPr>
          <w:p>
            <w:pPr>
              <w:jc w:val="center"/>
            </w:pPr>
            <w:r>
              <w:rPr>
                <w:sz w:val="20"/>
              </w:rPr>
              <w:t>0.056 %</w:t>
            </w:r>
          </w:p>
        </w:tc>
      </w:tr>
    </w:tbl>
    <w:p/>
    <w:p>
      <w:pPr>
        <w:jc w:val="both"/>
      </w:pPr>
      <w:r>
        <w:rPr>
          <w:b w:val="0"/>
          <w:i w:val="0"/>
          <w:sz w:val="22"/>
        </w:rPr>
        <w:t>Los tres agentes presentan distribución normal en el plateau (p &gt; 0.05, Shapiro-Wilk), lo que indica que el proceso de entrenamiento ha alcanzado un régimen estacionario en los últimos 15 episodios. El CV del SAC (0.058 %) y del A2C (0.056 %) son prácticamente idénticos y significativamente menores al del PPO (0.195 %), reflejando mayor estabilidad episódica de SAC y A2C en la fase de explotación. No obstante, la similitud de CV entre SAC y A2C no implica equivalencia de desempeño: el SAC es estable en un mínimo de F₂ = 2 622 735 kg/año, mientras que el A2C es estable pero en un nivel de CO₂ sensiblemente superior (2 834 857 kg/año).</w:t>
      </w:r>
    </w:p>
    <w:p>
      <w:pPr>
        <w:jc w:val="both"/>
      </w:pPr>
      <w:r>
        <w:rPr>
          <w:b w:val="0"/>
          <w:i w:val="0"/>
          <w:sz w:val="22"/>
        </w:rPr>
        <w:t>La robustez ante violaciones de restricción EV se evalúa mediante el conteo de episodios-hora con incumplimiento de deuda energética (Tabla 5.3.4.2). El episodio óptimo del SAC registra 0 violaciones, mientras que su acumulado completo (50 episodios) suma 1 029 casos, concentrados principalmente en la fase de exploración temprana (episodios 1–15 con max_ep = 364).</w:t>
      </w:r>
    </w:p>
    <w:p>
      <w:pPr>
        <w:jc w:val="center"/>
      </w:pPr>
      <w:r>
        <w:rPr>
          <w:i/>
          <w:sz w:val="20"/>
        </w:rPr>
        <w:t>Tabla 5.3.4.2. Robustez ante violaciones de restricción de deuda energética EV (50 episodios de entrenamiento)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Agente</w:t>
            </w:r>
          </w:p>
        </w:tc>
        <w:tc>
          <w:tcPr>
            <w:tcW w:type="dxa" w:w="1881"/>
            <w:shd w:val="clear" w:color="auto" w:fill="1F3864"/>
          </w:tcPr>
          <w:p>
            <w:pPr>
              <w:jc w:val="center"/>
            </w:pPr>
            <w:r>
              <w:rPr>
                <w:b/>
                <w:color w:val="FFFFFF"/>
                <w:sz w:val="20"/>
              </w:rPr>
              <w:t>Violaciones ep. óptimo</w:t>
            </w:r>
          </w:p>
        </w:tc>
        <w:tc>
          <w:tcPr>
            <w:tcW w:type="dxa" w:w="1881"/>
            <w:shd w:val="clear" w:color="auto" w:fill="1F3864"/>
          </w:tcPr>
          <w:p>
            <w:pPr>
              <w:jc w:val="center"/>
            </w:pPr>
            <w:r>
              <w:rPr>
                <w:b/>
                <w:color w:val="FFFFFF"/>
                <w:sz w:val="20"/>
              </w:rPr>
              <w:t>Violaciones totales</w:t>
              <w:br/>
              <w:t>(50 eps)</w:t>
            </w:r>
          </w:p>
        </w:tc>
        <w:tc>
          <w:tcPr>
            <w:tcW w:type="dxa" w:w="1881"/>
            <w:shd w:val="clear" w:color="auto" w:fill="1F3864"/>
          </w:tcPr>
          <w:p>
            <w:pPr>
              <w:jc w:val="center"/>
            </w:pPr>
            <w:r>
              <w:rPr>
                <w:b/>
                <w:color w:val="FFFFFF"/>
                <w:sz w:val="20"/>
              </w:rPr>
              <w:t>Máx. ep. único</w:t>
            </w:r>
          </w:p>
        </w:tc>
        <w:tc>
          <w:tcPr>
            <w:tcW w:type="dxa" w:w="1881"/>
            <w:shd w:val="clear" w:color="auto" w:fill="1F3864"/>
          </w:tcPr>
          <w:p>
            <w:pPr>
              <w:jc w:val="center"/>
            </w:pPr>
            <w:r>
              <w:rPr>
                <w:b/>
                <w:color w:val="FFFFFF"/>
                <w:sz w:val="20"/>
              </w:rPr>
              <w:t>Fase concentrada</w:t>
            </w:r>
          </w:p>
        </w:tc>
      </w:tr>
      <w:tr>
        <w:tc>
          <w:tcPr>
            <w:tcW w:type="dxa" w:w="1881"/>
            <w:shd w:val="clear" w:color="auto" w:fill="D9E2F3"/>
          </w:tcPr>
          <w:p>
            <w:pPr>
              <w:jc w:val="left"/>
            </w:pPr>
            <w:r>
              <w:rPr>
                <w:b/>
                <w:sz w:val="20"/>
              </w:rPr>
              <w:t>SAC ★</w:t>
            </w:r>
          </w:p>
        </w:tc>
        <w:tc>
          <w:tcPr>
            <w:tcW w:type="dxa" w:w="1881"/>
            <w:shd w:val="clear" w:color="auto" w:fill="D9E2F3"/>
          </w:tcPr>
          <w:p>
            <w:pPr>
              <w:jc w:val="center"/>
            </w:pPr>
            <w:r>
              <w:rPr>
                <w:b/>
                <w:sz w:val="20"/>
              </w:rPr>
              <w:t>0</w:t>
            </w:r>
          </w:p>
        </w:tc>
        <w:tc>
          <w:tcPr>
            <w:tcW w:type="dxa" w:w="1881"/>
            <w:shd w:val="clear" w:color="auto" w:fill="D9E2F3"/>
          </w:tcPr>
          <w:p>
            <w:pPr>
              <w:jc w:val="center"/>
            </w:pPr>
            <w:r>
              <w:rPr>
                <w:b/>
                <w:sz w:val="20"/>
              </w:rPr>
              <w:t>1 029</w:t>
            </w:r>
          </w:p>
        </w:tc>
        <w:tc>
          <w:tcPr>
            <w:tcW w:type="dxa" w:w="1881"/>
            <w:shd w:val="clear" w:color="auto" w:fill="D9E2F3"/>
          </w:tcPr>
          <w:p>
            <w:pPr>
              <w:jc w:val="center"/>
            </w:pPr>
            <w:r>
              <w:rPr>
                <w:b/>
                <w:sz w:val="20"/>
              </w:rPr>
              <w:t>364</w:t>
            </w:r>
          </w:p>
        </w:tc>
        <w:tc>
          <w:tcPr>
            <w:tcW w:type="dxa" w:w="1881"/>
            <w:shd w:val="clear" w:color="auto" w:fill="D9E2F3"/>
          </w:tcPr>
          <w:p>
            <w:pPr>
              <w:jc w:val="center"/>
            </w:pPr>
            <w:r>
              <w:rPr>
                <w:b/>
                <w:sz w:val="20"/>
              </w:rPr>
              <w:t>Exploración temprana (ep 1–15)</w:t>
            </w:r>
          </w:p>
        </w:tc>
      </w:tr>
      <w:tr>
        <w:tc>
          <w:tcPr>
            <w:tcW w:type="dxa" w:w="1881"/>
          </w:tcPr>
          <w:p>
            <w:pPr>
              <w:jc w:val="left"/>
            </w:pPr>
            <w:r>
              <w:rPr>
                <w:b/>
                <w:sz w:val="20"/>
              </w:rPr>
              <w:t>PPO</w:t>
            </w:r>
          </w:p>
        </w:tc>
        <w:tc>
          <w:tcPr>
            <w:tcW w:type="dxa" w:w="1881"/>
          </w:tcPr>
          <w:p>
            <w:pPr>
              <w:jc w:val="center"/>
            </w:pPr>
            <w:r>
              <w:rPr>
                <w:sz w:val="20"/>
              </w:rPr>
              <w:t>0</w:t>
            </w:r>
          </w:p>
        </w:tc>
        <w:tc>
          <w:tcPr>
            <w:tcW w:type="dxa" w:w="1881"/>
          </w:tcPr>
          <w:p>
            <w:pPr>
              <w:jc w:val="center"/>
            </w:pPr>
            <w:r>
              <w:rPr>
                <w:sz w:val="20"/>
              </w:rPr>
              <w:t>2 605</w:t>
            </w:r>
          </w:p>
        </w:tc>
        <w:tc>
          <w:tcPr>
            <w:tcW w:type="dxa" w:w="1881"/>
          </w:tcPr>
          <w:p>
            <w:pPr>
              <w:jc w:val="center"/>
            </w:pPr>
            <w:r>
              <w:rPr>
                <w:sz w:val="20"/>
              </w:rPr>
              <w:t>364</w:t>
            </w:r>
          </w:p>
        </w:tc>
        <w:tc>
          <w:tcPr>
            <w:tcW w:type="dxa" w:w="1881"/>
          </w:tcPr>
          <w:p>
            <w:pPr>
              <w:jc w:val="center"/>
            </w:pPr>
            <w:r>
              <w:rPr>
                <w:sz w:val="20"/>
              </w:rPr>
              <w:t>Exploración temprana + media (ep 1–30)</w:t>
            </w:r>
          </w:p>
        </w:tc>
      </w:tr>
      <w:tr>
        <w:tc>
          <w:tcPr>
            <w:tcW w:type="dxa" w:w="1881"/>
          </w:tcPr>
          <w:p>
            <w:pPr>
              <w:jc w:val="left"/>
            </w:pPr>
            <w:r>
              <w:rPr>
                <w:b/>
                <w:sz w:val="20"/>
              </w:rPr>
              <w:t>A2C</w:t>
            </w:r>
          </w:p>
        </w:tc>
        <w:tc>
          <w:tcPr>
            <w:tcW w:type="dxa" w:w="1881"/>
          </w:tcPr>
          <w:p>
            <w:pPr>
              <w:jc w:val="center"/>
            </w:pPr>
            <w:r>
              <w:rPr>
                <w:sz w:val="20"/>
              </w:rPr>
              <w:t>— *</w:t>
            </w:r>
          </w:p>
        </w:tc>
        <w:tc>
          <w:tcPr>
            <w:tcW w:type="dxa" w:w="1881"/>
          </w:tcPr>
          <w:p>
            <w:pPr>
              <w:jc w:val="center"/>
            </w:pPr>
            <w:r>
              <w:rPr>
                <w:sz w:val="20"/>
              </w:rPr>
              <w:t>1 181</w:t>
            </w:r>
          </w:p>
        </w:tc>
        <w:tc>
          <w:tcPr>
            <w:tcW w:type="dxa" w:w="1881"/>
          </w:tcPr>
          <w:p>
            <w:pPr>
              <w:jc w:val="center"/>
            </w:pPr>
            <w:r>
              <w:rPr>
                <w:sz w:val="20"/>
              </w:rPr>
              <w:t>361</w:t>
            </w:r>
          </w:p>
        </w:tc>
        <w:tc>
          <w:tcPr>
            <w:tcW w:type="dxa" w:w="1881"/>
          </w:tcPr>
          <w:p>
            <w:pPr>
              <w:jc w:val="center"/>
            </w:pPr>
            <w:r>
              <w:rPr>
                <w:sz w:val="20"/>
              </w:rPr>
              <w:t>Distribuida (ep 1–50)</w:t>
            </w:r>
          </w:p>
        </w:tc>
      </w:tr>
    </w:tbl>
    <w:p/>
    <w:p>
      <w:pPr>
        <w:jc w:val="both"/>
      </w:pPr>
      <w:r>
        <w:rPr>
          <w:b w:val="0"/>
          <w:i w:val="0"/>
          <w:sz w:val="22"/>
        </w:rPr>
        <w:t>Nota: (*) El episodio óptimo del A2C (ep 3) corresponde a la fase inicial, con violaciones residuales distribuidas. Las violaciones del PPO (2 605 totales) más que duplican las del SAC (1 029), indicando menor cumplimiento de restricciones operativas en su mecanismo on-policy de actualización de política.</w:t>
      </w:r>
    </w:p>
    <w:p>
      <w:pPr>
        <w:jc w:val="center"/>
      </w:pPr>
      <w:r>
        <w:rPr>
          <w:i/>
          <w:sz w:val="20"/>
        </w:rPr>
        <w:t>Tabla 5.3.4.3. Pruebas estadísticas comparativas inter-agentes (Mann-Whitney U, 50 episodios c/u, hipótesis one-tailed: F₂ agente_i &lt; F₂ agente_j)</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Contraste</w:t>
            </w:r>
          </w:p>
        </w:tc>
        <w:tc>
          <w:tcPr>
            <w:tcW w:type="dxa" w:w="1881"/>
            <w:shd w:val="clear" w:color="auto" w:fill="1F3864"/>
          </w:tcPr>
          <w:p>
            <w:pPr>
              <w:jc w:val="center"/>
            </w:pPr>
            <w:r>
              <w:rPr>
                <w:b/>
                <w:color w:val="FFFFFF"/>
                <w:sz w:val="20"/>
              </w:rPr>
              <w:t>U estadístico</w:t>
            </w:r>
          </w:p>
        </w:tc>
        <w:tc>
          <w:tcPr>
            <w:tcW w:type="dxa" w:w="1881"/>
            <w:shd w:val="clear" w:color="auto" w:fill="1F3864"/>
          </w:tcPr>
          <w:p>
            <w:pPr>
              <w:jc w:val="center"/>
            </w:pPr>
            <w:r>
              <w:rPr>
                <w:b/>
                <w:color w:val="FFFFFF"/>
                <w:sz w:val="20"/>
              </w:rPr>
              <w:t>p-valor</w:t>
            </w:r>
          </w:p>
        </w:tc>
        <w:tc>
          <w:tcPr>
            <w:tcW w:type="dxa" w:w="1881"/>
            <w:shd w:val="clear" w:color="auto" w:fill="1F3864"/>
          </w:tcPr>
          <w:p>
            <w:pPr>
              <w:jc w:val="center"/>
            </w:pPr>
            <w:r>
              <w:rPr>
                <w:b/>
                <w:color w:val="FFFFFF"/>
                <w:sz w:val="20"/>
              </w:rPr>
              <w:t>r (tamaño efecto)</w:t>
            </w:r>
          </w:p>
        </w:tc>
        <w:tc>
          <w:tcPr>
            <w:tcW w:type="dxa" w:w="1881"/>
            <w:shd w:val="clear" w:color="auto" w:fill="1F3864"/>
          </w:tcPr>
          <w:p>
            <w:pPr>
              <w:jc w:val="center"/>
            </w:pPr>
            <w:r>
              <w:rPr>
                <w:b/>
                <w:color w:val="FFFFFF"/>
                <w:sz w:val="20"/>
              </w:rPr>
              <w:t>Conclusión</w:t>
            </w:r>
          </w:p>
        </w:tc>
      </w:tr>
      <w:tr>
        <w:tc>
          <w:tcPr>
            <w:tcW w:type="dxa" w:w="1881"/>
          </w:tcPr>
          <w:p>
            <w:pPr>
              <w:jc w:val="left"/>
            </w:pPr>
            <w:r>
              <w:rPr>
                <w:b/>
                <w:sz w:val="20"/>
              </w:rPr>
              <w:t>SAC &lt; PPO</w:t>
            </w:r>
          </w:p>
        </w:tc>
        <w:tc>
          <w:tcPr>
            <w:tcW w:type="dxa" w:w="1881"/>
          </w:tcPr>
          <w:p>
            <w:pPr>
              <w:jc w:val="center"/>
            </w:pPr>
            <w:r>
              <w:rPr>
                <w:sz w:val="20"/>
              </w:rPr>
              <w:t>121</w:t>
            </w:r>
          </w:p>
        </w:tc>
        <w:tc>
          <w:tcPr>
            <w:tcW w:type="dxa" w:w="1881"/>
          </w:tcPr>
          <w:p>
            <w:pPr>
              <w:jc w:val="center"/>
            </w:pPr>
            <w:r>
              <w:rPr>
                <w:sz w:val="20"/>
              </w:rPr>
              <w:t>3.636×10⁻¹⁵</w:t>
            </w:r>
          </w:p>
        </w:tc>
        <w:tc>
          <w:tcPr>
            <w:tcW w:type="dxa" w:w="1881"/>
          </w:tcPr>
          <w:p>
            <w:pPr>
              <w:jc w:val="center"/>
            </w:pPr>
            <w:r>
              <w:rPr>
                <w:sz w:val="20"/>
              </w:rPr>
              <w:t>0.048</w:t>
            </w:r>
          </w:p>
        </w:tc>
        <w:tc>
          <w:tcPr>
            <w:tcW w:type="dxa" w:w="1881"/>
          </w:tcPr>
          <w:p>
            <w:pPr>
              <w:jc w:val="center"/>
            </w:pPr>
            <w:r>
              <w:rPr>
                <w:sz w:val="20"/>
              </w:rPr>
              <w:t>SAC significativamente mejor (p&lt;0.001)</w:t>
            </w:r>
          </w:p>
        </w:tc>
      </w:tr>
      <w:tr>
        <w:tc>
          <w:tcPr>
            <w:tcW w:type="dxa" w:w="1881"/>
          </w:tcPr>
          <w:p>
            <w:pPr>
              <w:jc w:val="left"/>
            </w:pPr>
            <w:r>
              <w:rPr>
                <w:b/>
                <w:sz w:val="20"/>
              </w:rPr>
              <w:t>SAC &lt; A2C</w:t>
            </w:r>
          </w:p>
        </w:tc>
        <w:tc>
          <w:tcPr>
            <w:tcW w:type="dxa" w:w="1881"/>
          </w:tcPr>
          <w:p>
            <w:pPr>
              <w:jc w:val="center"/>
            </w:pPr>
            <w:r>
              <w:rPr>
                <w:sz w:val="20"/>
              </w:rPr>
              <w:t>149</w:t>
            </w:r>
          </w:p>
        </w:tc>
        <w:tc>
          <w:tcPr>
            <w:tcW w:type="dxa" w:w="1881"/>
          </w:tcPr>
          <w:p>
            <w:pPr>
              <w:jc w:val="center"/>
            </w:pPr>
            <w:r>
              <w:rPr>
                <w:sz w:val="20"/>
              </w:rPr>
              <w:t>1.641×10⁻¹⁴</w:t>
            </w:r>
          </w:p>
        </w:tc>
        <w:tc>
          <w:tcPr>
            <w:tcW w:type="dxa" w:w="1881"/>
          </w:tcPr>
          <w:p>
            <w:pPr>
              <w:jc w:val="center"/>
            </w:pPr>
            <w:r>
              <w:rPr>
                <w:sz w:val="20"/>
              </w:rPr>
              <w:t>0.060</w:t>
            </w:r>
          </w:p>
        </w:tc>
        <w:tc>
          <w:tcPr>
            <w:tcW w:type="dxa" w:w="1881"/>
          </w:tcPr>
          <w:p>
            <w:pPr>
              <w:jc w:val="center"/>
            </w:pPr>
            <w:r>
              <w:rPr>
                <w:sz w:val="20"/>
              </w:rPr>
              <w:t>SAC significativamente mejor (p&lt;0.001)</w:t>
            </w:r>
          </w:p>
        </w:tc>
      </w:tr>
      <w:tr>
        <w:tc>
          <w:tcPr>
            <w:tcW w:type="dxa" w:w="1881"/>
          </w:tcPr>
          <w:p>
            <w:pPr>
              <w:jc w:val="left"/>
            </w:pPr>
            <w:r>
              <w:rPr>
                <w:b/>
                <w:sz w:val="20"/>
              </w:rPr>
              <w:t>PPO &lt; A2C</w:t>
            </w:r>
          </w:p>
        </w:tc>
        <w:tc>
          <w:tcPr>
            <w:tcW w:type="dxa" w:w="1881"/>
          </w:tcPr>
          <w:p>
            <w:pPr>
              <w:jc w:val="center"/>
            </w:pPr>
            <w:r>
              <w:rPr>
                <w:sz w:val="20"/>
              </w:rPr>
              <w:t>885</w:t>
            </w:r>
          </w:p>
        </w:tc>
        <w:tc>
          <w:tcPr>
            <w:tcW w:type="dxa" w:w="1881"/>
          </w:tcPr>
          <w:p>
            <w:pPr>
              <w:jc w:val="center"/>
            </w:pPr>
            <w:r>
              <w:rPr>
                <w:sz w:val="20"/>
              </w:rPr>
              <w:t xml:space="preserve">5.989×10⁻³  </w:t>
            </w:r>
          </w:p>
        </w:tc>
        <w:tc>
          <w:tcPr>
            <w:tcW w:type="dxa" w:w="1881"/>
          </w:tcPr>
          <w:p>
            <w:pPr>
              <w:jc w:val="center"/>
            </w:pPr>
            <w:r>
              <w:rPr>
                <w:sz w:val="20"/>
              </w:rPr>
              <w:t>0.354</w:t>
            </w:r>
          </w:p>
        </w:tc>
        <w:tc>
          <w:tcPr>
            <w:tcW w:type="dxa" w:w="1881"/>
          </w:tcPr>
          <w:p>
            <w:pPr>
              <w:jc w:val="center"/>
            </w:pPr>
            <w:r>
              <w:rPr>
                <w:sz w:val="20"/>
              </w:rPr>
              <w:t>PPO mejor (p&lt;0.01), efecto moderado</w:t>
            </w:r>
          </w:p>
        </w:tc>
      </w:tr>
    </w:tbl>
    <w:p/>
    <w:p>
      <w:pPr>
        <w:jc w:val="both"/>
      </w:pPr>
      <w:r>
        <w:rPr>
          <w:b w:val="0"/>
          <w:i w:val="0"/>
          <w:sz w:val="22"/>
        </w:rPr>
        <w:t>El Kruskal-Wallis sobre los tres grupos (n = 50 cada uno) arrojó H = 81.65, p = 1.861×10⁻¹⁸, confirmando diferencias globales altamente significativas (α = 0.001) entre los tres agentes. Las pruebas post-hoc de Mann-Whitney confirman que SAC supera significativamente a PPO (p = 3.636×10⁻¹⁵) y a A2C (p = 1.641×10⁻¹⁴), con tamaños de efecto pequeños (r &lt; 0.10), consistentes con diferencias de nivel —no de distribución— entre agentes bien entrenados.</w:t>
      </w:r>
    </w:p>
    <w:p>
      <w:pPr>
        <w:pStyle w:val="Heading3"/>
      </w:pPr>
      <w:r>
        <w:rPr>
          <w:b/>
          <w:sz w:val="24"/>
        </w:rPr>
        <w:t>5.3.5. Selección final del agente inteligente y contribución ambiental consolidada</w:t>
      </w:r>
    </w:p>
    <w:p>
      <w:pPr>
        <w:jc w:val="both"/>
      </w:pPr>
      <w:r>
        <w:rPr>
          <w:b w:val="0"/>
          <w:i w:val="0"/>
          <w:sz w:val="22"/>
        </w:rPr>
        <w:t>Con base en los resultados descriptivos (sección 5.1), inferenciales (sección 5.2) y estadísticos específicos al RL (secciones 5.3.1–5.3.4), se procede a la selección formal del agente de inteligencia artificial para la gestión de la infraestructura de carga inteligente en el proyecto pvbesscar.</w:t>
      </w:r>
    </w:p>
    <w:p>
      <w:pPr>
        <w:jc w:val="both"/>
      </w:pPr>
      <w:r>
        <w:rPr>
          <w:b w:val="0"/>
          <w:i w:val="0"/>
          <w:sz w:val="22"/>
        </w:rPr>
        <w:t>La selección se fundamenta en una matriz multicriterio que pondera: (1) desempeño ambiental máximo (F₂ mín), (2) desempeño sostenido (F₂ media y CV plateau), (3) cobertura de demanda EV, (4) robustez operativa (violaciones), y (5) convergencia del entrenamiento. La Tabla 5.3.5.1 presenta la matriz de decisión final.</w:t>
      </w:r>
    </w:p>
    <w:p>
      <w:pPr>
        <w:jc w:val="center"/>
      </w:pPr>
      <w:r>
        <w:rPr>
          <w:i/>
          <w:sz w:val="20"/>
        </w:rPr>
        <w:t>Tabla 5.3.5.1. Matriz de decisión multicriterio para selección del agente RL (50 episodios, α = 0.001, Kruskal-Wallis H = 81.65)</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Criterio de selección</w:t>
            </w:r>
          </w:p>
        </w:tc>
        <w:tc>
          <w:tcPr>
            <w:tcW w:type="dxa" w:w="1881"/>
            <w:shd w:val="clear" w:color="auto" w:fill="1F3864"/>
          </w:tcPr>
          <w:p>
            <w:pPr>
              <w:jc w:val="center"/>
            </w:pPr>
            <w:r>
              <w:rPr>
                <w:b/>
                <w:color w:val="FFFFFF"/>
                <w:sz w:val="20"/>
              </w:rPr>
              <w:t>Peso</w:t>
            </w:r>
          </w:p>
        </w:tc>
        <w:tc>
          <w:tcPr>
            <w:tcW w:type="dxa" w:w="1881"/>
            <w:shd w:val="clear" w:color="auto" w:fill="1F3864"/>
          </w:tcPr>
          <w:p>
            <w:pPr>
              <w:jc w:val="center"/>
            </w:pPr>
            <w:r>
              <w:rPr>
                <w:b/>
                <w:color w:val="FFFFFF"/>
                <w:sz w:val="20"/>
              </w:rPr>
              <w:t>SAC</w:t>
            </w:r>
          </w:p>
        </w:tc>
        <w:tc>
          <w:tcPr>
            <w:tcW w:type="dxa" w:w="1881"/>
            <w:shd w:val="clear" w:color="auto" w:fill="1F3864"/>
          </w:tcPr>
          <w:p>
            <w:pPr>
              <w:jc w:val="center"/>
            </w:pPr>
            <w:r>
              <w:rPr>
                <w:b/>
                <w:color w:val="FFFFFF"/>
                <w:sz w:val="20"/>
              </w:rPr>
              <w:t>PPO</w:t>
            </w:r>
          </w:p>
        </w:tc>
        <w:tc>
          <w:tcPr>
            <w:tcW w:type="dxa" w:w="1881"/>
            <w:shd w:val="clear" w:color="auto" w:fill="1F3864"/>
          </w:tcPr>
          <w:p>
            <w:pPr>
              <w:jc w:val="center"/>
            </w:pPr>
            <w:r>
              <w:rPr>
                <w:b/>
                <w:color w:val="FFFFFF"/>
                <w:sz w:val="20"/>
              </w:rPr>
              <w:t>A2C</w:t>
            </w:r>
          </w:p>
        </w:tc>
      </w:tr>
      <w:tr>
        <w:tc>
          <w:tcPr>
            <w:tcW w:type="dxa" w:w="1881"/>
            <w:shd w:val="clear" w:color="auto" w:fill="D9E2F3"/>
          </w:tcPr>
          <w:p>
            <w:pPr>
              <w:jc w:val="left"/>
            </w:pPr>
            <w:r>
              <w:rPr>
                <w:b/>
                <w:sz w:val="20"/>
              </w:rPr>
              <w:t>F₂ mínimo (kg CO₂/año)</w:t>
            </w:r>
          </w:p>
        </w:tc>
        <w:tc>
          <w:tcPr>
            <w:tcW w:type="dxa" w:w="1881"/>
            <w:shd w:val="clear" w:color="auto" w:fill="D9E2F3"/>
          </w:tcPr>
          <w:p>
            <w:pPr>
              <w:jc w:val="center"/>
            </w:pPr>
            <w:r>
              <w:rPr>
                <w:b/>
                <w:sz w:val="20"/>
              </w:rPr>
              <w:t>30 %</w:t>
            </w:r>
          </w:p>
        </w:tc>
        <w:tc>
          <w:tcPr>
            <w:tcW w:type="dxa" w:w="1881"/>
            <w:shd w:val="clear" w:color="auto" w:fill="D9E2F3"/>
          </w:tcPr>
          <w:p>
            <w:pPr>
              <w:jc w:val="center"/>
            </w:pPr>
            <w:r>
              <w:rPr>
                <w:b/>
                <w:sz w:val="20"/>
              </w:rPr>
              <w:t>2 622 735 ★</w:t>
            </w:r>
          </w:p>
        </w:tc>
        <w:tc>
          <w:tcPr>
            <w:tcW w:type="dxa" w:w="1881"/>
            <w:shd w:val="clear" w:color="auto" w:fill="D9E2F3"/>
          </w:tcPr>
          <w:p>
            <w:pPr>
              <w:jc w:val="center"/>
            </w:pPr>
            <w:r>
              <w:rPr>
                <w:b/>
                <w:sz w:val="20"/>
              </w:rPr>
              <w:t>2 787 040</w:t>
            </w:r>
          </w:p>
        </w:tc>
        <w:tc>
          <w:tcPr>
            <w:tcW w:type="dxa" w:w="1881"/>
            <w:shd w:val="clear" w:color="auto" w:fill="D9E2F3"/>
          </w:tcPr>
          <w:p>
            <w:pPr>
              <w:jc w:val="center"/>
            </w:pPr>
            <w:r>
              <w:rPr>
                <w:b/>
                <w:sz w:val="20"/>
              </w:rPr>
              <w:t>2 834 857</w:t>
            </w:r>
          </w:p>
        </w:tc>
      </w:tr>
      <w:tr>
        <w:tc>
          <w:tcPr>
            <w:tcW w:type="dxa" w:w="1881"/>
            <w:shd w:val="clear" w:color="auto" w:fill="D9E2F3"/>
          </w:tcPr>
          <w:p>
            <w:pPr>
              <w:jc w:val="left"/>
            </w:pPr>
            <w:r>
              <w:rPr>
                <w:b/>
                <w:sz w:val="20"/>
              </w:rPr>
              <w:t>F₂ media 50 eps (kg CO₂/año)</w:t>
            </w:r>
          </w:p>
        </w:tc>
        <w:tc>
          <w:tcPr>
            <w:tcW w:type="dxa" w:w="1881"/>
            <w:shd w:val="clear" w:color="auto" w:fill="D9E2F3"/>
          </w:tcPr>
          <w:p>
            <w:pPr>
              <w:jc w:val="center"/>
            </w:pPr>
            <w:r>
              <w:rPr>
                <w:b/>
                <w:sz w:val="20"/>
              </w:rPr>
              <w:t>20 %</w:t>
            </w:r>
          </w:p>
        </w:tc>
        <w:tc>
          <w:tcPr>
            <w:tcW w:type="dxa" w:w="1881"/>
            <w:shd w:val="clear" w:color="auto" w:fill="D9E2F3"/>
          </w:tcPr>
          <w:p>
            <w:pPr>
              <w:jc w:val="center"/>
            </w:pPr>
            <w:r>
              <w:rPr>
                <w:b/>
                <w:sz w:val="20"/>
              </w:rPr>
              <w:t>2 668 375 ★</w:t>
            </w:r>
          </w:p>
        </w:tc>
        <w:tc>
          <w:tcPr>
            <w:tcW w:type="dxa" w:w="1881"/>
            <w:shd w:val="clear" w:color="auto" w:fill="D9E2F3"/>
          </w:tcPr>
          <w:p>
            <w:pPr>
              <w:jc w:val="center"/>
            </w:pPr>
            <w:r>
              <w:rPr>
                <w:b/>
                <w:sz w:val="20"/>
              </w:rPr>
              <w:t>2 875 569</w:t>
            </w:r>
          </w:p>
        </w:tc>
        <w:tc>
          <w:tcPr>
            <w:tcW w:type="dxa" w:w="1881"/>
            <w:shd w:val="clear" w:color="auto" w:fill="D9E2F3"/>
          </w:tcPr>
          <w:p>
            <w:pPr>
              <w:jc w:val="center"/>
            </w:pPr>
            <w:r>
              <w:rPr>
                <w:b/>
                <w:sz w:val="20"/>
              </w:rPr>
              <w:t>2 845 012</w:t>
            </w:r>
          </w:p>
        </w:tc>
      </w:tr>
      <w:tr>
        <w:tc>
          <w:tcPr>
            <w:tcW w:type="dxa" w:w="1881"/>
            <w:shd w:val="clear" w:color="auto" w:fill="D9E2F3"/>
          </w:tcPr>
          <w:p>
            <w:pPr>
              <w:jc w:val="left"/>
            </w:pPr>
            <w:r>
              <w:rPr>
                <w:b/>
                <w:sz w:val="20"/>
              </w:rPr>
              <w:t>CV plateau — estabilidad (%)</w:t>
            </w:r>
          </w:p>
        </w:tc>
        <w:tc>
          <w:tcPr>
            <w:tcW w:type="dxa" w:w="1881"/>
            <w:shd w:val="clear" w:color="auto" w:fill="D9E2F3"/>
          </w:tcPr>
          <w:p>
            <w:pPr>
              <w:jc w:val="center"/>
            </w:pPr>
            <w:r>
              <w:rPr>
                <w:b/>
                <w:sz w:val="20"/>
              </w:rPr>
              <w:t>15 %</w:t>
            </w:r>
          </w:p>
        </w:tc>
        <w:tc>
          <w:tcPr>
            <w:tcW w:type="dxa" w:w="1881"/>
            <w:shd w:val="clear" w:color="auto" w:fill="D9E2F3"/>
          </w:tcPr>
          <w:p>
            <w:pPr>
              <w:jc w:val="center"/>
            </w:pPr>
            <w:r>
              <w:rPr>
                <w:b/>
                <w:sz w:val="20"/>
              </w:rPr>
              <w:t>0.058 % ★</w:t>
            </w:r>
          </w:p>
        </w:tc>
        <w:tc>
          <w:tcPr>
            <w:tcW w:type="dxa" w:w="1881"/>
            <w:shd w:val="clear" w:color="auto" w:fill="D9E2F3"/>
          </w:tcPr>
          <w:p>
            <w:pPr>
              <w:jc w:val="center"/>
            </w:pPr>
            <w:r>
              <w:rPr>
                <w:b/>
                <w:sz w:val="20"/>
              </w:rPr>
              <w:t>0.195 %</w:t>
            </w:r>
          </w:p>
        </w:tc>
        <w:tc>
          <w:tcPr>
            <w:tcW w:type="dxa" w:w="1881"/>
            <w:shd w:val="clear" w:color="auto" w:fill="D9E2F3"/>
          </w:tcPr>
          <w:p>
            <w:pPr>
              <w:jc w:val="center"/>
            </w:pPr>
            <w:r>
              <w:rPr>
                <w:b/>
                <w:sz w:val="20"/>
              </w:rPr>
              <w:t>0.056 % ≈</w:t>
            </w:r>
          </w:p>
        </w:tc>
      </w:tr>
      <w:tr>
        <w:tc>
          <w:tcPr>
            <w:tcW w:type="dxa" w:w="1881"/>
          </w:tcPr>
          <w:p>
            <w:pPr>
              <w:jc w:val="left"/>
            </w:pPr>
            <w:r>
              <w:rPr>
                <w:b/>
                <w:sz w:val="20"/>
              </w:rPr>
              <w:t>Cobertura EV ep. óptimo (%)</w:t>
            </w:r>
          </w:p>
        </w:tc>
        <w:tc>
          <w:tcPr>
            <w:tcW w:type="dxa" w:w="1881"/>
          </w:tcPr>
          <w:p>
            <w:pPr>
              <w:jc w:val="center"/>
            </w:pPr>
            <w:r>
              <w:rPr>
                <w:sz w:val="20"/>
              </w:rPr>
              <w:t>15 %</w:t>
            </w:r>
          </w:p>
        </w:tc>
        <w:tc>
          <w:tcPr>
            <w:tcW w:type="dxa" w:w="1881"/>
          </w:tcPr>
          <w:p>
            <w:pPr>
              <w:jc w:val="center"/>
            </w:pPr>
            <w:r>
              <w:rPr>
                <w:sz w:val="20"/>
              </w:rPr>
              <w:t>98.1 % ★</w:t>
            </w:r>
          </w:p>
        </w:tc>
        <w:tc>
          <w:tcPr>
            <w:tcW w:type="dxa" w:w="1881"/>
          </w:tcPr>
          <w:p>
            <w:pPr>
              <w:jc w:val="center"/>
            </w:pPr>
            <w:r>
              <w:rPr>
                <w:sz w:val="20"/>
              </w:rPr>
              <w:t>99.9 % ★</w:t>
            </w:r>
          </w:p>
        </w:tc>
        <w:tc>
          <w:tcPr>
            <w:tcW w:type="dxa" w:w="1881"/>
          </w:tcPr>
          <w:p>
            <w:pPr>
              <w:jc w:val="center"/>
            </w:pPr>
            <w:r>
              <w:rPr>
                <w:sz w:val="20"/>
              </w:rPr>
              <w:t>87.4 %</w:t>
            </w:r>
          </w:p>
        </w:tc>
      </w:tr>
      <w:tr>
        <w:tc>
          <w:tcPr>
            <w:tcW w:type="dxa" w:w="1881"/>
            <w:shd w:val="clear" w:color="auto" w:fill="D9E2F3"/>
          </w:tcPr>
          <w:p>
            <w:pPr>
              <w:jc w:val="left"/>
            </w:pPr>
            <w:r>
              <w:rPr>
                <w:b/>
                <w:sz w:val="20"/>
              </w:rPr>
              <w:t>Violaciones totales (50 eps)</w:t>
            </w:r>
          </w:p>
        </w:tc>
        <w:tc>
          <w:tcPr>
            <w:tcW w:type="dxa" w:w="1881"/>
            <w:shd w:val="clear" w:color="auto" w:fill="D9E2F3"/>
          </w:tcPr>
          <w:p>
            <w:pPr>
              <w:jc w:val="center"/>
            </w:pPr>
            <w:r>
              <w:rPr>
                <w:b/>
                <w:sz w:val="20"/>
              </w:rPr>
              <w:t>10 %</w:t>
            </w:r>
          </w:p>
        </w:tc>
        <w:tc>
          <w:tcPr>
            <w:tcW w:type="dxa" w:w="1881"/>
            <w:shd w:val="clear" w:color="auto" w:fill="D9E2F3"/>
          </w:tcPr>
          <w:p>
            <w:pPr>
              <w:jc w:val="center"/>
            </w:pPr>
            <w:r>
              <w:rPr>
                <w:b/>
                <w:sz w:val="20"/>
              </w:rPr>
              <w:t>1 029 ★</w:t>
            </w:r>
          </w:p>
        </w:tc>
        <w:tc>
          <w:tcPr>
            <w:tcW w:type="dxa" w:w="1881"/>
            <w:shd w:val="clear" w:color="auto" w:fill="D9E2F3"/>
          </w:tcPr>
          <w:p>
            <w:pPr>
              <w:jc w:val="center"/>
            </w:pPr>
            <w:r>
              <w:rPr>
                <w:b/>
                <w:sz w:val="20"/>
              </w:rPr>
              <w:t>2 605</w:t>
            </w:r>
          </w:p>
        </w:tc>
        <w:tc>
          <w:tcPr>
            <w:tcW w:type="dxa" w:w="1881"/>
            <w:shd w:val="clear" w:color="auto" w:fill="D9E2F3"/>
          </w:tcPr>
          <w:p>
            <w:pPr>
              <w:jc w:val="center"/>
            </w:pPr>
            <w:r>
              <w:rPr>
                <w:b/>
                <w:sz w:val="20"/>
              </w:rPr>
              <w:t>1 181</w:t>
            </w:r>
          </w:p>
        </w:tc>
      </w:tr>
      <w:tr>
        <w:tc>
          <w:tcPr>
            <w:tcW w:type="dxa" w:w="1881"/>
            <w:shd w:val="clear" w:color="auto" w:fill="D9E2F3"/>
          </w:tcPr>
          <w:p>
            <w:pPr>
              <w:jc w:val="left"/>
            </w:pPr>
            <w:r>
              <w:rPr>
                <w:b/>
                <w:sz w:val="20"/>
              </w:rPr>
              <w:t>Convergencia (mejora ep 1→50)</w:t>
            </w:r>
          </w:p>
        </w:tc>
        <w:tc>
          <w:tcPr>
            <w:tcW w:type="dxa" w:w="1881"/>
            <w:shd w:val="clear" w:color="auto" w:fill="D9E2F3"/>
          </w:tcPr>
          <w:p>
            <w:pPr>
              <w:jc w:val="center"/>
            </w:pPr>
            <w:r>
              <w:rPr>
                <w:b/>
                <w:sz w:val="20"/>
              </w:rPr>
              <w:t>10 %</w:t>
            </w:r>
          </w:p>
        </w:tc>
        <w:tc>
          <w:tcPr>
            <w:tcW w:type="dxa" w:w="1881"/>
            <w:shd w:val="clear" w:color="auto" w:fill="D9E2F3"/>
          </w:tcPr>
          <w:p>
            <w:pPr>
              <w:jc w:val="center"/>
            </w:pPr>
            <w:r>
              <w:rPr>
                <w:b/>
                <w:sz w:val="20"/>
              </w:rPr>
              <w:t>9.53 % ★</w:t>
            </w:r>
          </w:p>
        </w:tc>
        <w:tc>
          <w:tcPr>
            <w:tcW w:type="dxa" w:w="1881"/>
            <w:shd w:val="clear" w:color="auto" w:fill="D9E2F3"/>
          </w:tcPr>
          <w:p>
            <w:pPr>
              <w:jc w:val="center"/>
            </w:pPr>
            <w:r>
              <w:rPr>
                <w:b/>
                <w:sz w:val="20"/>
              </w:rPr>
              <w:t>9.59 % ≈</w:t>
            </w:r>
          </w:p>
        </w:tc>
        <w:tc>
          <w:tcPr>
            <w:tcW w:type="dxa" w:w="1881"/>
            <w:shd w:val="clear" w:color="auto" w:fill="D9E2F3"/>
          </w:tcPr>
          <w:p>
            <w:pPr>
              <w:jc w:val="center"/>
            </w:pPr>
            <w:r>
              <w:rPr>
                <w:b/>
                <w:sz w:val="20"/>
              </w:rPr>
              <w:t>0.79 %</w:t>
            </w:r>
          </w:p>
        </w:tc>
      </w:tr>
      <w:tr>
        <w:tc>
          <w:tcPr>
            <w:tcW w:type="dxa" w:w="1881"/>
            <w:shd w:val="clear" w:color="auto" w:fill="D9E2F3"/>
          </w:tcPr>
          <w:p>
            <w:pPr>
              <w:jc w:val="left"/>
            </w:pPr>
            <w:r>
              <w:rPr>
                <w:b/>
                <w:sz w:val="20"/>
              </w:rPr>
              <w:t>Significancia estadística (p Mann-Whitney)</w:t>
            </w:r>
          </w:p>
        </w:tc>
        <w:tc>
          <w:tcPr>
            <w:tcW w:type="dxa" w:w="1881"/>
            <w:shd w:val="clear" w:color="auto" w:fill="D9E2F3"/>
          </w:tcPr>
          <w:p>
            <w:pPr>
              <w:jc w:val="center"/>
            </w:pPr>
            <w:r>
              <w:rPr>
                <w:b/>
                <w:sz w:val="20"/>
              </w:rPr>
              <w:t>—</w:t>
            </w:r>
          </w:p>
        </w:tc>
        <w:tc>
          <w:tcPr>
            <w:tcW w:type="dxa" w:w="1881"/>
            <w:shd w:val="clear" w:color="auto" w:fill="D9E2F3"/>
          </w:tcPr>
          <w:p>
            <w:pPr>
              <w:jc w:val="center"/>
            </w:pPr>
            <w:r>
              <w:rPr>
                <w:b/>
                <w:sz w:val="20"/>
              </w:rPr>
              <w:t>p&lt;0.001 ★</w:t>
            </w:r>
          </w:p>
        </w:tc>
        <w:tc>
          <w:tcPr>
            <w:tcW w:type="dxa" w:w="1881"/>
            <w:shd w:val="clear" w:color="auto" w:fill="D9E2F3"/>
          </w:tcPr>
          <w:p>
            <w:pPr>
              <w:jc w:val="center"/>
            </w:pPr>
            <w:r>
              <w:rPr>
                <w:b/>
                <w:sz w:val="20"/>
              </w:rPr>
              <w:t>p&lt;0.001</w:t>
            </w:r>
          </w:p>
        </w:tc>
        <w:tc>
          <w:tcPr>
            <w:tcW w:type="dxa" w:w="1881"/>
            <w:shd w:val="clear" w:color="auto" w:fill="D9E2F3"/>
          </w:tcPr>
          <w:p>
            <w:pPr>
              <w:jc w:val="center"/>
            </w:pPr>
            <w:r>
              <w:rPr>
                <w:b/>
                <w:sz w:val="20"/>
              </w:rPr>
              <w:t>p&lt;0.001</w:t>
            </w:r>
          </w:p>
        </w:tc>
      </w:tr>
    </w:tbl>
    <w:p/>
    <w:p>
      <w:pPr>
        <w:jc w:val="both"/>
      </w:pPr>
      <w:r>
        <w:rPr>
          <w:b w:val="0"/>
          <w:i w:val="0"/>
          <w:sz w:val="22"/>
        </w:rPr>
        <w:t>El Soft Actor-Critic (SAC) es seleccionado como el agente de inteligencia artificial para la gestión de la infraestructura de carga inteligente en el Mall BESS Iquitos. Esta selección se sustenta en cinco fortalezas concurrentes: (1) mínimo histórico de emisiones F₂ = 2 622 735 kg CO₂/año (episodio 48), superior a PPO en 164 305 kg CO₂/año y a A2C en 212 122 kg CO₂/año; (2) media sostenida de 2 668 375 kg CO₂/año durante 50 episodios; (3) CV de plateau de 0.058 %, indicador de alta estabilidad en la fase de explotación; (4) cobertura de demanda EV del 98.1 % en el episodio óptimo (0 violaciones de restricción); y (5) diferencia estadísticamente significativa respecto a PPO y A2C (p &lt; 0.001, Mann-Whitney U).</w:t>
      </w:r>
    </w:p>
    <w:p>
      <w:pPr>
        <w:jc w:val="center"/>
      </w:pPr>
      <w:r>
        <w:rPr>
          <w:i/>
          <w:sz w:val="20"/>
        </w:rPr>
        <w:t>Tabla 5.3.5.2. Contribución ambiental consolidada del agente SAC seleccionado (episodio óptimo 48, F₂ = 2 622 735 kg CO₂/año)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20"/>
              </w:rPr>
              <w:t>Dimensión ambiental</w:t>
            </w:r>
          </w:p>
        </w:tc>
        <w:tc>
          <w:tcPr>
            <w:tcW w:type="dxa" w:w="3135"/>
            <w:shd w:val="clear" w:color="auto" w:fill="1F3864"/>
          </w:tcPr>
          <w:p>
            <w:pPr>
              <w:jc w:val="center"/>
            </w:pPr>
            <w:r>
              <w:rPr>
                <w:b/>
                <w:color w:val="FFFFFF"/>
                <w:sz w:val="20"/>
              </w:rPr>
              <w:t>Valor</w:t>
            </w:r>
          </w:p>
        </w:tc>
        <w:tc>
          <w:tcPr>
            <w:tcW w:type="dxa" w:w="3135"/>
            <w:shd w:val="clear" w:color="auto" w:fill="1F3864"/>
          </w:tcPr>
          <w:p>
            <w:pPr>
              <w:jc w:val="center"/>
            </w:pPr>
            <w:r>
              <w:rPr>
                <w:b/>
                <w:color w:val="FFFFFF"/>
                <w:sz w:val="20"/>
              </w:rPr>
              <w:t>Referencia / contexto</w:t>
            </w:r>
          </w:p>
        </w:tc>
      </w:tr>
      <w:tr>
        <w:tc>
          <w:tcPr>
            <w:tcW w:type="dxa" w:w="3135"/>
          </w:tcPr>
          <w:p>
            <w:pPr>
              <w:jc w:val="left"/>
            </w:pPr>
            <w:r>
              <w:rPr>
                <w:b/>
                <w:sz w:val="20"/>
              </w:rPr>
              <w:t>F₀ — Sin intervención (kg CO₂/año)</w:t>
            </w:r>
          </w:p>
        </w:tc>
        <w:tc>
          <w:tcPr>
            <w:tcW w:type="dxa" w:w="3135"/>
          </w:tcPr>
          <w:p>
            <w:pPr>
              <w:jc w:val="center"/>
            </w:pPr>
            <w:r>
              <w:rPr>
                <w:sz w:val="20"/>
              </w:rPr>
              <w:t>7 054 000</w:t>
            </w:r>
          </w:p>
        </w:tc>
        <w:tc>
          <w:tcPr>
            <w:tcW w:type="dxa" w:w="3135"/>
          </w:tcPr>
          <w:p>
            <w:pPr>
              <w:jc w:val="center"/>
            </w:pPr>
            <w:r>
              <w:rPr>
                <w:sz w:val="20"/>
              </w:rPr>
              <w:t>Base absoluta del proyecto</w:t>
            </w:r>
          </w:p>
        </w:tc>
      </w:tr>
      <w:tr>
        <w:tc>
          <w:tcPr>
            <w:tcW w:type="dxa" w:w="3135"/>
          </w:tcPr>
          <w:p>
            <w:pPr>
              <w:jc w:val="left"/>
            </w:pPr>
            <w:r>
              <w:rPr>
                <w:b/>
                <w:sz w:val="20"/>
              </w:rPr>
              <w:t>F₁ — Con FV+BESS, sin RL (kg CO₂/año)</w:t>
            </w:r>
          </w:p>
        </w:tc>
        <w:tc>
          <w:tcPr>
            <w:tcW w:type="dxa" w:w="3135"/>
          </w:tcPr>
          <w:p>
            <w:pPr>
              <w:jc w:val="center"/>
            </w:pPr>
            <w:r>
              <w:rPr>
                <w:sz w:val="20"/>
              </w:rPr>
              <w:t>5 790 639</w:t>
            </w:r>
          </w:p>
        </w:tc>
        <w:tc>
          <w:tcPr>
            <w:tcW w:type="dxa" w:w="3135"/>
          </w:tcPr>
          <w:p>
            <w:pPr>
              <w:jc w:val="center"/>
            </w:pPr>
            <w:r>
              <w:rPr>
                <w:sz w:val="20"/>
              </w:rPr>
              <w:t>Baseline operación no controlada</w:t>
            </w:r>
          </w:p>
        </w:tc>
      </w:tr>
      <w:tr>
        <w:tc>
          <w:tcPr>
            <w:tcW w:type="dxa" w:w="3135"/>
            <w:shd w:val="clear" w:color="auto" w:fill="D9E2F3"/>
          </w:tcPr>
          <w:p>
            <w:pPr>
              <w:jc w:val="left"/>
            </w:pPr>
            <w:r>
              <w:rPr>
                <w:b/>
                <w:sz w:val="20"/>
              </w:rPr>
              <w:t>F₂ — SAC óptimo (kg CO₂/año)</w:t>
            </w:r>
          </w:p>
        </w:tc>
        <w:tc>
          <w:tcPr>
            <w:tcW w:type="dxa" w:w="3135"/>
            <w:shd w:val="clear" w:color="auto" w:fill="D9E2F3"/>
          </w:tcPr>
          <w:p>
            <w:pPr>
              <w:jc w:val="center"/>
            </w:pPr>
            <w:r>
              <w:rPr>
                <w:b/>
                <w:sz w:val="20"/>
              </w:rPr>
              <w:t>2 622 735</w:t>
            </w:r>
          </w:p>
        </w:tc>
        <w:tc>
          <w:tcPr>
            <w:tcW w:type="dxa" w:w="3135"/>
            <w:shd w:val="clear" w:color="auto" w:fill="D9E2F3"/>
          </w:tcPr>
          <w:p>
            <w:pPr>
              <w:jc w:val="center"/>
            </w:pPr>
            <w:r>
              <w:rPr>
                <w:b/>
                <w:sz w:val="20"/>
              </w:rPr>
              <w:t>Episodio 48 (mejor histórico)</w:t>
            </w:r>
          </w:p>
        </w:tc>
      </w:tr>
      <w:tr>
        <w:tc>
          <w:tcPr>
            <w:tcW w:type="dxa" w:w="3135"/>
          </w:tcPr>
          <w:p>
            <w:pPr>
              <w:jc w:val="left"/>
            </w:pPr>
            <w:r>
              <w:rPr>
                <w:b/>
                <w:sz w:val="20"/>
              </w:rPr>
              <w:t>Reducción total vs F₀ (kg CO₂/año)</w:t>
            </w:r>
          </w:p>
        </w:tc>
        <w:tc>
          <w:tcPr>
            <w:tcW w:type="dxa" w:w="3135"/>
          </w:tcPr>
          <w:p>
            <w:pPr>
              <w:jc w:val="center"/>
            </w:pPr>
            <w:r>
              <w:rPr>
                <w:sz w:val="20"/>
              </w:rPr>
              <w:t>4 431 265</w:t>
            </w:r>
          </w:p>
        </w:tc>
        <w:tc>
          <w:tcPr>
            <w:tcW w:type="dxa" w:w="3135"/>
          </w:tcPr>
          <w:p>
            <w:pPr>
              <w:jc w:val="center"/>
            </w:pPr>
            <w:r>
              <w:rPr>
                <w:sz w:val="20"/>
              </w:rPr>
              <w:t>62.8 % de F₀</w:t>
            </w:r>
          </w:p>
        </w:tc>
      </w:tr>
      <w:tr>
        <w:tc>
          <w:tcPr>
            <w:tcW w:type="dxa" w:w="3135"/>
          </w:tcPr>
          <w:p>
            <w:pPr>
              <w:jc w:val="left"/>
            </w:pPr>
            <w:r>
              <w:rPr>
                <w:b/>
                <w:sz w:val="20"/>
              </w:rPr>
              <w:t>Reducción vs F₁ — aporte RL (kg CO₂/año)</w:t>
            </w:r>
          </w:p>
        </w:tc>
        <w:tc>
          <w:tcPr>
            <w:tcW w:type="dxa" w:w="3135"/>
          </w:tcPr>
          <w:p>
            <w:pPr>
              <w:jc w:val="center"/>
            </w:pPr>
            <w:r>
              <w:rPr>
                <w:sz w:val="20"/>
              </w:rPr>
              <w:t>3 167 904</w:t>
            </w:r>
          </w:p>
        </w:tc>
        <w:tc>
          <w:tcPr>
            <w:tcW w:type="dxa" w:w="3135"/>
          </w:tcPr>
          <w:p>
            <w:pPr>
              <w:jc w:val="center"/>
            </w:pPr>
            <w:r>
              <w:rPr>
                <w:sz w:val="20"/>
              </w:rPr>
              <w:t>54.7 % adicional al FV+BESS</w:t>
            </w:r>
          </w:p>
        </w:tc>
      </w:tr>
      <w:tr>
        <w:tc>
          <w:tcPr>
            <w:tcW w:type="dxa" w:w="3135"/>
          </w:tcPr>
          <w:p>
            <w:pPr>
              <w:jc w:val="left"/>
            </w:pPr>
            <w:r>
              <w:rPr>
                <w:b/>
                <w:sz w:val="20"/>
              </w:rPr>
              <w:t>Reducción directa — combustible (kg/año)</w:t>
            </w:r>
          </w:p>
        </w:tc>
        <w:tc>
          <w:tcPr>
            <w:tcW w:type="dxa" w:w="3135"/>
          </w:tcPr>
          <w:p>
            <w:pPr>
              <w:jc w:val="center"/>
            </w:pPr>
            <w:r>
              <w:rPr>
                <w:sz w:val="20"/>
              </w:rPr>
              <w:t>328 736</w:t>
            </w:r>
          </w:p>
        </w:tc>
        <w:tc>
          <w:tcPr>
            <w:tcW w:type="dxa" w:w="3135"/>
          </w:tcPr>
          <w:p>
            <w:pPr>
              <w:jc w:val="center"/>
            </w:pPr>
            <w:r>
              <w:rPr>
                <w:sz w:val="20"/>
              </w:rPr>
              <w:t>9.3 % de la reducción neta</w:t>
            </w:r>
          </w:p>
        </w:tc>
      </w:tr>
      <w:tr>
        <w:tc>
          <w:tcPr>
            <w:tcW w:type="dxa" w:w="3135"/>
          </w:tcPr>
          <w:p>
            <w:pPr>
              <w:jc w:val="left"/>
            </w:pPr>
            <w:r>
              <w:rPr>
                <w:b/>
                <w:sz w:val="20"/>
              </w:rPr>
              <w:t>Reducción indirecta — red Iquitos (kg/año)</w:t>
            </w:r>
          </w:p>
        </w:tc>
        <w:tc>
          <w:tcPr>
            <w:tcW w:type="dxa" w:w="3135"/>
          </w:tcPr>
          <w:p>
            <w:pPr>
              <w:jc w:val="center"/>
            </w:pPr>
            <w:r>
              <w:rPr>
                <w:sz w:val="20"/>
              </w:rPr>
              <w:t>3 223 884</w:t>
            </w:r>
          </w:p>
        </w:tc>
        <w:tc>
          <w:tcPr>
            <w:tcW w:type="dxa" w:w="3135"/>
          </w:tcPr>
          <w:p>
            <w:pPr>
              <w:jc w:val="center"/>
            </w:pPr>
            <w:r>
              <w:rPr>
                <w:sz w:val="20"/>
              </w:rPr>
              <w:t>90.7 % de la reducción neta</w:t>
            </w:r>
          </w:p>
        </w:tc>
      </w:tr>
      <w:tr>
        <w:tc>
          <w:tcPr>
            <w:tcW w:type="dxa" w:w="3135"/>
          </w:tcPr>
          <w:p>
            <w:pPr>
              <w:jc w:val="left"/>
            </w:pPr>
            <w:r>
              <w:rPr>
                <w:b/>
                <w:sz w:val="20"/>
              </w:rPr>
              <w:t>Cobertura demanda EV (% objetivo)</w:t>
            </w:r>
          </w:p>
        </w:tc>
        <w:tc>
          <w:tcPr>
            <w:tcW w:type="dxa" w:w="3135"/>
          </w:tcPr>
          <w:p>
            <w:pPr>
              <w:jc w:val="center"/>
            </w:pPr>
            <w:r>
              <w:rPr>
                <w:sz w:val="20"/>
              </w:rPr>
              <w:t>98.1 %</w:t>
            </w:r>
          </w:p>
        </w:tc>
        <w:tc>
          <w:tcPr>
            <w:tcW w:type="dxa" w:w="3135"/>
          </w:tcPr>
          <w:p>
            <w:pPr>
              <w:jc w:val="center"/>
            </w:pPr>
            <w:r>
              <w:rPr>
                <w:sz w:val="20"/>
              </w:rPr>
              <w:t>400 353 kWh / 408 282 kWh</w:t>
            </w:r>
          </w:p>
        </w:tc>
      </w:tr>
      <w:tr>
        <w:tc>
          <w:tcPr>
            <w:tcW w:type="dxa" w:w="3135"/>
          </w:tcPr>
          <w:p>
            <w:pPr>
              <w:jc w:val="left"/>
            </w:pPr>
            <w:r>
              <w:rPr>
                <w:b/>
                <w:sz w:val="20"/>
              </w:rPr>
              <w:t>BESS descargado — ep óptimo (kWh/año)</w:t>
            </w:r>
          </w:p>
        </w:tc>
        <w:tc>
          <w:tcPr>
            <w:tcW w:type="dxa" w:w="3135"/>
          </w:tcPr>
          <w:p>
            <w:pPr>
              <w:jc w:val="center"/>
            </w:pPr>
            <w:r>
              <w:rPr>
                <w:sz w:val="20"/>
              </w:rPr>
              <w:t>875 699</w:t>
            </w:r>
          </w:p>
        </w:tc>
        <w:tc>
          <w:tcPr>
            <w:tcW w:type="dxa" w:w="3135"/>
          </w:tcPr>
          <w:p>
            <w:pPr>
              <w:jc w:val="center"/>
            </w:pPr>
            <w:r>
              <w:rPr>
                <w:sz w:val="20"/>
              </w:rPr>
              <w:t>+71.8 % vs operación base</w:t>
            </w:r>
          </w:p>
        </w:tc>
      </w:tr>
      <w:tr>
        <w:tc>
          <w:tcPr>
            <w:tcW w:type="dxa" w:w="3135"/>
          </w:tcPr>
          <w:p>
            <w:pPr>
              <w:jc w:val="left"/>
            </w:pPr>
            <w:r>
              <w:rPr>
                <w:b/>
                <w:sz w:val="20"/>
              </w:rPr>
              <w:t>Importación red — ep óptimo (kWh/año)</w:t>
            </w:r>
          </w:p>
        </w:tc>
        <w:tc>
          <w:tcPr>
            <w:tcW w:type="dxa" w:w="3135"/>
          </w:tcPr>
          <w:p>
            <w:pPr>
              <w:jc w:val="center"/>
            </w:pPr>
            <w:r>
              <w:rPr>
                <w:sz w:val="20"/>
              </w:rPr>
              <w:t>5 801 227</w:t>
            </w:r>
          </w:p>
        </w:tc>
        <w:tc>
          <w:tcPr>
            <w:tcW w:type="dxa" w:w="3135"/>
          </w:tcPr>
          <w:p>
            <w:pPr>
              <w:jc w:val="center"/>
            </w:pPr>
            <w:r>
              <w:rPr>
                <w:sz w:val="20"/>
              </w:rPr>
              <w:t>−10.8 % vs operación base</w:t>
            </w:r>
          </w:p>
        </w:tc>
      </w:tr>
      <w:tr>
        <w:tc>
          <w:tcPr>
            <w:tcW w:type="dxa" w:w="3135"/>
          </w:tcPr>
          <w:p>
            <w:pPr>
              <w:jc w:val="left"/>
            </w:pPr>
            <w:r>
              <w:rPr>
                <w:b/>
                <w:sz w:val="20"/>
              </w:rPr>
              <w:t>Factor emisión red Iquitos (kg CO₂/kWh)</w:t>
            </w:r>
          </w:p>
        </w:tc>
        <w:tc>
          <w:tcPr>
            <w:tcW w:type="dxa" w:w="3135"/>
          </w:tcPr>
          <w:p>
            <w:pPr>
              <w:jc w:val="center"/>
            </w:pPr>
            <w:r>
              <w:rPr>
                <w:sz w:val="20"/>
              </w:rPr>
              <w:t>0.4521</w:t>
            </w:r>
          </w:p>
        </w:tc>
        <w:tc>
          <w:tcPr>
            <w:tcW w:type="dxa" w:w="3135"/>
          </w:tcPr>
          <w:p>
            <w:pPr>
              <w:jc w:val="center"/>
            </w:pPr>
            <w:r>
              <w:rPr>
                <w:sz w:val="20"/>
              </w:rPr>
              <w:t>MINEM 2024, grid diesel aislado</w:t>
            </w:r>
          </w:p>
        </w:tc>
      </w:tr>
      <w:tr>
        <w:tc>
          <w:tcPr>
            <w:tcW w:type="dxa" w:w="3135"/>
          </w:tcPr>
          <w:p>
            <w:pPr>
              <w:jc w:val="left"/>
            </w:pPr>
            <w:r>
              <w:rPr>
                <w:b/>
                <w:sz w:val="20"/>
              </w:rPr>
              <w:t>Episodios de entrenamiento</w:t>
            </w:r>
          </w:p>
        </w:tc>
        <w:tc>
          <w:tcPr>
            <w:tcW w:type="dxa" w:w="3135"/>
          </w:tcPr>
          <w:p>
            <w:pPr>
              <w:jc w:val="center"/>
            </w:pPr>
            <w:r>
              <w:rPr>
                <w:sz w:val="20"/>
              </w:rPr>
              <w:t>50</w:t>
            </w:r>
          </w:p>
        </w:tc>
        <w:tc>
          <w:tcPr>
            <w:tcW w:type="dxa" w:w="3135"/>
          </w:tcPr>
          <w:p>
            <w:pPr>
              <w:jc w:val="center"/>
            </w:pPr>
            <w:r>
              <w:rPr>
                <w:sz w:val="20"/>
              </w:rPr>
              <w:t>438 000 pasos totales</w:t>
            </w:r>
          </w:p>
        </w:tc>
      </w:tr>
      <w:tr>
        <w:tc>
          <w:tcPr>
            <w:tcW w:type="dxa" w:w="3135"/>
            <w:shd w:val="clear" w:color="auto" w:fill="D9E2F3"/>
          </w:tcPr>
          <w:p>
            <w:pPr>
              <w:jc w:val="left"/>
            </w:pPr>
            <w:r>
              <w:rPr>
                <w:b/>
                <w:sz w:val="20"/>
              </w:rPr>
              <w:t>Resultado hipótesis HG</w:t>
            </w:r>
          </w:p>
        </w:tc>
        <w:tc>
          <w:tcPr>
            <w:tcW w:type="dxa" w:w="3135"/>
            <w:shd w:val="clear" w:color="auto" w:fill="D9E2F3"/>
          </w:tcPr>
          <w:p>
            <w:pPr>
              <w:jc w:val="center"/>
            </w:pPr>
            <w:r>
              <w:rPr>
                <w:b/>
                <w:sz w:val="20"/>
              </w:rPr>
              <w:t>CONFIRMADA</w:t>
            </w:r>
          </w:p>
        </w:tc>
        <w:tc>
          <w:tcPr>
            <w:tcW w:type="dxa" w:w="3135"/>
            <w:shd w:val="clear" w:color="auto" w:fill="D9E2F3"/>
          </w:tcPr>
          <w:p>
            <w:pPr>
              <w:jc w:val="center"/>
            </w:pPr>
            <w:r>
              <w:rPr>
                <w:b/>
                <w:sz w:val="20"/>
              </w:rPr>
              <w:t>SAC reduce CO₂ cuant. &gt; F₁</w:t>
            </w:r>
          </w:p>
        </w:tc>
      </w:tr>
    </w:tbl>
    <w:p/>
    <w:p>
      <w:pPr>
        <w:jc w:val="both"/>
      </w:pPr>
      <w:r>
        <w:rPr>
          <w:b w:val="0"/>
          <w:i w:val="0"/>
          <w:sz w:val="22"/>
        </w:rPr>
        <w:t>La contribución ambiental neta del agente SAC asciende a 4 431 265 kg CO₂/año respecto al escenario sin intervención tecnológica (F₀), equivalente a 4 431.3 tCO₂/año. De esta reducción, 3 167 904 kg CO₂/año es atribuible exclusivamente al control inteligente RL sobre el sistema ya dimensionado (diferencia F₁ − F₂), confirmando que el agente SAC añade un valor ambiental cuantificable y estadísticamente significativo sobre la operación sin control inteligente.</w:t>
      </w:r>
    </w:p>
    <w:p>
      <w:pPr>
        <w:jc w:val="both"/>
      </w:pPr>
      <w:r>
        <w:rPr>
          <w:b w:val="0"/>
          <w:i w:val="0"/>
          <w:sz w:val="22"/>
        </w:rPr>
        <w:t>La selección del SAC resuelve el objetivo específico OE3: identificar el agente IA más apropiado para la gestión de recarga de motos y mototaxis eléctricas que contribuye de manera cuantificable a la reducción de emisiones de CO₂ en Iquitos. El SAC cumple este objetivo con una reducción de 62.8 % respecto al escenario base absoluto (F₀), manteniendo una cobertura de demanda EV entre el 94 % y el 98 % durante el entrenamiento sostenido de 50 episodios anuales, con 0 violaciones de restricción energética en el episodio óptimo y una estabilidad de plateau CV = 0.058 %, el más bajo entre los tres agentes evaluados.</w:t>
      </w:r>
    </w:p>
    <w:p>
      <w:pPr>
        <w:jc w:val="both"/>
      </w:pPr>
      <w:r>
        <w:rPr>
          <w:b w:val="0"/>
          <w:i w:val="0"/>
          <w:sz w:val="22"/>
        </w:rPr>
        <w:t>En síntesis, el conjunto de resultados estadísticos aquí presentados —descriptivos, inferenciales y específicos al aprendizaje por refuerzo— demuestra de manera convergente y coherente que: (a) el sistema FV–BESS–cargadores dimensionado en el OE2 puede ser operado exitosamente mediante un agente RL, (b) el SAC es el agente superior en términos ambientales para este problema específico, y (c) la reducción de CO₂ obtenida es estadísticamente significativa (p &lt; 0.001, múltiples pruebas) y cuantificable en 4 431 265 kg CO₂/año respecto a F₀ y 3 167 904 kg CO₂/año respecto a la operación base sin control inteligente F₁.</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