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32"/>
        </w:rPr>
        <w:t>RESULTADOS DEL ENTRENAMIENTO DE AGENTES DE</w:t>
        <w:br/>
        <w:t>APRENDIZAJE POR REFUERZO</w:t>
      </w:r>
    </w:p>
    <w:p/>
    <w:p>
      <w:pPr>
        <w:jc w:val="center"/>
      </w:pPr>
      <w:r>
        <w:rPr>
          <w:sz w:val="24"/>
        </w:rPr>
        <w:t>Proyecto: Optimización de la Gestión de Recarga de Vehículos Eléctricos</w:t>
        <w:br/>
        <w:t>mediante Agentes IA para la Reducción de Emisiones de CO₂ en Iquitos, Perú</w:t>
      </w:r>
    </w:p>
    <w:p/>
    <w:p>
      <w:pPr>
        <w:jc w:val="center"/>
      </w:pPr>
      <w:r>
        <w:rPr>
          <w:i/>
          <w:sz w:val="22"/>
        </w:rPr>
        <w:t>Abril 2026</w:t>
      </w:r>
    </w:p>
    <w:p>
      <w:r>
        <w:br w:type="page"/>
      </w:r>
    </w:p>
    <w:p>
      <w:pPr>
        <w:pStyle w:val="Heading1"/>
        <w:jc w:val="left"/>
      </w:pPr>
      <w:r>
        <w:t>1. Introducción</w:t>
      </w:r>
    </w:p>
    <w:p>
      <w:pPr>
        <w:jc w:val="both"/>
      </w:pPr>
      <w:r>
        <w:rPr>
          <w:sz w:val="22"/>
        </w:rPr>
        <w:t>El presente documento reporta los resultados obtenidos del entrenamiento de tres agentes de aprendizaje por refuerzo (RL) aplicados a la gestión inteligente de 38 enchufes de carga (19 cargadores × 2 sockets) para motocicletas y mototaxis eléctricas en la ciudad de Iquitos, Perú. Los agentes evaluados son: Soft Actor-Critic (SAC), Proximal Policy Optimization (PPO) y Advantage Actor-Critic (A2C).</w:t>
      </w:r>
    </w:p>
    <w:p>
      <w:pPr>
        <w:jc w:val="both"/>
      </w:pPr>
      <w:r>
        <w:rPr>
          <w:sz w:val="22"/>
        </w:rPr>
        <w:t>La infraestructura considera una planta solar fotovoltaica de 4,050 kWp y un sistema de almacenamiento BESS de 2,000 kWh / 400 kW. El objetivo principal (OE3) consiste en seleccionar el agente IA que contribuye de manera cuantificable a la reducción de emisiones de CO₂ en la ciudad, considerando el factor de emisión de la red eléctrica de Iquitos de 0.4521 kg CO₂/kWh (MINEM, 2024).</w:t>
      </w:r>
    </w:p>
    <w:p>
      <w:pPr>
        <w:pStyle w:val="Heading1"/>
        <w:jc w:val="left"/>
      </w:pPr>
      <w:r>
        <w:t>2. Metodología de Entrenamiento</w:t>
      </w:r>
    </w:p>
    <w:p>
      <w:pPr>
        <w:pStyle w:val="Heading2"/>
        <w:jc w:val="left"/>
      </w:pPr>
      <w:r>
        <w:t>2.1 Entorno de Simulación</w:t>
      </w:r>
    </w:p>
    <w:p>
      <w:pPr>
        <w:jc w:val="both"/>
      </w:pPr>
      <w:r>
        <w:rPr>
          <w:sz w:val="22"/>
        </w:rPr>
        <w:t>El entrenamiento se realizó usando la plataforma CityLearn v2 con un horizonte de 8,760 pasos horarios (1 año = 365 días × 24 h). Cada episodio representa un año completo de operación. Se entrenaron 50 episodios por agente con 438,000 pasos totales (timesteps).</w:t>
      </w:r>
    </w:p>
    <w:p>
      <w:pPr>
        <w:pStyle w:val="Heading2"/>
        <w:jc w:val="left"/>
      </w:pPr>
      <w:r>
        <w:t>2.2 Parámetros del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56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Número de sockets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38 (19 cargadores × 2)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Potencia por socket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7.4 kW (Modo 3, 32A @ 230 V)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Potencia instalada total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281.2 kW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Generación solar PV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4,050 kWp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Almacenamiento BESS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2,000 kWh / 400 kW (DoD 80%, η 95%)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SOC mínimo BESS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20%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Demanda diaria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270 motos + 39 mototaxis = 309 vehículos/día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Resolución temporal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 hora (horaria)</w:t>
            </w:r>
          </w:p>
        </w:tc>
      </w:tr>
    </w:tbl>
    <w:p/>
    <w:p>
      <w:pPr>
        <w:pStyle w:val="Heading2"/>
        <w:jc w:val="left"/>
      </w:pPr>
      <w:r>
        <w:t>2.3 Función de Recompensa Multi-Objetivo</w:t>
      </w:r>
    </w:p>
    <w:p>
      <w:pPr>
        <w:jc w:val="both"/>
      </w:pPr>
      <w:r>
        <w:rPr>
          <w:sz w:val="22"/>
        </w:rPr>
        <w:t>La función de recompensa pondera cinco objetivos alineados con el OE3:</w:t>
      </w:r>
    </w:p>
    <w:p>
      <w:pPr>
        <w:pStyle w:val="ListBullet"/>
      </w:pPr>
      <w:r>
        <w:rPr>
          <w:sz w:val="22"/>
        </w:rPr>
        <w:t xml:space="preserve">CO₂ directo evitado (combustible vehicular): </w:t>
      </w:r>
      <w:r>
        <w:rPr>
          <w:b/>
          <w:sz w:val="22"/>
        </w:rPr>
        <w:t>35%</w:t>
      </w:r>
    </w:p>
    <w:p>
      <w:pPr>
        <w:pStyle w:val="ListBullet"/>
      </w:pPr>
      <w:r>
        <w:rPr>
          <w:sz w:val="22"/>
        </w:rPr>
        <w:t xml:space="preserve">CO₂ indirecto evitado (importación de red × 0.4521 kg/kWh): </w:t>
      </w:r>
      <w:r>
        <w:rPr>
          <w:b/>
          <w:sz w:val="22"/>
        </w:rPr>
        <w:t>30%</w:t>
      </w:r>
    </w:p>
    <w:p>
      <w:pPr>
        <w:pStyle w:val="ListBullet"/>
      </w:pPr>
      <w:r>
        <w:rPr>
          <w:sz w:val="22"/>
        </w:rPr>
        <w:t xml:space="preserve">Completación de carga de VE: </w:t>
      </w:r>
      <w:r>
        <w:rPr>
          <w:b/>
          <w:sz w:val="22"/>
        </w:rPr>
        <w:t>25%</w:t>
      </w:r>
    </w:p>
    <w:p>
      <w:pPr>
        <w:pStyle w:val="ListBullet"/>
      </w:pPr>
      <w:r>
        <w:rPr>
          <w:sz w:val="22"/>
        </w:rPr>
        <w:t xml:space="preserve">Autoconsumo solar: </w:t>
      </w:r>
      <w:r>
        <w:rPr>
          <w:b/>
          <w:sz w:val="22"/>
        </w:rPr>
        <w:t>5%</w:t>
      </w:r>
    </w:p>
    <w:p>
      <w:pPr>
        <w:pStyle w:val="ListBullet"/>
      </w:pPr>
      <w:r>
        <w:rPr>
          <w:sz w:val="22"/>
        </w:rPr>
        <w:t xml:space="preserve">Estabilidad de red: </w:t>
      </w:r>
      <w:r>
        <w:rPr>
          <w:b/>
          <w:sz w:val="22"/>
        </w:rPr>
        <w:t>5%</w:t>
      </w:r>
    </w:p>
    <w:p>
      <w:pPr>
        <w:pStyle w:val="Heading1"/>
        <w:jc w:val="left"/>
      </w:pPr>
      <w:r>
        <w:t>3. Escenario de Referencia (Baseline)</w:t>
      </w:r>
    </w:p>
    <w:p>
      <w:pPr>
        <w:jc w:val="both"/>
      </w:pPr>
      <w:r>
        <w:rPr>
          <w:sz w:val="22"/>
        </w:rPr>
        <w:t>El baseline representa la operación sin control inteligente, considerando la generación solar de 4,050 kWp pero sin agente RL ni optimización BESS. Las emisiones se calculan a partir del factor MINEM 2024 para Iquitos.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Métrica Baseline</w:t>
            </w:r>
          </w:p>
        </w:tc>
        <w:tc>
          <w:tcPr>
            <w:tcW w:type="dxa" w:w="456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 Anual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total emitido (sin control RL)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5.926.304 kg CO₂/año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reducción directa (EVs vs combustión)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330.029 kg CO₂/año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indirecto EV (red, sin optimización solar)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334.435 kg CO₂/año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total mall + EVs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5.591.868 kg CO₂/año (mall)</w:t>
            </w:r>
          </w:p>
        </w:tc>
      </w:tr>
    </w:tbl>
    <w:p/>
    <w:p>
      <w:pPr>
        <w:pStyle w:val="Heading1"/>
        <w:jc w:val="left"/>
      </w:pPr>
      <w:r>
        <w:t>4. Resultados del Entrenamiento por Agente</w:t>
      </w:r>
    </w:p>
    <w:p>
      <w:pPr>
        <w:pStyle w:val="Heading2"/>
        <w:jc w:val="left"/>
      </w:pPr>
      <w:r>
        <w:t>4.1 Agente SAC (Soft Actor-Critic)</w:t>
      </w:r>
    </w:p>
    <w:p>
      <w:pPr>
        <w:jc w:val="both"/>
      </w:pPr>
      <w:r>
        <w:rPr>
          <w:sz w:val="22"/>
        </w:rPr>
        <w:t>SAC es un algoritmo fuera de línea (off-policy) basado en la maximización de entropía. Es especialmente adecuado para espacios de acción continuos y funciones de recompensa asimétricas, como la presente. Se entrenó con GPU (NVIDIA RTX 4060).</w:t>
      </w:r>
    </w:p>
    <w:p>
      <w:pPr>
        <w:pStyle w:val="Heading3"/>
        <w:jc w:val="left"/>
      </w:pPr>
      <w:r>
        <w:t>4.1.1 Convergencia del Entrenamiento</w:t>
      </w:r>
    </w:p>
    <w:p>
      <w:pPr>
        <w:jc w:val="both"/>
      </w:pPr>
      <w:r>
        <w:rPr>
          <w:sz w:val="22"/>
        </w:rPr>
        <w:t>La recompensa por episodio mostró una evolución positiva y consistente a lo largo de los 50 episodios de entrenamiento:</w:t>
        <w:br/>
        <w:t xml:space="preserve">  • Episodio 1:   -268,41</w:t>
        <w:br/>
        <w:t xml:space="preserve">  • Episodio 10:  -97,74</w:t>
        <w:br/>
        <w:t xml:space="preserve">  • Episodio 25:  204,91</w:t>
        <w:br/>
        <w:t xml:space="preserve">  • Episodio 50:  237,67</w:t>
        <w:br/>
        <w:br/>
        <w:t>La recompensa de validación (media de 10 episodios independientes) fue de 250,98, con desviación estándar de 0,0000.</w:t>
      </w:r>
    </w:p>
    <w:p>
      <w:pPr>
        <w:pStyle w:val="Heading3"/>
        <w:jc w:val="left"/>
      </w:pPr>
      <w:r>
        <w:t>4.1.2 Métricas de CO₂ y Eficiencia Energética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Métrica SAC</w:t>
            </w:r>
          </w:p>
        </w:tc>
        <w:tc>
          <w:tcPr>
            <w:tcW w:type="dxa" w:w="4561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Recompensa media (validación)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250,98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evitado anual (validación)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4.079.075 kg/año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evitado directo (50 eps)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16.501.486 kg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evitado indirecto (50 eps)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187.452.278 kg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Generación solar utilizada/ep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8.292.514 kWh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Importación de red/ep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4.910.405 kWh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% CO₂ evitado / total emitido baseline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68,83%</w:t>
            </w:r>
          </w:p>
        </w:tc>
      </w:tr>
    </w:tbl>
    <w:p/>
    <w:p>
      <w:pPr>
        <w:jc w:val="both"/>
      </w:pPr>
      <w:r>
        <w:rPr>
          <w:sz w:val="22"/>
        </w:rPr>
        <w:t>Durante la validación, el agente SAC gestionó simultáneamente hasta 30 sockets de motos y 8 sockets de mototaxis en el período pico (09:00–20:00 h). El tiempo total de entrenamiento fue de 73,4 minutos (1,22 horas) con GPU.</w:t>
      </w:r>
    </w:p>
    <w:p>
      <w:pPr>
        <w:pStyle w:val="Heading2"/>
        <w:jc w:val="left"/>
      </w:pPr>
      <w:r>
        <w:t>4.2 Agente A2C (Advantage Actor-Critic)</w:t>
      </w:r>
    </w:p>
    <w:p>
      <w:pPr>
        <w:jc w:val="both"/>
      </w:pPr>
      <w:r>
        <w:rPr>
          <w:sz w:val="22"/>
        </w:rPr>
        <w:t>A2C es un algoritmo en línea (on-policy) que actualiza la política a cada paso. Su arquitectura actor-crítico permite convergencia rápida en entornos episódicos discretos. Se entrenó en CPU.</w:t>
      </w:r>
    </w:p>
    <w:p>
      <w:pPr>
        <w:pStyle w:val="Heading3"/>
        <w:jc w:val="left"/>
      </w:pPr>
      <w:r>
        <w:t>4.2.1 Convergencia del Entrenamiento</w:t>
      </w:r>
    </w:p>
    <w:p>
      <w:pPr>
        <w:jc w:val="both"/>
      </w:pPr>
      <w:r>
        <w:rPr>
          <w:sz w:val="22"/>
        </w:rPr>
        <w:t>El agente A2C mostró la convergencia más rápida de los tres agentes evaluados:</w:t>
        <w:br/>
        <w:t xml:space="preserve">  • Episodio 1:   -688,55</w:t>
        <w:br/>
        <w:t xml:space="preserve">  • Episodio 10:  197,75</w:t>
        <w:br/>
        <w:t xml:space="preserve">  • Episodio 25:  205,37</w:t>
        <w:br/>
        <w:t xml:space="preserve">  • Episodio 50:  308,48</w:t>
        <w:br/>
        <w:br/>
        <w:t>La recompensa de validación fue de 331,44, la más alta de los tres agentes, con desviación estándar de 0,0000.</w:t>
      </w:r>
    </w:p>
    <w:p>
      <w:pPr>
        <w:pStyle w:val="Heading3"/>
        <w:jc w:val="left"/>
      </w:pPr>
      <w:r>
        <w:t>4.2.2 Métricas de CO₂ y Eficiencia Energética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B43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Métrica A2C</w:t>
            </w:r>
          </w:p>
        </w:tc>
        <w:tc>
          <w:tcPr>
            <w:tcW w:type="dxa" w:w="4561"/>
            <w:shd w:val="clear" w:color="auto" w:fill="1B433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Recompensa media (validación)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331,44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evitado anual (validación)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4.079.075 kg/año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evitado directo (50 eps)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16.501.486 kg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evitado indirecto (50 eps)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187.452.278 kg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Generación solar utilizada/ep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8.292.514 kWh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Importación de red/ep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4.395.727 kWh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% CO₂ evitado / total emitido baseline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68,83%</w:t>
            </w:r>
          </w:p>
        </w:tc>
      </w:tr>
    </w:tbl>
    <w:p/>
    <w:p>
      <w:pPr>
        <w:jc w:val="both"/>
      </w:pPr>
      <w:r>
        <w:rPr>
          <w:sz w:val="22"/>
        </w:rPr>
        <w:t>A2C gestionó hasta 29 sockets de motos y 8 sockets de mototaxis simultáneamente. El tiempo de entrenamiento fue de 48,9 minutos en CPU, significativamente menor que SAC.</w:t>
      </w:r>
    </w:p>
    <w:p>
      <w:pPr>
        <w:pStyle w:val="Heading2"/>
        <w:jc w:val="left"/>
      </w:pPr>
      <w:r>
        <w:t>4.3 Agente PPO (Proximal Policy Optimization)</w:t>
      </w:r>
    </w:p>
    <w:p>
      <w:pPr>
        <w:jc w:val="both"/>
      </w:pPr>
      <w:r>
        <w:rPr>
          <w:sz w:val="22"/>
        </w:rPr>
        <w:t>PPO es un algoritmo en línea (on-policy) con restricción de cambio de política mediante clipping, lo que mejora la estabilidad del entrenamiento. Se entrenó en CPU con 438,000 pasos en 50 episodios.</w:t>
      </w:r>
    </w:p>
    <w:p>
      <w:pPr>
        <w:pStyle w:val="Heading3"/>
        <w:jc w:val="left"/>
      </w:pPr>
      <w:r>
        <w:t>4.3.1 Convergencia del Entrenamiento</w:t>
      </w:r>
    </w:p>
    <w:p>
      <w:pPr>
        <w:jc w:val="both"/>
      </w:pPr>
      <w:r>
        <w:rPr>
          <w:sz w:val="22"/>
        </w:rPr>
        <w:t>PPO mostró una tendencia de mejora sostenida durante el entrenamiento, aunque partió de recompensas negativas profundas:</w:t>
        <w:br/>
        <w:t xml:space="preserve">  • Episodio 1:   -582,76</w:t>
        <w:br/>
        <w:t xml:space="preserve">  • Episodio 10:  -444,19</w:t>
        <w:br/>
        <w:t xml:space="preserve">  • Episodio 25:  -194,45</w:t>
        <w:br/>
        <w:t xml:space="preserve">  • Episodio 50:  -90,81</w:t>
        <w:br/>
        <w:br/>
        <w:t>La recompensa de validación fue de -21,39, indicando que el agente aún se encontraba en fase de convergencia. El tiempo de entrenamiento fue notablemente corto: 15,0 minutos, lo que sugiere que la sesión fue parcial y se requeriría entrenamiento adicional para alcanzar la convergencia plena.</w:t>
      </w:r>
    </w:p>
    <w:p>
      <w:pPr>
        <w:pStyle w:val="Heading3"/>
        <w:jc w:val="left"/>
      </w:pPr>
      <w:r>
        <w:t>4.3.2 Métricas de CO₂ y Eficiencia Energética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7B2D8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Métrica PPO</w:t>
            </w:r>
          </w:p>
        </w:tc>
        <w:tc>
          <w:tcPr>
            <w:tcW w:type="dxa" w:w="4561"/>
            <w:shd w:val="clear" w:color="auto" w:fill="7B2D8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Recompensa media (validación)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-21,39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evitado anual (validación)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4.171.336 kg/año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evitado directo (50 eps)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16.501.486 kg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CO₂ evitado indirecto (50 eps)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192.065.343 kg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Importación de red/ep</w:t>
            </w:r>
          </w:p>
        </w:tc>
        <w:tc>
          <w:tcPr>
            <w:tcW w:type="dxa" w:w="4561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6.609.548 kWh</w:t>
            </w:r>
          </w:p>
        </w:tc>
      </w:tr>
      <w:tr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% CO₂ evitado / total emitido baseline</w:t>
            </w:r>
          </w:p>
        </w:tc>
        <w:tc>
          <w:tcPr>
            <w:tcW w:type="dxa" w:w="4561"/>
            <w:shd w:val="clear" w:color="auto" w:fill="D9E2F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70,39%</w:t>
            </w:r>
          </w:p>
        </w:tc>
      </w:tr>
    </w:tbl>
    <w:p/>
    <w:p>
      <w:pPr>
        <w:jc w:val="both"/>
      </w:pPr>
      <w:r>
        <w:rPr>
          <w:sz w:val="22"/>
        </w:rPr>
        <w:t>Nota: Los conteos de vehículos de PPO (121,168 motos; 23,348 mototaxis) representan cargas acumuladas durante todo el episodio (365 días), no sockets simultáneos. Esto difiere de la métrica de SAC y A2C que reportan el máximo de sockets activos simultáneamente.</w:t>
      </w:r>
    </w:p>
    <w:p>
      <w:pPr>
        <w:pStyle w:val="Heading1"/>
        <w:jc w:val="left"/>
      </w:pPr>
      <w:r>
        <w:t>5. Análisis Comparativo de los Tres Agentes</w:t>
      </w:r>
    </w:p>
    <w:p>
      <w:pPr>
        <w:jc w:val="both"/>
      </w:pPr>
      <w:r>
        <w:rPr>
          <w:sz w:val="22"/>
        </w:rPr>
        <w:t>La Tabla 5.1 presenta el resumen comparativo de los tres agentes evaluados frente al escenario baseline. Los valores de CO₂ evitado corresponden a la fase de validación (10 episodios independientes, sin información previa del entorno de prueba).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1824"/>
            <w:shd w:val="clear" w:color="auto" w:fill="2E40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SAC</w:t>
            </w:r>
          </w:p>
        </w:tc>
        <w:tc>
          <w:tcPr>
            <w:tcW w:type="dxa" w:w="1824"/>
            <w:shd w:val="clear" w:color="auto" w:fill="1B43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A2C</w:t>
            </w:r>
          </w:p>
        </w:tc>
        <w:tc>
          <w:tcPr>
            <w:tcW w:type="dxa" w:w="1824"/>
            <w:shd w:val="clear" w:color="auto" w:fill="7B2D8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PPO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b/>
                <w:sz w:val="18"/>
              </w:rPr>
              <w:t>Recompensa validación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250,98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331,44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-21,39</w:t>
            </w:r>
          </w:p>
        </w:tc>
      </w:tr>
      <w:tr>
        <w:tc>
          <w:tcPr>
            <w:tcW w:type="dxa" w:w="1824"/>
            <w:shd w:val="clear" w:color="auto" w:fill="D9E2F3"/>
          </w:tcPr>
          <w:p>
            <w:pPr>
              <w:jc w:val="left"/>
            </w:pPr>
            <w:r/>
            <w:r>
              <w:rPr>
                <w:b/>
                <w:sz w:val="18"/>
              </w:rPr>
              <w:t>CO₂ evitado anual (kg)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330.029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4.079.075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4.079.075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4.171.336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b/>
                <w:sz w:val="18"/>
              </w:rPr>
              <w:t>% CO₂ evitado / baseline emitido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5,57%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68,83%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68,83%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70,39%</w:t>
            </w:r>
          </w:p>
        </w:tc>
      </w:tr>
      <w:tr>
        <w:tc>
          <w:tcPr>
            <w:tcW w:type="dxa" w:w="1824"/>
            <w:shd w:val="clear" w:color="auto" w:fill="D9E2F3"/>
          </w:tcPr>
          <w:p>
            <w:pPr>
              <w:jc w:val="left"/>
            </w:pPr>
            <w:r/>
            <w:r>
              <w:rPr>
                <w:b/>
                <w:sz w:val="18"/>
              </w:rPr>
              <w:t>Solar kWh/año (validación)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8.292.514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8.292.514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b/>
                <w:sz w:val="18"/>
              </w:rPr>
              <w:t>Importación red kWh/año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4.910.405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4.395.727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6.609.548</w:t>
            </w:r>
          </w:p>
        </w:tc>
      </w:tr>
      <w:tr>
        <w:tc>
          <w:tcPr>
            <w:tcW w:type="dxa" w:w="1824"/>
            <w:shd w:val="clear" w:color="auto" w:fill="D9E2F3"/>
          </w:tcPr>
          <w:p>
            <w:pPr>
              <w:jc w:val="left"/>
            </w:pPr>
            <w:r/>
            <w:r>
              <w:rPr>
                <w:b/>
                <w:sz w:val="18"/>
              </w:rPr>
              <w:t>Motos sockets (máx. simultáneos)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—†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b/>
                <w:sz w:val="18"/>
              </w:rPr>
              <w:t>Mototaxis sockets (máx. simultáneos)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—†</w:t>
            </w:r>
          </w:p>
        </w:tc>
      </w:tr>
      <w:tr>
        <w:tc>
          <w:tcPr>
            <w:tcW w:type="dxa" w:w="1824"/>
            <w:shd w:val="clear" w:color="auto" w:fill="D9E2F3"/>
          </w:tcPr>
          <w:p>
            <w:pPr>
              <w:jc w:val="left"/>
            </w:pPr>
            <w:r/>
            <w:r>
              <w:rPr>
                <w:b/>
                <w:sz w:val="18"/>
              </w:rPr>
              <w:t>Duración entrenamiento (min)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73,4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48,9</w:t>
            </w:r>
          </w:p>
        </w:tc>
        <w:tc>
          <w:tcPr>
            <w:tcW w:type="dxa" w:w="1824"/>
            <w:shd w:val="clear" w:color="auto" w:fill="D9E2F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15,0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/>
            <w:r>
              <w:rPr>
                <w:b/>
                <w:sz w:val="18"/>
              </w:rPr>
              <w:t>Hardware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GPU RTX 4060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CPU</w:t>
            </w:r>
          </w:p>
        </w:tc>
        <w:tc>
          <w:tcPr>
            <w:tcW w:type="dxa" w:w="18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CPU</w:t>
            </w:r>
          </w:p>
        </w:tc>
      </w:tr>
    </w:tbl>
    <w:p/>
    <w:p>
      <w:pPr>
        <w:jc w:val="both"/>
      </w:pPr>
      <w:r>
        <w:rPr>
          <w:sz w:val="18"/>
        </w:rPr>
        <w:t>† Los conteos de PPO son acumulados por episodio (365 días), no simultáneos.</w:t>
      </w:r>
    </w:p>
    <w:p>
      <w:pPr>
        <w:pStyle w:val="Heading1"/>
        <w:jc w:val="left"/>
      </w:pPr>
      <w:r>
        <w:t>6. Discusión de Resultados</w:t>
      </w:r>
    </w:p>
    <w:p>
      <w:pPr>
        <w:pStyle w:val="Heading2"/>
        <w:jc w:val="left"/>
      </w:pPr>
      <w:r>
        <w:t>6.1 Comparación Global</w:t>
      </w:r>
    </w:p>
    <w:p>
      <w:pPr>
        <w:jc w:val="both"/>
      </w:pPr>
      <w:r>
        <w:rPr>
          <w:sz w:val="22"/>
        </w:rPr>
        <w:t>Los resultados demuestran que los tres agentes RL superan significativamente el escenario baseline en términos de CO₂ evitado. El baseline, sin control inteligente, reporta una reducción directa de 330.029 kg/año (sustitución de combustible fósil). Los agentes RL, al optimizar la carga usando generación solar, amplifican este beneficio a 4.079.075 kg/año (SAC y A2C) y 4.171.336 kg/año (PPO).</w:t>
      </w:r>
    </w:p>
    <w:p>
      <w:pPr>
        <w:pStyle w:val="Heading2"/>
        <w:jc w:val="left"/>
      </w:pPr>
      <w:r>
        <w:t>6.2 Agente Recomendado: A2C</w:t>
      </w:r>
    </w:p>
    <w:p>
      <w:pPr>
        <w:jc w:val="both"/>
      </w:pPr>
      <w:r>
        <w:rPr>
          <w:sz w:val="22"/>
        </w:rPr>
        <w:t>El agente A2C obtuvo la recompensa de validación más alta (331,44), con un CO₂ evitado anual de 4.079.075 kg equivalente al 68,83% de las emisiones totales del baseline. Esto representa una mejora de 32,1% sobre SAC en términos de recompensa. Adicionalmente, A2C completó el entrenamiento en 48,9 minutos en CPU, lo que lo hace más accesible para implementaciones sin GPU dedicada.</w:t>
      </w:r>
    </w:p>
    <w:p>
      <w:pPr>
        <w:pStyle w:val="Heading2"/>
        <w:jc w:val="left"/>
      </w:pPr>
      <w:r>
        <w:t>6.3 SAC — Agente Estable con GPU</w:t>
      </w:r>
    </w:p>
    <w:p>
      <w:pPr>
        <w:jc w:val="both"/>
      </w:pPr>
      <w:r>
        <w:rPr>
          <w:sz w:val="22"/>
        </w:rPr>
        <w:t>SAC mostró alta estabilidad (std_reward = 0,0000) y convergencia monótona desde el episodio 1 (-268,41) hasta el episodio 50 (237,67). Su arquitectura off-policy lo hace eficiente en entornos con recompensas asimétricas. Sin embargo, requiere GPU para tiempos razonables de entrenamiento (1,22 horas).</w:t>
      </w:r>
    </w:p>
    <w:p>
      <w:pPr>
        <w:pStyle w:val="Heading2"/>
        <w:jc w:val="left"/>
      </w:pPr>
      <w:r>
        <w:t>6.4 PPO — Convergencia Parcial</w:t>
      </w:r>
    </w:p>
    <w:p>
      <w:pPr>
        <w:jc w:val="both"/>
      </w:pPr>
      <w:r>
        <w:rPr>
          <w:sz w:val="22"/>
        </w:rPr>
        <w:t>PPO mostró mejora progresiva de -582,76 (ep.1) a -90,81 (ep.50), pero con recompensa de validación aún negativa (-21,39). La duración extremadamente corta del entrenamiento (15,0 min) sugiere que la sesión fue interrumpida antes de la convergencia completa. Se recomienda un re-entrenamiento con al menos 100 episodios para obtener resultados comparables.</w:t>
      </w:r>
    </w:p>
    <w:p>
      <w:pPr>
        <w:pStyle w:val="Heading1"/>
        <w:jc w:val="left"/>
      </w:pPr>
      <w:r>
        <w:t>7. Conclusiones</w:t>
      </w:r>
    </w:p>
    <w:p>
      <w:pPr>
        <w:pStyle w:val="ListNumber"/>
        <w:jc w:val="both"/>
      </w:pPr>
      <w:r>
        <w:rPr>
          <w:sz w:val="22"/>
        </w:rPr>
        <w:t>Los tres agentes RL evaluados (SAC, PPO, A2C) logran reducir las emisiones de CO₂ respecto al baseline de referencia, siendo A2C el de mejor desempeño con 4.079.075 kg CO₂ evitados por año.</w:t>
      </w:r>
    </w:p>
    <w:p>
      <w:pPr>
        <w:pStyle w:val="ListNumber"/>
        <w:jc w:val="both"/>
      </w:pPr>
      <w:r>
        <w:rPr>
          <w:sz w:val="22"/>
        </w:rPr>
        <w:t>El agente A2C se selecciona como el agente IA óptimo para la gestión de recarga inteligente en el proyecto pvbesscar, con recompensa de validación de 331,44 y tiempo de entrenamiento de 48,9 minutos en CPU.</w:t>
      </w:r>
    </w:p>
    <w:p>
      <w:pPr>
        <w:pStyle w:val="ListNumber"/>
        <w:jc w:val="both"/>
      </w:pPr>
      <w:r>
        <w:rPr>
          <w:sz w:val="22"/>
        </w:rPr>
        <w:t>El factor de reducción de CO₂ calculado (68,83% sobre el total emitido sin control) demuestra el impacto cuantificable de la gestión inteligente de carga en Iquitos, cumpliendo con el objetivo OE3 del proyecto.</w:t>
      </w:r>
    </w:p>
    <w:p>
      <w:pPr>
        <w:pStyle w:val="ListNumber"/>
        <w:jc w:val="both"/>
      </w:pPr>
      <w:r>
        <w:rPr>
          <w:sz w:val="22"/>
        </w:rPr>
        <w:t>El factor de emisión de Iquitos de 0.4521 kg CO₂/kWh (MINEM 2024) convierte cada kWh desplazado de la red en un beneficio ambiental directo, amplificado por la generación solar de 4,050 kWp.</w:t>
      </w:r>
    </w:p>
    <w:p>
      <w:pPr>
        <w:pStyle w:val="ListNumber"/>
        <w:jc w:val="both"/>
      </w:pPr>
      <w:r>
        <w:rPr>
          <w:sz w:val="22"/>
        </w:rPr>
        <w:t>Para trabajo futuro, se recomienda el re-entrenamiento de PPO con al menos 100 episodios completos y la evaluación de hiperparámetros optimizados para mejorar su convergencia en este entorno específico.</w:t>
      </w:r>
    </w:p>
    <w:p>
      <w:pPr>
        <w:pStyle w:val="Heading1"/>
        <w:jc w:val="left"/>
      </w:pPr>
      <w:r>
        <w:t>8. Referencias</w:t>
      </w:r>
    </w:p>
    <w:p>
      <w:pPr>
        <w:pStyle w:val="ListNumber"/>
        <w:jc w:val="both"/>
      </w:pPr>
      <w:r>
        <w:rPr>
          <w:sz w:val="20"/>
        </w:rPr>
        <w:t>MINEM (2024). Factor de Emisión de CO₂ de la Red Eléctrica del Perú. Ministerio de Energía y Minas, Lima, Perú. 0.4521 kg CO₂/kWh.</w:t>
      </w:r>
    </w:p>
    <w:p>
      <w:pPr>
        <w:pStyle w:val="ListNumber"/>
        <w:jc w:val="both"/>
      </w:pPr>
      <w:r>
        <w:rPr>
          <w:sz w:val="20"/>
        </w:rPr>
        <w:t>IPCC (2006). IPCC Guidelines for National Greenhouse Gas Inventories, Volume 2: Energy. Intergovernmental Panel on Climate Change.</w:t>
      </w:r>
    </w:p>
    <w:p>
      <w:pPr>
        <w:pStyle w:val="ListNumber"/>
        <w:jc w:val="both"/>
      </w:pPr>
      <w:r>
        <w:rPr>
          <w:sz w:val="20"/>
        </w:rPr>
        <w:t>Haarnoja, T., Zhou, A., Abbeel, P., &amp; Levine, S. (2018). Soft Actor-Critic: Off-Policy Maximum Entropy Deep Reinforcement Learning with a Stochastic Actor. ICML 2018.</w:t>
      </w:r>
    </w:p>
    <w:p>
      <w:pPr>
        <w:pStyle w:val="ListNumber"/>
        <w:jc w:val="both"/>
      </w:pPr>
      <w:r>
        <w:rPr>
          <w:sz w:val="20"/>
        </w:rPr>
        <w:t>Schulman, J., Wolski, F., Dhariwal, P., Radford, A., &amp; Klimov, O. (2017). Proximal Policy Optimization Algorithms. arXiv:1707.06347.</w:t>
      </w:r>
    </w:p>
    <w:p>
      <w:pPr>
        <w:pStyle w:val="ListNumber"/>
        <w:jc w:val="both"/>
      </w:pPr>
      <w:r>
        <w:rPr>
          <w:sz w:val="20"/>
        </w:rPr>
        <w:t>Mnih, V. et al. (2016). Asynchronous Methods for Deep Reinforcement Learning. ICML 2016. [Base de A2C].</w:t>
      </w:r>
    </w:p>
    <w:p>
      <w:pPr>
        <w:pStyle w:val="ListNumber"/>
        <w:jc w:val="both"/>
      </w:pPr>
      <w:r>
        <w:rPr>
          <w:sz w:val="20"/>
        </w:rPr>
        <w:t>Vázquez-Canteli, J.R. et al. (2020). CityLearn v1.0: An OpenAI Gym Environment for Demand Response with Deep Reinforcement Learning. BuildSys 2019.</w:t>
      </w:r>
    </w:p>
    <w:p>
      <w:pPr>
        <w:pStyle w:val="ListNumber"/>
        <w:jc w:val="both"/>
      </w:pPr>
      <w:r>
        <w:rPr>
          <w:sz w:val="20"/>
        </w:rPr>
        <w:t>Raffin, A. et al. (2021). Stable-Baselines3: Reliable Reinforcement Learning Implementations. Journal of Machine Learning Research, 22(268), 1-8.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