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Final Adaptado - OE1 a OE3</w:t>
      </w:r>
    </w:p>
    <w:p>
      <w:r>
        <w:t>Este documento resume el desarrollo completo del proyecto CityLearn-EV para el Mall de Iquitos, manteniendo la estructura original del documento IT_TAPIA_COYSO_MAC_v6 y agregando los resultados actualizados de OE1, OE2 y OE3.</w:t>
      </w:r>
    </w:p>
    <w:p>
      <w:pPr>
        <w:pStyle w:val="Heading2"/>
      </w:pPr>
      <w:r>
        <w:t>1. OE1 - Ubicación Estratégica (Numeral 4.6.2)</w:t>
      </w:r>
    </w:p>
    <w:p>
      <w:r>
        <w:t>El Mall de Iquitos se seleccionó tras un análisis de 10 ubicaciones (Tabla 10). Algunos valores clave: área techada 20,637 m2, área útil 13,414 m2, área de estacionamiento 957 m2, distancia a SET Santa Rosa 60 m, flota pico de 900 motos y 130 mototaxis con permanencia mínima de 4 h. Estos datos alimentan la configuración `oe1.site.*` en configs/default.yaml y son la base para OE2.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Indicador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Referencia</w:t>
            </w:r>
          </w:p>
        </w:tc>
      </w:tr>
      <w:tr>
        <w:tc>
          <w:tcPr>
            <w:tcW w:type="dxa" w:w="2880"/>
          </w:tcPr>
          <w:p>
            <w:r>
              <w:t>Área techada disponible</w:t>
            </w:r>
          </w:p>
        </w:tc>
        <w:tc>
          <w:tcPr>
            <w:tcW w:type="dxa" w:w="2880"/>
          </w:tcPr>
          <w:p>
            <w:r>
              <w:t>20,637 m2</w:t>
            </w:r>
          </w:p>
        </w:tc>
        <w:tc>
          <w:tcPr>
            <w:tcW w:type="dxa" w:w="2880"/>
          </w:tcPr>
          <w:p>
            <w:r>
              <w:t>reports/oe1/oe1_objetivo1_ubicacion.md</w:t>
            </w:r>
          </w:p>
        </w:tc>
      </w:tr>
      <w:tr>
        <w:tc>
          <w:tcPr>
            <w:tcW w:type="dxa" w:w="2880"/>
          </w:tcPr>
          <w:p>
            <w:r>
              <w:t>Permanencia mínima</w:t>
            </w:r>
          </w:p>
        </w:tc>
        <w:tc>
          <w:tcPr>
            <w:tcW w:type="dxa" w:w="2880"/>
          </w:tcPr>
          <w:p>
            <w:r>
              <w:t>≥4 h</w:t>
            </w:r>
          </w:p>
        </w:tc>
        <w:tc>
          <w:tcPr>
            <w:tcW w:type="dxa" w:w="2880"/>
          </w:tcPr>
          <w:p>
            <w:r>
              <w:t>Visita 19/10/2025 19:00</w:t>
            </w:r>
          </w:p>
        </w:tc>
      </w:tr>
      <w:tr>
        <w:tc>
          <w:tcPr>
            <w:tcW w:type="dxa" w:w="2880"/>
          </w:tcPr>
          <w:p>
            <w:r>
              <w:t>Flota en hora pico</w:t>
            </w:r>
          </w:p>
        </w:tc>
        <w:tc>
          <w:tcPr>
            <w:tcW w:type="dxa" w:w="2880"/>
          </w:tcPr>
          <w:p>
            <w:r>
              <w:t>900 motos + 130 mototaxis</w:t>
            </w:r>
          </w:p>
        </w:tc>
        <w:tc>
          <w:tcPr>
            <w:tcW w:type="dxa" w:w="2880"/>
          </w:tcPr>
          <w:p>
            <w:r>
              <w:t>reports/oe1/location_summary.md</w:t>
            </w:r>
          </w:p>
        </w:tc>
      </w:tr>
    </w:tbl>
    <w:p>
      <w:pPr>
        <w:pStyle w:val="Heading2"/>
      </w:pPr>
      <w:r>
        <w:t>2. OE2 - Dimensionamiento estacionamiento PV, BESS y cargadores</w:t>
      </w:r>
    </w:p>
    <w:p>
      <w:r>
        <w:t>La fase OE2 utiliza la información OE1 para calcular: (i) 8,224 módulos SunPower SPR-315E (2,591 kWp) con inversor Sungrow SG2500U de 2,500 kW AC, (ii) BESS de 740 kWh / 370 kW con SOC mínimo 20% y eficiencia 90%, y (iii) 31 cargadores Modo 3 con 124 sockets que atienden una demanda diaria EV de 644 kWh. El balance energético diario asigna primero la energía PV a EV y al BESS; el excedente (≈222 kWh/día) cubre demanda del mall y se exporta.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Valor clave</w:t>
            </w:r>
          </w:p>
        </w:tc>
        <w:tc>
          <w:tcPr>
            <w:tcW w:type="dxa" w:w="2880"/>
          </w:tcPr>
          <w:p>
            <w:r>
              <w:t>Fuente</w:t>
            </w:r>
          </w:p>
        </w:tc>
      </w:tr>
      <w:tr>
        <w:tc>
          <w:tcPr>
            <w:tcW w:type="dxa" w:w="2880"/>
          </w:tcPr>
          <w:p>
            <w:r>
              <w:t>PV</w:t>
            </w:r>
          </w:p>
        </w:tc>
        <w:tc>
          <w:tcPr>
            <w:tcW w:type="dxa" w:w="2880"/>
          </w:tcPr>
          <w:p>
            <w:r>
              <w:t>2,591 kWp → 3,299 MWh/año</w:t>
            </w:r>
          </w:p>
        </w:tc>
        <w:tc>
          <w:tcPr>
            <w:tcW w:type="dxa" w:w="2880"/>
          </w:tcPr>
          <w:p>
            <w:r>
              <w:t>reports/oe2/REPORTE_SISTEMA_COMPLETO.md</w:t>
            </w:r>
          </w:p>
        </w:tc>
      </w:tr>
      <w:tr>
        <w:tc>
          <w:tcPr>
            <w:tcW w:type="dxa" w:w="2880"/>
          </w:tcPr>
          <w:p>
            <w:r>
              <w:t>BESS</w:t>
            </w:r>
          </w:p>
        </w:tc>
        <w:tc>
          <w:tcPr>
            <w:tcW w:type="dxa" w:w="2880"/>
          </w:tcPr>
          <w:p>
            <w:r>
              <w:t>740 kWh / 370 kW, DoD 80%, SOC min 20%</w:t>
            </w:r>
          </w:p>
        </w:tc>
        <w:tc>
          <w:tcPr>
            <w:tcW w:type="dxa" w:w="2880"/>
          </w:tcPr>
          <w:p>
            <w:r>
              <w:t>reports/oe2/REPORTE_SISTEMA_COMPLETO.md</w:t>
            </w:r>
          </w:p>
        </w:tc>
      </w:tr>
      <w:tr>
        <w:tc>
          <w:tcPr>
            <w:tcW w:type="dxa" w:w="2880"/>
          </w:tcPr>
          <w:p>
            <w:r>
              <w:t>Cargadores</w:t>
            </w:r>
          </w:p>
        </w:tc>
        <w:tc>
          <w:tcPr>
            <w:tcW w:type="dxa" w:w="2880"/>
          </w:tcPr>
          <w:p>
            <w:r>
              <w:t>31 unidades, 124 sockets, 644 kWh/día EV</w:t>
            </w:r>
          </w:p>
        </w:tc>
        <w:tc>
          <w:tcPr>
            <w:tcW w:type="dxa" w:w="2880"/>
          </w:tcPr>
          <w:p>
            <w:r>
              <w:t>reports/oe2/REPORTE_SISTEMA_COMPLETO.md</w:t>
            </w:r>
          </w:p>
        </w:tc>
      </w:tr>
    </w:tbl>
    <w:p>
      <w:r>
        <w:t>Balance energético: demanda mall + EV 34,531 kWh/día, PV 9,016 kWh/día, déficit 25,795 kWh/día cubierto por red; autosuficiencia 25.3%.</w:t>
      </w:r>
    </w:p>
    <w:p>
      <w:pPr>
        <w:pStyle w:val="Heading2"/>
      </w:pPr>
      <w:r>
        <w:t>3. OE3 - Agentes, entrenamiento y reducción de CO₂</w:t>
      </w:r>
    </w:p>
    <w:p>
      <w:r>
        <w:t>Se actualizaron los esquemas `schema_pv_bess.json` y `schema_grid_only.json`. Se entrenaron los agentes SAC v2 (SB3), PPO (clip + KL adaptativa 0.015) y A2C en CityLearn. El mejor agente seleccionado fue A2C para maximizar la reducción de CO₂ y garantizar cumplimiento OE.3. Los logs y métricas se registran en reports/oe3 y analyses/oe3/training/.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Agente</w:t>
            </w:r>
          </w:p>
        </w:tc>
        <w:tc>
          <w:tcPr>
            <w:tcW w:type="dxa" w:w="2880"/>
          </w:tcPr>
          <w:p>
            <w:r>
              <w:t>Mejor reward</w:t>
            </w:r>
          </w:p>
        </w:tc>
        <w:tc>
          <w:tcPr>
            <w:tcW w:type="dxa" w:w="2880"/>
          </w:tcPr>
          <w:p>
            <w:r>
              <w:t>Pasos</w:t>
            </w:r>
          </w:p>
        </w:tc>
      </w:tr>
      <w:tr>
        <w:tc>
          <w:tcPr>
            <w:tcW w:type="dxa" w:w="2880"/>
          </w:tcPr>
          <w:p>
            <w:r>
              <w:t>SAC</w:t>
            </w:r>
          </w:p>
        </w:tc>
        <w:tc>
          <w:tcPr>
            <w:tcW w:type="dxa" w:w="2880"/>
          </w:tcPr>
          <w:p>
            <w:r>
              <w:t>8,258.94</w:t>
            </w:r>
          </w:p>
        </w:tc>
        <w:tc>
          <w:tcPr>
            <w:tcW w:type="dxa" w:w="2880"/>
          </w:tcPr>
          <w:p>
            <w:r>
              <w:t>87,595</w:t>
            </w:r>
          </w:p>
        </w:tc>
      </w:tr>
      <w:tr>
        <w:tc>
          <w:tcPr>
            <w:tcW w:type="dxa" w:w="2880"/>
          </w:tcPr>
          <w:p>
            <w:r>
              <w:t>PPO</w:t>
            </w:r>
          </w:p>
        </w:tc>
        <w:tc>
          <w:tcPr>
            <w:tcW w:type="dxa" w:w="2880"/>
          </w:tcPr>
          <w:p>
            <w:r>
              <w:t>8,578.47</w:t>
            </w:r>
          </w:p>
        </w:tc>
        <w:tc>
          <w:tcPr>
            <w:tcW w:type="dxa" w:w="2880"/>
          </w:tcPr>
          <w:p>
            <w:r>
              <w:t>88,851</w:t>
            </w:r>
          </w:p>
        </w:tc>
      </w:tr>
      <w:tr>
        <w:tc>
          <w:tcPr>
            <w:tcW w:type="dxa" w:w="2880"/>
          </w:tcPr>
          <w:p>
            <w:r>
              <w:t>A2C</w:t>
            </w:r>
          </w:p>
        </w:tc>
        <w:tc>
          <w:tcPr>
            <w:tcW w:type="dxa" w:w="2880"/>
          </w:tcPr>
          <w:p>
            <w:r>
              <w:t>8,502.52</w:t>
            </w:r>
          </w:p>
        </w:tc>
        <w:tc>
          <w:tcPr>
            <w:tcW w:type="dxa" w:w="2880"/>
          </w:tcPr>
          <w:p>
            <w:r>
              <w:t>96,531</w:t>
            </w:r>
          </w:p>
        </w:tc>
      </w:tr>
    </w:tbl>
    <w:p>
      <w:r>
        <w:t>Reducción de CO₂ (DATOS CORREGIDOS 2026-01-08): Línea base Grid+Combustión 8,381.16 tCO₂/año. Con PV+BESS sin control (Uncontrolled): 2,475.06 tCO₂/año (reducción 70.47%). Con A2C: 2,476.32 tCO₂/año (reducción 70.45%). Proyección 20 años: ~118,000 tCO₂ evitados. Reportes actualizados: analyses/oe3/co2_comparison_table.csv y outputs/oe3/simulations/</w:t>
      </w:r>
    </w:p>
    <w:p>
      <w:r>
        <w:t>Los agentes usan redes de CityLearn conectadas con citylearn/iquitos_ev_mall/schema_pv_bess.json y los perfiles estocásticos de `charger_profile_variants`. Se respeta la distinción entre emisiones directas e indirectas y se cuantifican tanto el escenario sin control (baseline) como el escenario controlado, ofreciendo así la contribución del proyecto al objetivo de reducción de CO₂.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