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4"/>
        <w:pBdr/>
        <w:spacing/>
        <w:ind/>
        <w:rPr>
          <w:lang w:val="es-ES"/>
        </w:rPr>
      </w:pPr>
      <w:r>
        <w:rPr>
          <w:lang w:val="es-ES"/>
        </w:rPr>
        <w:t xml:space="preserve">Tema 01 – Introducción a los Sistemas Informáticos</w:t>
      </w:r>
      <w:r>
        <w:rPr>
          <w:lang w:val="es-ES"/>
        </w:rPr>
      </w:r>
    </w:p>
    <w:p>
      <w:pPr>
        <w:pStyle w:val="747"/>
        <w:pBdr/>
        <w:spacing/>
        <w:ind/>
        <w:rPr>
          <w:lang w:val="es-ES"/>
        </w:rPr>
      </w:pPr>
      <w:r>
        <w:rPr>
          <w:lang w:val="es-ES"/>
        </w:rPr>
        <w:t xml:space="preserve">___________________________________________________________________________________</w:t>
      </w:r>
      <w:r>
        <w:rPr>
          <w:lang w:val="es-ES"/>
        </w:rPr>
      </w:r>
    </w:p>
    <w:p>
      <w:pPr>
        <w:pStyle w:val="747"/>
        <w:pBdr/>
        <w:spacing/>
        <w:ind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Haz que esto sea un &lt;&lt;</w:t>
      </w:r>
      <w:r>
        <w:rPr>
          <w:b/>
          <w:bCs/>
          <w:i/>
          <w:iCs/>
          <w:lang w:val="es-ES"/>
        </w:rPr>
        <w:t xml:space="preserve">guía burros</w:t>
      </w:r>
      <w:r>
        <w:rPr>
          <w:b/>
          <w:bCs/>
          <w:i/>
          <w:iCs/>
          <w:lang w:val="es-ES"/>
        </w:rPr>
        <w:t xml:space="preserve">&gt;&gt;, es decir, tiene que estar tan bien explicado que si se lo das a una persona sin </w:t>
      </w:r>
      <w:r>
        <w:rPr>
          <w:b/>
          <w:bCs/>
          <w:i/>
          <w:iCs/>
          <w:lang w:val="es-ES"/>
        </w:rPr>
        <w:t xml:space="preserve">conocimientos de informática, podría hacerlo solamente siguiendo los pasos</w:t>
      </w:r>
      <w:r>
        <w:rPr>
          <w:b/>
          <w:bCs/>
          <w:i/>
          <w:iCs/>
          <w:lang w:val="es-ES"/>
        </w:rPr>
      </w:r>
    </w:p>
    <w:p>
      <w:pPr>
        <w:pStyle w:val="747"/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</w:p>
    <w:p>
      <w:pPr>
        <w:pStyle w:val="740"/>
        <w:pBdr/>
        <w:spacing/>
        <w:ind/>
        <w:rPr>
          <w:color w:val="2a6099"/>
          <w:lang w:val="es-ES"/>
        </w:rPr>
      </w:pPr>
      <w:r>
        <w:rPr>
          <w:color w:val="2a6099"/>
          <w:lang w:val="es-ES"/>
        </w:rPr>
        <w:t xml:space="preserve">Caso práctico 1: Sistemas de numeración y codificación</w:t>
      </w:r>
      <w:r>
        <w:rPr>
          <w:color w:val="2a6099"/>
          <w:lang w:val="es-ES"/>
        </w:rPr>
      </w:r>
    </w:p>
    <w:p>
      <w:pPr>
        <w:pStyle w:val="747"/>
        <w:numPr>
          <w:ilvl w:val="0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  <w:t xml:space="preserve">Clasifica los siguientes periféricos y soportes justificando la respuesta: impresora, escáner, monitor, disco duro, pendrive,</w:t>
      </w:r>
      <w:r>
        <w:rPr>
          <w:b/>
          <w:bCs/>
          <w:lang w:val="es-ES"/>
        </w:rPr>
        <w:t xml:space="preserve"> tarjeta de sonido</w:t>
      </w:r>
      <w:r>
        <w:rPr>
          <w:b/>
          <w:bCs/>
          <w:lang w:val="es-ES"/>
        </w:rPr>
      </w:r>
    </w:p>
    <w:p>
      <w:pPr>
        <w:pStyle w:val="747"/>
        <w:numPr>
          <w:ilvl w:val="0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  <w:t xml:space="preserve">Completa las siguientes tablas de códigos:</w:t>
      </w:r>
      <w:r>
        <w:rPr>
          <w:b/>
          <w:bCs/>
          <w:lang w:val="es-ES"/>
        </w:rPr>
      </w:r>
    </w:p>
    <w:tbl>
      <w:tblPr>
        <w:tblW w:w="5000" w:type="pct"/>
        <w:tblInd w:w="-22" w:type="dxa"/>
        <w:tblBorders/>
        <w:tblLayout w:type="fixed"/>
        <w:tblCellMar>
          <w:left w:w="29" w:type="dxa"/>
          <w:top w:w="29" w:type="dxa"/>
          <w:right w:w="29" w:type="dxa"/>
          <w:bottom w:w="29" w:type="dxa"/>
        </w:tblCellMar>
        <w:tblLook w:val="0000" w:firstRow="0" w:lastRow="0" w:firstColumn="0" w:lastColumn="0" w:noHBand="0" w:noVBand="0"/>
      </w:tblPr>
      <w:tblGrid>
        <w:gridCol w:w="2482"/>
        <w:gridCol w:w="2482"/>
        <w:gridCol w:w="2481"/>
        <w:gridCol w:w="2481"/>
      </w:tblGrid>
      <w:tr>
        <w:trPr/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Binario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Octal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Decimal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Hexadecimal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1111 1110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75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18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123</w:t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tbl>
      <w:tblPr>
        <w:tblW w:w="5000" w:type="pct"/>
        <w:tblInd w:w="-22" w:type="dxa"/>
        <w:tblBorders/>
        <w:tblLayout w:type="fixed"/>
        <w:tblCellMar>
          <w:left w:w="29" w:type="dxa"/>
          <w:top w:w="29" w:type="dxa"/>
          <w:right w:w="29" w:type="dxa"/>
          <w:bottom w:w="29" w:type="dxa"/>
        </w:tblCellMar>
        <w:tblLook w:val="0000" w:firstRow="0" w:lastRow="0" w:firstColumn="0" w:lastColumn="0" w:noHBand="0" w:noVBand="0"/>
      </w:tblPr>
      <w:tblGrid>
        <w:gridCol w:w="2482"/>
        <w:gridCol w:w="2482"/>
        <w:gridCol w:w="2481"/>
        <w:gridCol w:w="2481"/>
      </w:tblGrid>
      <w:tr>
        <w:trPr/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Binario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Octal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Decimal</w:t>
            </w:r>
            <w:r>
              <w:rPr>
                <w:b/>
                <w:bCs/>
              </w:rPr>
            </w:r>
          </w:p>
        </w:tc>
        <w:tc>
          <w:tcPr>
            <w:shd w:val="clear" w:color="auto" w:fill="ffa6a6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Hexadecimal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1111 1111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62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110</w:t>
            </w:r>
            <w:r>
              <w:rPr>
                <w:b/>
                <w:bCs/>
              </w:rPr>
            </w:r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</w:tr>
      <w:tr>
        <w:trPr>
          <w:trHeight w:val="404"/>
        </w:trPr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2493" w:type="dxa"/>
            <w:textDirection w:val="lrTb"/>
            <w:noWrap w:val="false"/>
          </w:tcPr>
          <w:p>
            <w:pPr>
              <w:pStyle w:val="755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</w:t>
            </w:r>
            <w:r>
              <w:rPr>
                <w:b/>
                <w:bCs/>
              </w:rPr>
            </w:r>
          </w:p>
        </w:tc>
      </w:tr>
    </w:tbl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numPr>
          <w:ilvl w:val="0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  <w:t xml:space="preserve">Para establecer los valores de privilegios de </w:t>
      </w:r>
      <w:r>
        <w:rPr>
          <w:b/>
          <w:bCs/>
          <w:lang w:val="es-ES"/>
        </w:rPr>
        <w:t xml:space="preserve">usuarios sobre un fichero se necesita ejecutar el comando </w:t>
      </w:r>
      <w:r>
        <w:rPr>
          <w:b/>
          <w:bCs/>
          <w:lang w:val="es-ES"/>
        </w:rPr>
        <w:t xml:space="preserve">chmod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ugo</w:t>
      </w:r>
      <w:r>
        <w:rPr>
          <w:b/>
          <w:bCs/>
          <w:lang w:val="es-ES"/>
        </w:rPr>
        <w:t xml:space="preserve"> fichero, donde “</w:t>
      </w:r>
      <w:r>
        <w:rPr>
          <w:b/>
          <w:bCs/>
          <w:lang w:val="es-ES"/>
        </w:rPr>
        <w:t xml:space="preserve">ugo</w:t>
      </w:r>
      <w:r>
        <w:rPr>
          <w:b/>
          <w:bCs/>
          <w:lang w:val="es-ES"/>
        </w:rPr>
        <w:t xml:space="preserve">” son tres dígitos en octal con los valores que representan los siguientes valores binarios. Realiza la conversión e indica el comando a ejecutar</w:t>
      </w:r>
      <w:r>
        <w:rPr>
          <w:b/>
          <w:bCs/>
          <w:lang w:val="es-ES"/>
        </w:rPr>
      </w:r>
    </w:p>
    <w:p>
      <w:pPr>
        <w:pBdr/>
        <w:spacing/>
        <w:ind/>
        <w:rPr/>
      </w:pPr>
      <w:r>
        <w:t xml:space="preserve">U</w:t>
      </w:r>
      <w:r>
        <w:t xml:space="preserve">=111</w:t>
      </w:r>
      <w:r>
        <w:rPr>
          <w:vertAlign w:val="subscript"/>
        </w:rPr>
        <w:t xml:space="preserve">2)</w:t>
      </w:r>
      <w:r/>
    </w:p>
    <w:p>
      <w:pPr>
        <w:pBdr/>
        <w:spacing/>
        <w:ind/>
        <w:rPr/>
      </w:pPr>
      <w:r>
        <w:t xml:space="preserve">G=100</w:t>
      </w:r>
      <w:r>
        <w:rPr>
          <w:vertAlign w:val="subscript"/>
        </w:rPr>
        <w:t xml:space="preserve">2)</w:t>
      </w:r>
      <w:r/>
    </w:p>
    <w:p>
      <w:pPr>
        <w:pBdr/>
        <w:spacing/>
        <w:ind/>
        <w:rPr/>
      </w:pPr>
      <w:r>
        <w:t xml:space="preserve">O=110</w:t>
      </w:r>
      <w:r>
        <w:rPr>
          <w:vertAlign w:val="subscript"/>
        </w:rPr>
        <w:t xml:space="preserve">2)</w:t>
      </w:r>
      <w:r/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tabs>
          <w:tab w:val="left" w:leader="none" w:pos="1313"/>
        </w:tabs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numPr>
          <w:ilvl w:val="0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  <w:t xml:space="preserve">¿Puede trabajar con un ordenador sin software básico? ¿Y sin unidad de disco</w:t>
      </w:r>
      <w:r>
        <w:rPr>
          <w:b/>
          <w:bCs/>
          <w:lang w:val="es-ES"/>
        </w:rPr>
        <w:t xml:space="preserve"> duro? </w:t>
      </w:r>
      <w:r>
        <w:rPr>
          <w:b/>
          <w:bCs/>
          <w:lang w:val="es-ES"/>
        </w:rPr>
        <w:t xml:space="preserve">¿Podría funcionar sin RAM?</w:t>
      </w:r>
      <w:r>
        <w:rPr>
          <w:b/>
          <w:bCs/>
          <w:lang w:val="es-ES"/>
        </w:rPr>
      </w:r>
    </w:p>
    <w:p>
      <w:pPr>
        <w:numPr>
          <w:ilvl w:val="0"/>
          <w:numId w:val="2"/>
        </w:numPr>
        <w:pBdr/>
        <w:spacing/>
        <w:ind/>
        <w:rPr>
          <w:b/>
          <w:bCs/>
          <w:lang w:val="es-ES"/>
        </w:rPr>
      </w:pPr>
      <w:r/>
      <w:bookmarkStart w:id="0" w:name="_GoBack"/>
      <w:r/>
      <w:bookmarkEnd w:id="0"/>
      <w:r/>
      <w:r>
        <w:rPr>
          <w:b/>
          <w:bCs/>
          <w:lang w:val="es-ES"/>
        </w:rPr>
        <w:t xml:space="preserve">Rellena el siguiente cuadro, indicando las operaciones que habría que realizar en el sistema internacional</w:t>
      </w:r>
      <w:r>
        <w:rPr>
          <w:b/>
          <w:bCs/>
          <w:lang w:val="es-ES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  <w:gridCol w:w="1994"/>
      </w:tblGrid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KB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MiB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GiB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TiB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1 048 576 KiB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———</w:t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20.000 MiB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————</w:t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1200 GiB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————-</w:t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</w:rPr>
            </w:pPr>
            <w:r>
              <w:rPr>
                <w:b/>
                <w:bCs/>
                <w:color w:val="18a303" w:themeColor="accent1"/>
                <w:lang w:val="es-ES"/>
              </w:rPr>
              <w:t xml:space="preserve">1.5 TiB</w:t>
            </w:r>
            <w:r>
              <w:rPr>
                <w:b/>
                <w:bCs/>
                <w:color w:val="18a303" w:themeColor="accent1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</w:r>
            <w:r>
              <w:rPr>
                <w:b/>
                <w:bCs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—————-</w:t>
            </w:r>
            <w:r>
              <w:rPr>
                <w:b/>
                <w:bCs/>
                <w:lang w:val="es-ES"/>
              </w:rPr>
            </w:r>
          </w:p>
        </w:tc>
      </w:tr>
    </w:tbl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numPr>
          <w:ilvl w:val="0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  <w:t xml:space="preserve">Indica si las siguientes afirmaciones son verdaderas o falsas:</w:t>
      </w:r>
      <w:r>
        <w:rPr>
          <w:b/>
          <w:bCs/>
          <w:lang w:val="es-ES"/>
        </w:rPr>
      </w:r>
    </w:p>
    <w:p>
      <w:pPr>
        <w:numPr>
          <w:ilvl w:val="1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El sistema de numeración en base 2 usa lo símbolos 1 y 2 para representar cualquier cantidad</w:t>
      </w:r>
      <w:r>
        <w:rPr>
          <w:b/>
          <w:bCs/>
          <w:highlight w:val="none"/>
          <w:lang w:val="es-ES"/>
        </w:rPr>
      </w:r>
      <w:r>
        <w:rPr>
          <w:b/>
          <w:bCs/>
          <w:lang w:val="es-ES"/>
        </w:rPr>
      </w: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numPr>
          <w:ilvl w:val="1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El software se puede clasificar en software básico y software de sistema</w:t>
      </w:r>
      <w:r>
        <w:rPr>
          <w:b/>
          <w:bCs/>
          <w:highlight w:val="none"/>
          <w:lang w:val="es-ES"/>
        </w:rPr>
      </w:r>
    </w:p>
    <w:p>
      <w:pPr>
        <w:numPr>
          <w:ilvl w:val="1"/>
          <w:numId w:val="2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La unidad mínima de medida de la información es el byte</w:t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Style w:val="139"/>
        <w:pBdr/>
        <w:spacing/>
        <w:ind/>
        <w:rPr>
          <w:b/>
          <w:bCs/>
          <w:highlight w:val="none"/>
          <w:lang w:val="es-ES"/>
        </w:rPr>
      </w:pPr>
      <w:r>
        <w:rPr>
          <w:b/>
          <w:bCs/>
          <w:highlight w:val="none"/>
          <w:lang w:val="es-ES"/>
        </w:rPr>
        <w:t xml:space="preserve">Caso práctico 2: Sistemas de numeración</w:t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26572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282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2657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98.60pt;height:209.2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0"/>
          <w:numId w:val="3"/>
        </w:num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  <w:t xml:space="preserve">Considerando que la capacidad de un CD es de 700 MiB, y que poseo dos ficheros:</w:t>
      </w: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highlight w:val="none"/>
          <w:lang w:val="es-ES"/>
        </w:rPr>
      </w:pPr>
      <w:r>
        <w:rPr>
          <w:b/>
          <w:bCs/>
          <w:highlight w:val="none"/>
          <w:lang w:val="es-ES"/>
        </w:rPr>
        <w:t xml:space="preserve">El tema 1 de una asignatura en formato PDF, de 548 KiB y un tutorial de imágenes, en formato Word, de 6MiB. </w:t>
      </w: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highlight w:val="none"/>
          <w:lang w:val="es-ES"/>
        </w:rPr>
      </w:pPr>
      <w:r>
        <w:rPr>
          <w:b/>
          <w:bCs/>
          <w:highlight w:val="none"/>
          <w:lang w:val="es-ES"/>
        </w:rPr>
        <w:t xml:space="preserve">Calcula cuantas copias de ambos ficheros se pueden realizar y cuánto espacio libre queda al final de esta operación.</w:t>
      </w: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0"/>
          <w:numId w:val="3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  <w:t xml:space="preserve">Un USB con una capacidad de 1 GiB tiene el 25% de espacio libre, ¿Podrá almacenar un mapa digitalziado de 280.000 KiB? Realiza los cálculos</w:t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25913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218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32220" cy="259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98.60pt;height:204.0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lang w:val="es-ES"/>
        </w:rPr>
      </w:r>
      <w:r/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0"/>
          <w:numId w:val="5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Si me compro un disco duro de 3TB, ¿Cuántos MB podré almacenar?</w:t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0"/>
          <w:numId w:val="5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Si tu cuenta de correo electrónico te permite enviar a sus contactos, ficheros de hasta 1 MB. Indica en cada caso si podrá enviar los siguientes ficheros (Para cada caso efectúe los cálculos correspondientes)</w:t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1"/>
          <w:numId w:val="5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Una fotografía de sus vacaciones de 1.317 KB</w:t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1"/>
          <w:numId w:val="5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Un fichero de música en formato MP3 de 1.259.459 bytes</w:t>
      </w:r>
      <w:r>
        <w:rPr>
          <w:b/>
          <w:bCs/>
          <w:highlight w:val="none"/>
          <w:lang w:val="es-ES"/>
        </w:rPr>
      </w:r>
    </w:p>
    <w:p>
      <w:pPr>
        <w:pStyle w:val="757"/>
        <w:numPr>
          <w:ilvl w:val="0"/>
          <w:numId w:val="5"/>
        </w:num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  <w:t xml:space="preserve">En el departamento de informática tenemos matriculados 97 alumnos. Además trabajamos 15 profesores. Si se quiere proporcionar 25 GiB de almacenamiento para cada uno de los alumnos y 200 GiB para cada uno de los profesores, ¿De qué tamaño deberíamos comprar el disco duro para poder dar ese servicio?</w:t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rStyle w:val="150"/>
          <w:b/>
          <w:bCs/>
          <w:lang w:val="es-ES"/>
        </w:rPr>
        <w:t xml:space="preserve">Caso Práctico 3: Licencias de </w:t>
      </w:r>
      <w:r>
        <w:rPr>
          <w:rStyle w:val="150"/>
          <w:b/>
          <w:bCs/>
          <w:i/>
          <w:iCs/>
          <w:lang w:val="es-ES"/>
        </w:rPr>
        <w:t xml:space="preserve">Software</w:t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</w:tblGrid>
      <w:tr>
        <w:trPr>
          <w:trHeight w:val="578"/>
        </w:trPr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Programa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Nombre/Versión actual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Tipo de Licencia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Coste de licencia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Microsoft Office 2010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Microsoft Office 2016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VLC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Camtasia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LibreOffice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Windows 10 Pro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  <w:tr>
        <w:trPr/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18a303" w:themeColor="accent1"/>
                <w:highlight w:val="none"/>
              </w:rPr>
            </w:pPr>
            <w:r>
              <w:rPr>
                <w:b/>
                <w:bCs/>
                <w:color w:val="18a303" w:themeColor="accent1"/>
                <w:highlight w:val="none"/>
                <w:lang w:val="es-ES"/>
              </w:rPr>
              <w:t xml:space="preserve">Avast Antivirus</w:t>
            </w:r>
            <w:r>
              <w:rPr>
                <w:b/>
                <w:bCs/>
                <w:color w:val="18a303" w:themeColor="accent1"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  <w:tc>
          <w:tcPr>
            <w:tcBorders/>
            <w:tcW w:w="199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lang w:val="es-ES"/>
              </w:rPr>
            </w:pPr>
            <w:r>
              <w:rPr>
                <w:b/>
                <w:bCs/>
                <w:highlight w:val="none"/>
                <w:lang w:val="es-ES"/>
              </w:rPr>
            </w:r>
            <w:r>
              <w:rPr>
                <w:b/>
                <w:bCs/>
                <w:highlight w:val="none"/>
                <w:lang w:val="es-ES"/>
              </w:rPr>
            </w:r>
          </w:p>
        </w:tc>
      </w:tr>
    </w:tbl>
    <w:p>
      <w:pPr>
        <w:pBdr/>
        <w:spacing/>
        <w:ind/>
        <w:rPr>
          <w:b/>
          <w:bCs/>
          <w:lang w:val="es-ES"/>
        </w:rPr>
      </w:pPr>
      <w:r>
        <w:rPr>
          <w:b/>
          <w:bCs/>
          <w:highlight w:val="none"/>
          <w:lang w:val="es-ES"/>
        </w:rPr>
      </w:r>
      <w:r>
        <w:rPr>
          <w:b/>
          <w:bCs/>
          <w:highlight w:val="none"/>
          <w:lang w:val="es-ES"/>
        </w:rPr>
      </w:r>
    </w:p>
    <w:p>
      <w:pPr>
        <w:pBdr/>
        <w:spacing/>
        <w:ind/>
        <w:rPr>
          <w:b/>
          <w:bCs/>
          <w:lang w:val="es-ES"/>
        </w:rPr>
      </w:pPr>
      <w:r>
        <w:rPr>
          <w:b/>
          <w:bCs/>
          <w:lang w:val="es-ES"/>
        </w:rPr>
      </w:r>
      <w:r>
        <w:rPr>
          <w:b/>
          <w:bCs/>
          <w:lang w:val="es-ES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739" w:right="1134" w:bottom="1813" w:left="1134" w:header="1134" w:footer="113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406030204"/>
  </w:font>
  <w:font w:name="Noto Sans CJK SC">
    <w:panose1 w:val="020B0200000000000000"/>
  </w:font>
  <w:font w:name="Arial">
    <w:panose1 w:val="020B0604020202020204"/>
  </w:font>
  <w:font w:name="Liberation Sans">
    <w:panose1 w:val="020B0604020202020204"/>
  </w:font>
  <w:font w:name="Noto Serif CJK SC">
    <w:panose1 w:val="02020200000000000000"/>
  </w:font>
  <w:font w:name="Noto Sans Devanagari"/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  <w:pBdr/>
      <w:spacing/>
      <w:ind/>
      <w:rPr/>
    </w:pPr>
    <w:r>
      <w:t xml:space="preserve">CC BY-NC-SA 4.0 </w:t>
    </w: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 xml:space="preserve">1</w:t>
    </w:r>
    <w:r>
      <w:fldChar w:fldCharType="end"/>
    </w:r>
    <w:r>
      <w:tab/>
    </w:r>
    <w:r>
      <w:tab/>
    </w:r>
    <w:r>
      <w:tab/>
      <w:t xml:space="preserve">ismaelmacarenochouikh1@gmail.com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2"/>
      <w:pBdr/>
      <w:spacing/>
      <w:ind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Sistemas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Operativos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 xml:space="preserve">Monopuesto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Tema</w:t>
    </w:r>
    <w:r>
      <w:rPr>
        <w:b/>
        <w:bCs/>
        <w:sz w:val="28"/>
        <w:szCs w:val="28"/>
      </w:rPr>
      <w:t xml:space="preserve"> 01</w:t>
    </w:r>
    <w:r>
      <w:rPr>
        <w:b/>
        <w:bCs/>
        <w:sz w:val="28"/>
        <w:szCs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740"/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39"/>
    <w:next w:val="73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39"/>
    <w:next w:val="73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5"/>
    <w:basedOn w:val="739"/>
    <w:next w:val="73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39"/>
    <w:next w:val="73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39"/>
    <w:next w:val="73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39"/>
    <w:next w:val="73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39"/>
    <w:next w:val="73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2"/>
    <w:link w:val="7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2"/>
    <w:link w:val="7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42"/>
    <w:link w:val="7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39"/>
    <w:next w:val="73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39"/>
    <w:next w:val="73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39"/>
    <w:next w:val="73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3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42"/>
    <w:link w:val="752"/>
    <w:uiPriority w:val="99"/>
    <w:pPr>
      <w:pBdr/>
      <w:spacing/>
      <w:ind/>
    </w:pPr>
  </w:style>
  <w:style w:type="character" w:styleId="178">
    <w:name w:val="Footer Char"/>
    <w:basedOn w:val="742"/>
    <w:link w:val="753"/>
    <w:uiPriority w:val="99"/>
    <w:pPr>
      <w:pBdr/>
      <w:spacing/>
      <w:ind/>
    </w:pPr>
  </w:style>
  <w:style w:type="paragraph" w:styleId="180">
    <w:name w:val="footnote text"/>
    <w:basedOn w:val="73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3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39"/>
    <w:next w:val="739"/>
    <w:uiPriority w:val="39"/>
    <w:unhideWhenUsed/>
    <w:pPr>
      <w:pBdr/>
      <w:spacing w:after="100"/>
      <w:ind/>
    </w:pPr>
  </w:style>
  <w:style w:type="paragraph" w:styleId="189">
    <w:name w:val="toc 2"/>
    <w:basedOn w:val="739"/>
    <w:next w:val="739"/>
    <w:uiPriority w:val="39"/>
    <w:unhideWhenUsed/>
    <w:pPr>
      <w:pBdr/>
      <w:spacing w:after="100"/>
      <w:ind w:left="220"/>
    </w:pPr>
  </w:style>
  <w:style w:type="paragraph" w:styleId="190">
    <w:name w:val="toc 3"/>
    <w:basedOn w:val="739"/>
    <w:next w:val="739"/>
    <w:uiPriority w:val="39"/>
    <w:unhideWhenUsed/>
    <w:pPr>
      <w:pBdr/>
      <w:spacing w:after="100"/>
      <w:ind w:left="440"/>
    </w:pPr>
  </w:style>
  <w:style w:type="paragraph" w:styleId="191">
    <w:name w:val="toc 4"/>
    <w:basedOn w:val="739"/>
    <w:next w:val="739"/>
    <w:uiPriority w:val="39"/>
    <w:unhideWhenUsed/>
    <w:pPr>
      <w:pBdr/>
      <w:spacing w:after="100"/>
      <w:ind w:left="660"/>
    </w:pPr>
  </w:style>
  <w:style w:type="paragraph" w:styleId="192">
    <w:name w:val="toc 5"/>
    <w:basedOn w:val="739"/>
    <w:next w:val="739"/>
    <w:uiPriority w:val="39"/>
    <w:unhideWhenUsed/>
    <w:pPr>
      <w:pBdr/>
      <w:spacing w:after="100"/>
      <w:ind w:left="880"/>
    </w:pPr>
  </w:style>
  <w:style w:type="paragraph" w:styleId="193">
    <w:name w:val="toc 6"/>
    <w:basedOn w:val="739"/>
    <w:next w:val="739"/>
    <w:uiPriority w:val="39"/>
    <w:unhideWhenUsed/>
    <w:pPr>
      <w:pBdr/>
      <w:spacing w:after="100"/>
      <w:ind w:left="1100"/>
    </w:pPr>
  </w:style>
  <w:style w:type="paragraph" w:styleId="194">
    <w:name w:val="toc 7"/>
    <w:basedOn w:val="739"/>
    <w:next w:val="739"/>
    <w:uiPriority w:val="39"/>
    <w:unhideWhenUsed/>
    <w:pPr>
      <w:pBdr/>
      <w:spacing w:after="100"/>
      <w:ind w:left="1320"/>
    </w:pPr>
  </w:style>
  <w:style w:type="paragraph" w:styleId="195">
    <w:name w:val="toc 8"/>
    <w:basedOn w:val="739"/>
    <w:next w:val="739"/>
    <w:uiPriority w:val="39"/>
    <w:unhideWhenUsed/>
    <w:pPr>
      <w:pBdr/>
      <w:spacing w:after="100"/>
      <w:ind w:left="1540"/>
    </w:pPr>
  </w:style>
  <w:style w:type="paragraph" w:styleId="196">
    <w:name w:val="toc 9"/>
    <w:basedOn w:val="739"/>
    <w:next w:val="73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39"/>
    <w:next w:val="739"/>
    <w:uiPriority w:val="99"/>
    <w:unhideWhenUsed/>
    <w:pPr>
      <w:pBdr/>
      <w:spacing w:after="0" w:afterAutospacing="0"/>
      <w:ind/>
    </w:pPr>
  </w:style>
  <w:style w:type="paragraph" w:styleId="739" w:default="1">
    <w:name w:val="Normal"/>
    <w:qFormat/>
    <w:pPr>
      <w:pBdr/>
      <w:spacing/>
      <w:ind/>
    </w:pPr>
  </w:style>
  <w:style w:type="paragraph" w:styleId="740">
    <w:name w:val="Heading 1"/>
    <w:basedOn w:val="746"/>
    <w:next w:val="747"/>
    <w:qFormat/>
    <w:pPr>
      <w:numPr>
        <w:numId w:val="1"/>
      </w:numPr>
      <w:pBdr/>
      <w:spacing/>
      <w:ind/>
      <w:outlineLvl w:val="0"/>
    </w:pPr>
    <w:rPr>
      <w:b/>
      <w:bCs/>
      <w:sz w:val="36"/>
      <w:szCs w:val="36"/>
    </w:rPr>
  </w:style>
  <w:style w:type="paragraph" w:styleId="741">
    <w:name w:val="Heading 4"/>
    <w:basedOn w:val="746"/>
    <w:next w:val="747"/>
    <w:qFormat/>
    <w:pPr>
      <w:pBdr/>
      <w:spacing w:before="120"/>
      <w:ind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742" w:default="1">
    <w:name w:val="Default Paragraph Font"/>
    <w:uiPriority w:val="1"/>
    <w:semiHidden/>
    <w:unhideWhenUsed/>
    <w:pPr>
      <w:pBdr/>
      <w:spacing/>
      <w:ind/>
    </w:pPr>
  </w:style>
  <w:style w:type="table" w:styleId="7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4" w:default="1">
    <w:name w:val="No List"/>
    <w:uiPriority w:val="99"/>
    <w:semiHidden/>
    <w:unhideWhenUsed/>
    <w:pPr>
      <w:pBdr/>
      <w:spacing/>
      <w:ind/>
    </w:pPr>
  </w:style>
  <w:style w:type="character" w:styleId="745" w:customStyle="1">
    <w:name w:val="Numbering Symbols"/>
    <w:qFormat/>
    <w:pPr>
      <w:pBdr/>
      <w:spacing/>
      <w:ind/>
    </w:pPr>
  </w:style>
  <w:style w:type="paragraph" w:styleId="746" w:customStyle="1">
    <w:name w:val="Heading"/>
    <w:basedOn w:val="739"/>
    <w:next w:val="747"/>
    <w:qFormat/>
    <w:pPr>
      <w:keepNext w:val="true"/>
      <w:pBdr/>
      <w:spacing w:after="120" w:before="240"/>
      <w:ind/>
    </w:pPr>
    <w:rPr>
      <w:rFonts w:ascii="Liberation Sans" w:hAnsi="Liberation Sans" w:eastAsia="Noto Sans CJK SC"/>
      <w:sz w:val="28"/>
      <w:szCs w:val="28"/>
    </w:rPr>
  </w:style>
  <w:style w:type="paragraph" w:styleId="747">
    <w:name w:val="Body Text"/>
    <w:basedOn w:val="739"/>
    <w:pPr>
      <w:pBdr/>
      <w:spacing w:after="140" w:line="276" w:lineRule="auto"/>
      <w:ind/>
    </w:pPr>
  </w:style>
  <w:style w:type="paragraph" w:styleId="748">
    <w:name w:val="List"/>
    <w:basedOn w:val="747"/>
    <w:pPr>
      <w:pBdr/>
      <w:spacing/>
      <w:ind/>
    </w:pPr>
  </w:style>
  <w:style w:type="paragraph" w:styleId="749">
    <w:name w:val="Caption"/>
    <w:basedOn w:val="739"/>
    <w:qFormat/>
    <w:pPr>
      <w:suppressLineNumbers w:val="true"/>
      <w:pBdr/>
      <w:spacing w:after="120" w:before="120"/>
      <w:ind/>
    </w:pPr>
    <w:rPr>
      <w:i/>
      <w:iCs/>
    </w:rPr>
  </w:style>
  <w:style w:type="paragraph" w:styleId="750" w:customStyle="1">
    <w:name w:val="Index"/>
    <w:basedOn w:val="739"/>
    <w:qFormat/>
    <w:pPr>
      <w:suppressLineNumbers w:val="true"/>
      <w:pBdr/>
      <w:spacing/>
      <w:ind/>
    </w:pPr>
  </w:style>
  <w:style w:type="paragraph" w:styleId="751" w:customStyle="1">
    <w:name w:val="Header and Footer"/>
    <w:basedOn w:val="739"/>
    <w:qFormat/>
    <w:pPr>
      <w:suppressLineNumbers w:val="true"/>
      <w:pBdr/>
      <w:tabs>
        <w:tab w:val="center" w:leader="none" w:pos="4986"/>
        <w:tab w:val="right" w:leader="none" w:pos="9972"/>
      </w:tabs>
      <w:spacing/>
      <w:ind/>
    </w:pPr>
  </w:style>
  <w:style w:type="paragraph" w:styleId="752">
    <w:name w:val="Header"/>
    <w:basedOn w:val="751"/>
    <w:pPr>
      <w:pBdr/>
      <w:spacing/>
      <w:ind/>
    </w:pPr>
  </w:style>
  <w:style w:type="paragraph" w:styleId="753">
    <w:name w:val="Footer"/>
    <w:basedOn w:val="751"/>
    <w:pPr>
      <w:pBdr/>
      <w:spacing/>
      <w:ind/>
    </w:pPr>
  </w:style>
  <w:style w:type="paragraph" w:styleId="754">
    <w:name w:val="Title"/>
    <w:basedOn w:val="746"/>
    <w:next w:val="747"/>
    <w:qFormat/>
    <w:pPr>
      <w:pBdr/>
      <w:spacing/>
      <w:ind/>
      <w:jc w:val="center"/>
    </w:pPr>
    <w:rPr>
      <w:b/>
      <w:bCs/>
      <w:sz w:val="56"/>
      <w:szCs w:val="56"/>
    </w:rPr>
  </w:style>
  <w:style w:type="paragraph" w:styleId="755" w:customStyle="1">
    <w:name w:val="Table Contents"/>
    <w:basedOn w:val="739"/>
    <w:qFormat/>
    <w:pPr>
      <w:widowControl w:val="false"/>
      <w:suppressLineNumbers w:val="true"/>
      <w:pBdr/>
      <w:spacing/>
      <w:ind/>
    </w:pPr>
  </w:style>
  <w:style w:type="paragraph" w:styleId="756" w:customStyle="1">
    <w:name w:val="Table Heading"/>
    <w:basedOn w:val="755"/>
    <w:qFormat/>
    <w:pPr>
      <w:pBdr/>
      <w:spacing/>
      <w:ind/>
      <w:jc w:val="center"/>
    </w:pPr>
    <w:rPr>
      <w:b/>
      <w:bCs/>
    </w:rPr>
  </w:style>
  <w:style w:type="paragraph" w:styleId="757">
    <w:name w:val="List Paragraph"/>
    <w:basedOn w:val="739"/>
    <w:uiPriority w:val="34"/>
    <w:qFormat/>
    <w:pPr>
      <w:pBdr/>
      <w:spacing/>
      <w:ind w:left="720"/>
      <w:contextualSpacing w:val="true"/>
    </w:pPr>
    <w:rPr>
      <w:rFonts w:cs="Mangal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2024-12-12T08:40:20Z</dcterms:created>
  <dcterms:modified xsi:type="dcterms:W3CDTF">2024-12-12T08:55:53Z</dcterms:modified>
</cp:coreProperties>
</file>