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C8E25" w14:textId="47FA71C4" w:rsidR="00EE0F9A" w:rsidRDefault="00427224" w:rsidP="008F3B3F">
      <w:pPr>
        <w:pStyle w:val="Heading1"/>
        <w:spacing w:after="120"/>
        <w:jc w:val="center"/>
      </w:pPr>
      <w:r>
        <w:t xml:space="preserve">Houston Police Department (HPD) </w:t>
      </w:r>
      <w:r w:rsidRPr="001E1652">
        <w:t>Crime</w:t>
      </w:r>
      <w:r>
        <w:t xml:space="preserve"> </w:t>
      </w:r>
      <w:r w:rsidR="00765186">
        <w:t xml:space="preserve">(Part 1) </w:t>
      </w:r>
      <w:r>
        <w:t>Data</w:t>
      </w:r>
      <w:r w:rsidRPr="001E1652">
        <w:t>, 2009-</w:t>
      </w:r>
      <w:r w:rsidR="00765186" w:rsidRPr="001E1652">
        <w:t>201</w:t>
      </w:r>
      <w:r w:rsidR="00765186">
        <w:t>7</w:t>
      </w:r>
    </w:p>
    <w:p w14:paraId="49909E36" w14:textId="427BBC8B" w:rsidR="004673EA" w:rsidRPr="007F31FC" w:rsidRDefault="00936E35" w:rsidP="008F3B3F">
      <w:pPr>
        <w:pStyle w:val="Heading1"/>
        <w:spacing w:after="120"/>
        <w:jc w:val="center"/>
      </w:pPr>
      <w:r w:rsidRPr="007F31FC">
        <w:t>Acquisition of Raw Data</w:t>
      </w:r>
    </w:p>
    <w:p w14:paraId="476BA7D9" w14:textId="77777777" w:rsidR="00936E35" w:rsidRDefault="00C25C2B" w:rsidP="007F31FC">
      <w:pPr>
        <w:pStyle w:val="Heading2"/>
      </w:pPr>
      <w:r w:rsidRPr="007F31FC">
        <w:t>Description</w:t>
      </w:r>
    </w:p>
    <w:p w14:paraId="38084B40" w14:textId="1E8BD144" w:rsidR="00E17E9D" w:rsidRDefault="00427224" w:rsidP="006F576A">
      <w:r>
        <w:t>Houston Police Department</w:t>
      </w:r>
      <w:r w:rsidR="00657332">
        <w:t xml:space="preserve"> </w:t>
      </w:r>
      <w:r>
        <w:t xml:space="preserve">(HPD) Crime </w:t>
      </w:r>
      <w:r w:rsidR="00650E76">
        <w:t xml:space="preserve">(Part 1) </w:t>
      </w:r>
      <w:r>
        <w:t xml:space="preserve">Data originate from </w:t>
      </w:r>
      <w:r w:rsidR="00BB65EA">
        <w:t>files that c</w:t>
      </w:r>
      <w:r w:rsidR="000F6D47">
        <w:t>an</w:t>
      </w:r>
      <w:r w:rsidR="00BB65EA">
        <w:t xml:space="preserve"> be downloaded from </w:t>
      </w:r>
      <w:r w:rsidR="00CA3941">
        <w:t>the</w:t>
      </w:r>
      <w:r w:rsidR="00657332">
        <w:t xml:space="preserve"> </w:t>
      </w:r>
      <w:r w:rsidR="00BB65EA">
        <w:t xml:space="preserve">official </w:t>
      </w:r>
      <w:r w:rsidR="00657332">
        <w:t>Houston</w:t>
      </w:r>
      <w:r w:rsidR="00BB65EA">
        <w:t xml:space="preserve"> Police Department</w:t>
      </w:r>
      <w:r w:rsidR="00EE0F9A">
        <w:t xml:space="preserve"> website</w:t>
      </w:r>
      <w:r w:rsidR="00657332">
        <w:t>.</w:t>
      </w:r>
      <w:r w:rsidR="00BB65EA">
        <w:t xml:space="preserve"> </w:t>
      </w:r>
      <w:r w:rsidR="00CA3941">
        <w:t xml:space="preserve">Crime </w:t>
      </w:r>
      <w:r w:rsidR="00765186">
        <w:t xml:space="preserve">(Part </w:t>
      </w:r>
      <w:r w:rsidR="00CA3941">
        <w:t>1</w:t>
      </w:r>
      <w:r w:rsidR="00765186">
        <w:t>)</w:t>
      </w:r>
      <w:r w:rsidR="00CA3941">
        <w:t xml:space="preserve"> data </w:t>
      </w:r>
      <w:r w:rsidR="00010E43">
        <w:t>are</w:t>
      </w:r>
      <w:r w:rsidR="00010E43" w:rsidRPr="00CA3941">
        <w:t xml:space="preserve"> </w:t>
      </w:r>
      <w:r w:rsidR="00CA3941" w:rsidRPr="00CA3941">
        <w:t xml:space="preserve">in alignment with </w:t>
      </w:r>
      <w:r w:rsidR="00CA3941">
        <w:t xml:space="preserve">the </w:t>
      </w:r>
      <w:r w:rsidR="00CA3941" w:rsidRPr="00CA3941">
        <w:t xml:space="preserve">FBI's nationwide Uniform Crime </w:t>
      </w:r>
      <w:r w:rsidR="00CA3941">
        <w:t>R</w:t>
      </w:r>
      <w:r w:rsidR="00CA3941" w:rsidRPr="00CA3941">
        <w:t xml:space="preserve">eporting (UCR) Program to collect local crime statistics. </w:t>
      </w:r>
      <w:r w:rsidR="00CA3941">
        <w:t>C</w:t>
      </w:r>
      <w:r w:rsidR="00CA3941" w:rsidRPr="00CA3941">
        <w:t>rime</w:t>
      </w:r>
      <w:r w:rsidR="00650E76">
        <w:t xml:space="preserve"> (Part</w:t>
      </w:r>
      <w:r w:rsidR="00CA3941" w:rsidRPr="00CA3941">
        <w:t xml:space="preserve"> 1</w:t>
      </w:r>
      <w:r w:rsidR="00650E76">
        <w:t>)</w:t>
      </w:r>
      <w:r w:rsidR="00CA3941" w:rsidRPr="00CA3941">
        <w:t xml:space="preserve"> </w:t>
      </w:r>
      <w:r w:rsidR="00650E76">
        <w:t xml:space="preserve">offense types </w:t>
      </w:r>
      <w:r w:rsidR="00CA3941" w:rsidRPr="00CA3941">
        <w:t>include murder, rape, robbery, aggravated burglary, theft</w:t>
      </w:r>
      <w:r w:rsidR="00650E76">
        <w:t>,</w:t>
      </w:r>
      <w:r w:rsidR="00CA3941" w:rsidRPr="00CA3941">
        <w:t xml:space="preserve"> and auto theft.</w:t>
      </w:r>
      <w:r w:rsidR="00657332">
        <w:t xml:space="preserve"> </w:t>
      </w:r>
    </w:p>
    <w:p w14:paraId="04BBD7E7" w14:textId="05E452F2" w:rsidR="002F6668" w:rsidRDefault="002F6668" w:rsidP="006F576A">
      <w:r>
        <w:t>Variables include: Date, Hour, Offen</w:t>
      </w:r>
      <w:r w:rsidR="00CA3941">
        <w:t>s</w:t>
      </w:r>
      <w:r>
        <w:t xml:space="preserve">e Type, Beat, Premise, Block Range, Street Name, Type, </w:t>
      </w:r>
      <w:r w:rsidR="00EE0F9A">
        <w:t xml:space="preserve">Suffix, </w:t>
      </w:r>
      <w:r w:rsidR="00650E76">
        <w:t xml:space="preserve">and </w:t>
      </w:r>
      <w:r w:rsidR="00EE0F9A">
        <w:t># of Offenses</w:t>
      </w:r>
      <w:r w:rsidR="00650E76">
        <w:t>.</w:t>
      </w:r>
    </w:p>
    <w:p w14:paraId="70E1B2A0" w14:textId="77777777" w:rsidR="00C25C2B" w:rsidRDefault="00C25C2B" w:rsidP="007F31FC">
      <w:pPr>
        <w:pStyle w:val="Heading2"/>
      </w:pPr>
      <w:r>
        <w:t>Transfers to UDP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4A0" w:firstRow="1" w:lastRow="0" w:firstColumn="1" w:lastColumn="0" w:noHBand="0" w:noVBand="1"/>
      </w:tblPr>
      <w:tblGrid>
        <w:gridCol w:w="1345"/>
        <w:gridCol w:w="1800"/>
        <w:gridCol w:w="6205"/>
      </w:tblGrid>
      <w:tr w:rsidR="00B63ED3" w14:paraId="2784D42B" w14:textId="77777777" w:rsidTr="00145C79">
        <w:tc>
          <w:tcPr>
            <w:tcW w:w="1345" w:type="dxa"/>
          </w:tcPr>
          <w:p w14:paraId="1D8E8A1B" w14:textId="1AA055ED" w:rsidR="00C25C2B" w:rsidRPr="00303271" w:rsidRDefault="006F576A" w:rsidP="00EF0CCE">
            <w:pPr>
              <w:pStyle w:val="NoSpacing"/>
              <w:rPr>
                <w:b/>
              </w:rPr>
            </w:pPr>
            <w:r>
              <w:rPr>
                <w:b/>
              </w:rPr>
              <w:t>11/07/2016</w:t>
            </w:r>
          </w:p>
        </w:tc>
        <w:tc>
          <w:tcPr>
            <w:tcW w:w="1800" w:type="dxa"/>
          </w:tcPr>
          <w:p w14:paraId="0054E988" w14:textId="77777777" w:rsidR="00C25C2B" w:rsidRPr="00303271" w:rsidRDefault="00303271" w:rsidP="00303271">
            <w:pPr>
              <w:pStyle w:val="NoSpacing"/>
              <w:rPr>
                <w:b/>
                <w:i/>
              </w:rPr>
            </w:pPr>
            <w:r w:rsidRPr="00D573B4">
              <w:rPr>
                <w:b/>
                <w:i/>
              </w:rPr>
              <w:t>Transferred By:</w:t>
            </w:r>
          </w:p>
        </w:tc>
        <w:tc>
          <w:tcPr>
            <w:tcW w:w="6205" w:type="dxa"/>
          </w:tcPr>
          <w:p w14:paraId="548FB0F7" w14:textId="75970924" w:rsidR="00C25C2B" w:rsidRDefault="00CA3941" w:rsidP="00D573B4">
            <w:pPr>
              <w:pStyle w:val="NoSpacing"/>
            </w:pPr>
            <w:r>
              <w:t>Claire Osgood</w:t>
            </w:r>
          </w:p>
        </w:tc>
      </w:tr>
      <w:tr w:rsidR="00B63ED3" w14:paraId="3E3C104C" w14:textId="77777777" w:rsidTr="00145C79">
        <w:tc>
          <w:tcPr>
            <w:tcW w:w="1345" w:type="dxa"/>
          </w:tcPr>
          <w:p w14:paraId="2DCC2EB8" w14:textId="77777777" w:rsidR="00C25C2B" w:rsidRPr="00303271" w:rsidRDefault="00C25C2B" w:rsidP="00936E35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0D290C0F" w14:textId="77777777" w:rsidR="00C25C2B" w:rsidRPr="00303271" w:rsidRDefault="00C25C2B" w:rsidP="00936E35">
            <w:pPr>
              <w:pStyle w:val="NoSpacing"/>
              <w:rPr>
                <w:b/>
                <w:i/>
              </w:rPr>
            </w:pPr>
            <w:r w:rsidRPr="00303271">
              <w:rPr>
                <w:b/>
                <w:i/>
              </w:rPr>
              <w:t>Source Contact:</w:t>
            </w:r>
          </w:p>
        </w:tc>
        <w:tc>
          <w:tcPr>
            <w:tcW w:w="6205" w:type="dxa"/>
          </w:tcPr>
          <w:p w14:paraId="7AC04C4D" w14:textId="34142B1D" w:rsidR="00C25C2B" w:rsidRDefault="004346DF" w:rsidP="00D573B4">
            <w:pPr>
              <w:pStyle w:val="CommentText"/>
            </w:pPr>
            <w:r>
              <w:t>None</w:t>
            </w:r>
          </w:p>
        </w:tc>
      </w:tr>
      <w:tr w:rsidR="00B63ED3" w14:paraId="2AC23CE5" w14:textId="77777777" w:rsidTr="00145C79">
        <w:tc>
          <w:tcPr>
            <w:tcW w:w="1345" w:type="dxa"/>
          </w:tcPr>
          <w:p w14:paraId="214A03DC" w14:textId="77777777" w:rsidR="00C25C2B" w:rsidRPr="00303271" w:rsidRDefault="00C25C2B" w:rsidP="00936E35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2F82D701" w14:textId="77777777" w:rsidR="00C25C2B" w:rsidRPr="00303271" w:rsidRDefault="00C25C2B" w:rsidP="00936E35">
            <w:pPr>
              <w:pStyle w:val="NoSpacing"/>
              <w:rPr>
                <w:b/>
                <w:i/>
              </w:rPr>
            </w:pPr>
            <w:r w:rsidRPr="00303271">
              <w:rPr>
                <w:b/>
                <w:i/>
              </w:rPr>
              <w:t>File(s):</w:t>
            </w:r>
          </w:p>
        </w:tc>
        <w:tc>
          <w:tcPr>
            <w:tcW w:w="6205" w:type="dxa"/>
          </w:tcPr>
          <w:p w14:paraId="640C337D" w14:textId="77777777" w:rsidR="006F576A" w:rsidRDefault="006F576A" w:rsidP="006F576A">
            <w:pPr>
              <w:pStyle w:val="NoSpacing"/>
            </w:pPr>
            <w:r w:rsidRPr="004346DF">
              <w:t>HPD_Crime_2009_06_to_2015_12</w:t>
            </w:r>
            <w:r>
              <w:t xml:space="preserve">.xlsx </w:t>
            </w:r>
          </w:p>
          <w:p w14:paraId="497F1129" w14:textId="2B5E8399" w:rsidR="00C25C2B" w:rsidRDefault="006F576A" w:rsidP="00D26511">
            <w:pPr>
              <w:pStyle w:val="NoSpacing"/>
            </w:pPr>
            <w:r>
              <w:t>See Appendix A for a history of downloads.</w:t>
            </w:r>
          </w:p>
        </w:tc>
      </w:tr>
      <w:tr w:rsidR="00B63ED3" w14:paraId="73A425F4" w14:textId="77777777" w:rsidTr="00145C79">
        <w:tc>
          <w:tcPr>
            <w:tcW w:w="1345" w:type="dxa"/>
          </w:tcPr>
          <w:p w14:paraId="78A6DF5A" w14:textId="430ADDDC" w:rsidR="00C25C2B" w:rsidRPr="00303271" w:rsidRDefault="00C25C2B" w:rsidP="00936E35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34D36872" w14:textId="77777777" w:rsidR="00B244F1" w:rsidRPr="00303271" w:rsidRDefault="00C25C2B" w:rsidP="00936E35">
            <w:pPr>
              <w:pStyle w:val="NoSpacing"/>
              <w:rPr>
                <w:b/>
                <w:i/>
              </w:rPr>
            </w:pPr>
            <w:r w:rsidRPr="00303271">
              <w:rPr>
                <w:b/>
                <w:i/>
              </w:rPr>
              <w:t>Website:</w:t>
            </w:r>
          </w:p>
        </w:tc>
        <w:tc>
          <w:tcPr>
            <w:tcW w:w="6205" w:type="dxa"/>
          </w:tcPr>
          <w:p w14:paraId="45269162" w14:textId="439605EB" w:rsidR="006243A8" w:rsidRDefault="008F3B3F" w:rsidP="00EE0F9A">
            <w:pPr>
              <w:pStyle w:val="NoSpacing"/>
            </w:pPr>
            <w:hyperlink r:id="rId8" w:history="1">
              <w:r w:rsidR="00F76508" w:rsidRPr="00E210B5">
                <w:rPr>
                  <w:rStyle w:val="Hyperlink"/>
                </w:rPr>
                <w:t>http://www.houstontx.gov/police/cs/crime-stats-archives.htm</w:t>
              </w:r>
            </w:hyperlink>
            <w:r w:rsidR="00F76508">
              <w:t xml:space="preserve"> </w:t>
            </w:r>
          </w:p>
        </w:tc>
      </w:tr>
      <w:tr w:rsidR="00B63ED3" w14:paraId="732BC25D" w14:textId="77777777" w:rsidTr="00145C79">
        <w:tc>
          <w:tcPr>
            <w:tcW w:w="1345" w:type="dxa"/>
          </w:tcPr>
          <w:p w14:paraId="7B50FB2C" w14:textId="77777777" w:rsidR="00B244F1" w:rsidRPr="00303271" w:rsidRDefault="00B244F1" w:rsidP="00936E35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6CC0B8CC" w14:textId="76AFF7E2" w:rsidR="00B244F1" w:rsidRPr="00303271" w:rsidRDefault="00B244F1" w:rsidP="00936E35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 xml:space="preserve">Search </w:t>
            </w:r>
            <w:r w:rsidR="00D26511">
              <w:rPr>
                <w:b/>
                <w:i/>
              </w:rPr>
              <w:t>P</w:t>
            </w:r>
            <w:r>
              <w:rPr>
                <w:b/>
                <w:i/>
              </w:rPr>
              <w:t>arameters:</w:t>
            </w:r>
            <w:r w:rsidR="00F76508">
              <w:rPr>
                <w:b/>
                <w:i/>
              </w:rPr>
              <w:t xml:space="preserve">   </w:t>
            </w:r>
          </w:p>
        </w:tc>
        <w:tc>
          <w:tcPr>
            <w:tcW w:w="6205" w:type="dxa"/>
          </w:tcPr>
          <w:p w14:paraId="139F972A" w14:textId="77777777" w:rsidR="00CA3941" w:rsidRDefault="00CA3941" w:rsidP="00EE0F9A">
            <w:pPr>
              <w:pStyle w:val="NoSpacing"/>
            </w:pPr>
          </w:p>
          <w:p w14:paraId="6442D67F" w14:textId="63EB4D30" w:rsidR="00BF6508" w:rsidRDefault="004346DF" w:rsidP="00EE0F9A">
            <w:pPr>
              <w:pStyle w:val="NoSpacing"/>
            </w:pPr>
            <w:r>
              <w:t>None</w:t>
            </w:r>
          </w:p>
        </w:tc>
      </w:tr>
      <w:tr w:rsidR="00B63ED3" w14:paraId="713AF001" w14:textId="77777777" w:rsidTr="00145C79">
        <w:tc>
          <w:tcPr>
            <w:tcW w:w="1345" w:type="dxa"/>
          </w:tcPr>
          <w:p w14:paraId="70CC7021" w14:textId="77777777" w:rsidR="004D780A" w:rsidRPr="00303271" w:rsidRDefault="004D780A" w:rsidP="00936E35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6DF6960D" w14:textId="47165792" w:rsidR="004D780A" w:rsidRDefault="004D780A" w:rsidP="00936E35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 xml:space="preserve">Download </w:t>
            </w:r>
            <w:r w:rsidR="00D26511">
              <w:rPr>
                <w:b/>
                <w:i/>
              </w:rPr>
              <w:t>D</w:t>
            </w:r>
            <w:r>
              <w:rPr>
                <w:b/>
                <w:i/>
              </w:rPr>
              <w:t>ate:</w:t>
            </w:r>
          </w:p>
        </w:tc>
        <w:tc>
          <w:tcPr>
            <w:tcW w:w="6205" w:type="dxa"/>
          </w:tcPr>
          <w:p w14:paraId="27E75880" w14:textId="471E6BB1" w:rsidR="004D780A" w:rsidRDefault="006F576A">
            <w:pPr>
              <w:pStyle w:val="NoSpacing"/>
            </w:pPr>
            <w:r>
              <w:t>11/07/2016</w:t>
            </w:r>
          </w:p>
        </w:tc>
      </w:tr>
      <w:tr w:rsidR="00B63ED3" w14:paraId="080E1029" w14:textId="77777777" w:rsidTr="00145C79">
        <w:tc>
          <w:tcPr>
            <w:tcW w:w="1345" w:type="dxa"/>
          </w:tcPr>
          <w:p w14:paraId="7D163778" w14:textId="77777777" w:rsidR="00303271" w:rsidRPr="00303271" w:rsidRDefault="00303271" w:rsidP="00936E35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585AE004" w14:textId="77777777" w:rsidR="00303271" w:rsidRPr="00303271" w:rsidRDefault="00303271" w:rsidP="00936E35">
            <w:pPr>
              <w:pStyle w:val="NoSpacing"/>
              <w:rPr>
                <w:b/>
                <w:i/>
              </w:rPr>
            </w:pPr>
            <w:r w:rsidRPr="00303271">
              <w:rPr>
                <w:b/>
                <w:i/>
              </w:rPr>
              <w:t>Documentation:</w:t>
            </w:r>
          </w:p>
        </w:tc>
        <w:tc>
          <w:tcPr>
            <w:tcW w:w="6205" w:type="dxa"/>
          </w:tcPr>
          <w:p w14:paraId="3150E92C" w14:textId="6FAD30FB" w:rsidR="000F6D47" w:rsidRDefault="000F6D47" w:rsidP="00936E35">
            <w:pPr>
              <w:pStyle w:val="NoSpacing"/>
            </w:pPr>
            <w:r w:rsidRPr="00145C79">
              <w:rPr>
                <w:i/>
              </w:rPr>
              <w:t>hdp_beat_map.pdf</w:t>
            </w:r>
            <w:r>
              <w:t xml:space="preserve"> – A map of HPD’s beats, districts, store fronts and stations.</w:t>
            </w:r>
          </w:p>
          <w:p w14:paraId="0F2249E6" w14:textId="77777777" w:rsidR="000F6D47" w:rsidRDefault="000F6D47" w:rsidP="00936E35">
            <w:pPr>
              <w:pStyle w:val="NoSpacing"/>
            </w:pPr>
          </w:p>
          <w:p w14:paraId="586669A3" w14:textId="77777777" w:rsidR="00EF0CCE" w:rsidRDefault="000F6D47" w:rsidP="00145C79">
            <w:r w:rsidRPr="00145C79">
              <w:rPr>
                <w:i/>
              </w:rPr>
              <w:t>HDP_Crime_Documentation.xlsx</w:t>
            </w:r>
            <w:r>
              <w:t xml:space="preserve"> – Contains record counts by month/year of files, to give an annual and sum total of all records from June 2009 to December 2015.</w:t>
            </w:r>
          </w:p>
          <w:p w14:paraId="3179AD69" w14:textId="77777777" w:rsidR="000F6D47" w:rsidRDefault="000F6D47" w:rsidP="00145C79"/>
          <w:p w14:paraId="72DBAC80" w14:textId="623CF4A8" w:rsidR="000F6D47" w:rsidRPr="000F6D47" w:rsidRDefault="000F6D47" w:rsidP="00145C79">
            <w:r w:rsidRPr="00145C79">
              <w:rPr>
                <w:i/>
              </w:rPr>
              <w:t>Premise_Code_Dictionary.xlsx</w:t>
            </w:r>
            <w:r>
              <w:t xml:space="preserve"> – Standard Code and Description of Premise variable.</w:t>
            </w:r>
          </w:p>
        </w:tc>
      </w:tr>
      <w:tr w:rsidR="00B63ED3" w14:paraId="1CF8F61F" w14:textId="77777777" w:rsidTr="00145C79">
        <w:tc>
          <w:tcPr>
            <w:tcW w:w="1345" w:type="dxa"/>
          </w:tcPr>
          <w:p w14:paraId="1E8E99D6" w14:textId="23FE591B" w:rsidR="00C25C2B" w:rsidRPr="00303271" w:rsidRDefault="00C25C2B" w:rsidP="00936E35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5FB06F45" w14:textId="77777777" w:rsidR="00C25C2B" w:rsidRPr="00303271" w:rsidRDefault="00303271" w:rsidP="00936E35">
            <w:pPr>
              <w:pStyle w:val="NoSpacing"/>
              <w:rPr>
                <w:b/>
                <w:i/>
              </w:rPr>
            </w:pPr>
            <w:r w:rsidRPr="00D26511">
              <w:rPr>
                <w:b/>
                <w:i/>
              </w:rPr>
              <w:t xml:space="preserve">Type of </w:t>
            </w:r>
            <w:r w:rsidR="00C25C2B" w:rsidRPr="00D26511">
              <w:rPr>
                <w:b/>
                <w:i/>
              </w:rPr>
              <w:t>Transfer:</w:t>
            </w:r>
          </w:p>
        </w:tc>
        <w:tc>
          <w:tcPr>
            <w:tcW w:w="6205" w:type="dxa"/>
          </w:tcPr>
          <w:p w14:paraId="0EA9A3AE" w14:textId="18965881" w:rsidR="00C25C2B" w:rsidRDefault="006F576A" w:rsidP="000F6D47">
            <w:r>
              <w:t>IronKey</w:t>
            </w:r>
          </w:p>
        </w:tc>
      </w:tr>
      <w:tr w:rsidR="00B63ED3" w14:paraId="5803E764" w14:textId="77777777" w:rsidTr="00145C79">
        <w:tc>
          <w:tcPr>
            <w:tcW w:w="1345" w:type="dxa"/>
            <w:tcBorders>
              <w:bottom w:val="single" w:sz="4" w:space="0" w:color="auto"/>
            </w:tcBorders>
          </w:tcPr>
          <w:p w14:paraId="1606C7AD" w14:textId="68CAED2E" w:rsidR="00303271" w:rsidRPr="00303271" w:rsidRDefault="00303271" w:rsidP="00936E35">
            <w:pPr>
              <w:pStyle w:val="NoSpacing"/>
              <w:rPr>
                <w:b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D26E51B" w14:textId="77777777" w:rsidR="00303271" w:rsidRPr="00303271" w:rsidRDefault="00303271" w:rsidP="00936E35">
            <w:pPr>
              <w:pStyle w:val="NoSpacing"/>
              <w:rPr>
                <w:b/>
                <w:i/>
              </w:rPr>
            </w:pPr>
            <w:r w:rsidRPr="00303271">
              <w:rPr>
                <w:b/>
                <w:i/>
              </w:rPr>
              <w:t>Notes:</w:t>
            </w:r>
          </w:p>
        </w:tc>
        <w:tc>
          <w:tcPr>
            <w:tcW w:w="6205" w:type="dxa"/>
            <w:tcBorders>
              <w:bottom w:val="single" w:sz="4" w:space="0" w:color="auto"/>
            </w:tcBorders>
          </w:tcPr>
          <w:p w14:paraId="4B88BE93" w14:textId="5FCE6870" w:rsidR="00303271" w:rsidRDefault="00303271" w:rsidP="00EE0F9A">
            <w:pPr>
              <w:pStyle w:val="NoSpacing"/>
            </w:pPr>
          </w:p>
        </w:tc>
      </w:tr>
      <w:tr w:rsidR="00913681" w14:paraId="28D79621" w14:textId="77777777" w:rsidTr="00145C79">
        <w:tc>
          <w:tcPr>
            <w:tcW w:w="134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9447213" w14:textId="77777777" w:rsidR="00913681" w:rsidRPr="00303271" w:rsidRDefault="00913681" w:rsidP="00936E35">
            <w:pPr>
              <w:pStyle w:val="NoSpacing"/>
              <w:rPr>
                <w:b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1D911BA" w14:textId="77777777" w:rsidR="00913681" w:rsidRPr="00303271" w:rsidRDefault="00913681" w:rsidP="00936E35">
            <w:pPr>
              <w:pStyle w:val="NoSpacing"/>
              <w:rPr>
                <w:b/>
                <w:i/>
              </w:rPr>
            </w:pPr>
          </w:p>
        </w:tc>
        <w:tc>
          <w:tcPr>
            <w:tcW w:w="620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F89E9B5" w14:textId="77777777" w:rsidR="00913681" w:rsidRDefault="00913681" w:rsidP="00EE0F9A">
            <w:pPr>
              <w:pStyle w:val="NoSpacing"/>
            </w:pPr>
          </w:p>
        </w:tc>
      </w:tr>
      <w:tr w:rsidR="00913681" w14:paraId="52EECBC6" w14:textId="77777777" w:rsidTr="00145C79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2C81F0B" w14:textId="37B148B9" w:rsidR="00913681" w:rsidRPr="00303271" w:rsidRDefault="00913681" w:rsidP="00913681">
            <w:pPr>
              <w:pStyle w:val="NoSpacing"/>
              <w:rPr>
                <w:b/>
              </w:rPr>
            </w:pPr>
            <w:r>
              <w:rPr>
                <w:b/>
              </w:rPr>
              <w:t>01/10/2018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5BE321" w14:textId="77777777" w:rsidR="00913681" w:rsidRPr="00303271" w:rsidRDefault="00913681" w:rsidP="00253971">
            <w:pPr>
              <w:pStyle w:val="NoSpacing"/>
              <w:rPr>
                <w:b/>
                <w:i/>
              </w:rPr>
            </w:pPr>
            <w:r w:rsidRPr="00D573B4">
              <w:rPr>
                <w:b/>
                <w:i/>
              </w:rPr>
              <w:t>Transferred By:</w:t>
            </w:r>
          </w:p>
        </w:tc>
        <w:tc>
          <w:tcPr>
            <w:tcW w:w="62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2545AE" w14:textId="5364C81E" w:rsidR="00913681" w:rsidRDefault="00913681" w:rsidP="00253971">
            <w:pPr>
              <w:pStyle w:val="NoSpacing"/>
            </w:pPr>
            <w:r>
              <w:t>Hien Le</w:t>
            </w:r>
          </w:p>
        </w:tc>
      </w:tr>
      <w:tr w:rsidR="00913681" w14:paraId="1E3471B8" w14:textId="77777777" w:rsidTr="00145C79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0C412C" w14:textId="77777777" w:rsidR="00913681" w:rsidRPr="00303271" w:rsidRDefault="00913681" w:rsidP="00253971">
            <w:pPr>
              <w:pStyle w:val="NoSpacing"/>
              <w:rPr>
                <w:b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72D1173" w14:textId="77777777" w:rsidR="00913681" w:rsidRPr="00303271" w:rsidRDefault="00913681" w:rsidP="00253971">
            <w:pPr>
              <w:pStyle w:val="NoSpacing"/>
              <w:rPr>
                <w:b/>
                <w:i/>
              </w:rPr>
            </w:pPr>
            <w:r w:rsidRPr="00303271">
              <w:rPr>
                <w:b/>
                <w:i/>
              </w:rPr>
              <w:t>Source Contact:</w:t>
            </w:r>
          </w:p>
        </w:tc>
        <w:tc>
          <w:tcPr>
            <w:tcW w:w="62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0321CD" w14:textId="77777777" w:rsidR="00913681" w:rsidRDefault="00913681" w:rsidP="00253971">
            <w:pPr>
              <w:pStyle w:val="CommentText"/>
            </w:pPr>
            <w:r>
              <w:t>None</w:t>
            </w:r>
          </w:p>
        </w:tc>
      </w:tr>
      <w:tr w:rsidR="00913681" w14:paraId="1EF18A0D" w14:textId="77777777" w:rsidTr="00145C79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FB54D1" w14:textId="77777777" w:rsidR="00913681" w:rsidRPr="00303271" w:rsidRDefault="00913681" w:rsidP="00253971">
            <w:pPr>
              <w:pStyle w:val="NoSpacing"/>
              <w:rPr>
                <w:b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0F1BFE0" w14:textId="77777777" w:rsidR="00913681" w:rsidRPr="00303271" w:rsidRDefault="00913681" w:rsidP="00253971">
            <w:pPr>
              <w:pStyle w:val="NoSpacing"/>
              <w:rPr>
                <w:b/>
                <w:i/>
              </w:rPr>
            </w:pPr>
            <w:r w:rsidRPr="00303271">
              <w:rPr>
                <w:b/>
                <w:i/>
              </w:rPr>
              <w:t>File(s):</w:t>
            </w:r>
          </w:p>
        </w:tc>
        <w:tc>
          <w:tcPr>
            <w:tcW w:w="62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DA2605" w14:textId="34E52517" w:rsidR="00913681" w:rsidRDefault="00913681" w:rsidP="00253971">
            <w:pPr>
              <w:pStyle w:val="NoSpacing"/>
            </w:pPr>
            <w:r w:rsidRPr="00913681">
              <w:t>HPD_CrimeStats_Disclaimer</w:t>
            </w:r>
            <w:r>
              <w:t>.pdf (a PDF printout of the disclaimer page about HPD Crime Statistics)</w:t>
            </w:r>
          </w:p>
        </w:tc>
      </w:tr>
      <w:tr w:rsidR="00913681" w14:paraId="76194DA0" w14:textId="77777777" w:rsidTr="00145C79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49CE7E" w14:textId="77777777" w:rsidR="00913681" w:rsidRPr="00303271" w:rsidRDefault="00913681" w:rsidP="00253971">
            <w:pPr>
              <w:pStyle w:val="NoSpacing"/>
              <w:rPr>
                <w:b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1839356" w14:textId="77777777" w:rsidR="00913681" w:rsidRPr="00303271" w:rsidRDefault="00913681" w:rsidP="00253971">
            <w:pPr>
              <w:pStyle w:val="NoSpacing"/>
              <w:rPr>
                <w:b/>
                <w:i/>
              </w:rPr>
            </w:pPr>
            <w:r w:rsidRPr="00303271">
              <w:rPr>
                <w:b/>
                <w:i/>
              </w:rPr>
              <w:t>Website:</w:t>
            </w:r>
          </w:p>
        </w:tc>
        <w:tc>
          <w:tcPr>
            <w:tcW w:w="62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B822BC" w14:textId="25805525" w:rsidR="00913681" w:rsidRDefault="008F3B3F" w:rsidP="00913681">
            <w:pPr>
              <w:pStyle w:val="NoSpacing"/>
            </w:pPr>
            <w:hyperlink r:id="rId9" w:history="1">
              <w:r w:rsidR="00913681" w:rsidRPr="00C1622B">
                <w:rPr>
                  <w:rStyle w:val="Hyperlink"/>
                </w:rPr>
                <w:t>http://www.houstontx.gov/police/cs/index.htm</w:t>
              </w:r>
            </w:hyperlink>
          </w:p>
        </w:tc>
      </w:tr>
      <w:tr w:rsidR="00913681" w14:paraId="38DF6BB8" w14:textId="77777777" w:rsidTr="00145C79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C3F055" w14:textId="77777777" w:rsidR="00913681" w:rsidRPr="00303271" w:rsidRDefault="00913681" w:rsidP="00253971">
            <w:pPr>
              <w:pStyle w:val="NoSpacing"/>
              <w:rPr>
                <w:b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EE7B46F" w14:textId="77777777" w:rsidR="00913681" w:rsidRPr="00303271" w:rsidRDefault="00913681" w:rsidP="00253971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 xml:space="preserve">Search Parameters:   </w:t>
            </w:r>
          </w:p>
        </w:tc>
        <w:tc>
          <w:tcPr>
            <w:tcW w:w="62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01F213" w14:textId="77777777" w:rsidR="00913681" w:rsidRDefault="00913681" w:rsidP="00253971">
            <w:pPr>
              <w:pStyle w:val="NoSpacing"/>
            </w:pPr>
          </w:p>
          <w:p w14:paraId="27B07E06" w14:textId="77777777" w:rsidR="00913681" w:rsidRDefault="00913681" w:rsidP="00253971">
            <w:pPr>
              <w:pStyle w:val="NoSpacing"/>
            </w:pPr>
            <w:r>
              <w:t>None</w:t>
            </w:r>
          </w:p>
        </w:tc>
      </w:tr>
      <w:tr w:rsidR="00913681" w14:paraId="225B3101" w14:textId="77777777" w:rsidTr="00145C79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344CE1" w14:textId="77777777" w:rsidR="00913681" w:rsidRPr="00303271" w:rsidRDefault="00913681" w:rsidP="00253971">
            <w:pPr>
              <w:pStyle w:val="NoSpacing"/>
              <w:rPr>
                <w:b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776482D" w14:textId="77777777" w:rsidR="00913681" w:rsidRDefault="00913681" w:rsidP="00253971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Download Date:</w:t>
            </w:r>
          </w:p>
        </w:tc>
        <w:tc>
          <w:tcPr>
            <w:tcW w:w="62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BBCAAD" w14:textId="6E374526" w:rsidR="00913681" w:rsidRDefault="00913681" w:rsidP="00913681">
            <w:pPr>
              <w:pStyle w:val="NoSpacing"/>
            </w:pPr>
            <w:r>
              <w:t>01/10/2018</w:t>
            </w:r>
          </w:p>
        </w:tc>
      </w:tr>
      <w:tr w:rsidR="00913681" w14:paraId="7F558562" w14:textId="77777777" w:rsidTr="00145C79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73CB42" w14:textId="77777777" w:rsidR="00913681" w:rsidRPr="00303271" w:rsidRDefault="00913681" w:rsidP="00253971">
            <w:pPr>
              <w:pStyle w:val="NoSpacing"/>
              <w:rPr>
                <w:b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84958ED" w14:textId="77777777" w:rsidR="00913681" w:rsidRPr="00303271" w:rsidRDefault="00913681" w:rsidP="00253971">
            <w:pPr>
              <w:pStyle w:val="NoSpacing"/>
              <w:rPr>
                <w:b/>
                <w:i/>
              </w:rPr>
            </w:pPr>
            <w:r w:rsidRPr="00303271">
              <w:rPr>
                <w:b/>
                <w:i/>
              </w:rPr>
              <w:t>Documentation:</w:t>
            </w:r>
          </w:p>
        </w:tc>
        <w:tc>
          <w:tcPr>
            <w:tcW w:w="62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AC195A" w14:textId="77777777" w:rsidR="00913681" w:rsidRDefault="00913681" w:rsidP="00253971">
            <w:pPr>
              <w:pStyle w:val="NoSpacing"/>
            </w:pPr>
          </w:p>
        </w:tc>
      </w:tr>
      <w:tr w:rsidR="00913681" w14:paraId="6FA399C2" w14:textId="77777777" w:rsidTr="00145C79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EAEBD4" w14:textId="77777777" w:rsidR="00913681" w:rsidRPr="00303271" w:rsidRDefault="00913681" w:rsidP="00253971">
            <w:pPr>
              <w:pStyle w:val="NoSpacing"/>
              <w:rPr>
                <w:b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565D4CB" w14:textId="77777777" w:rsidR="00913681" w:rsidRPr="00303271" w:rsidRDefault="00913681" w:rsidP="00253971">
            <w:pPr>
              <w:pStyle w:val="NoSpacing"/>
              <w:rPr>
                <w:b/>
                <w:i/>
              </w:rPr>
            </w:pPr>
            <w:r w:rsidRPr="00D26511">
              <w:rPr>
                <w:b/>
                <w:i/>
              </w:rPr>
              <w:t>Type of Transfer:</w:t>
            </w:r>
          </w:p>
        </w:tc>
        <w:tc>
          <w:tcPr>
            <w:tcW w:w="62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FDE0BD" w14:textId="5964A94E" w:rsidR="00913681" w:rsidRDefault="00913681" w:rsidP="00253971">
            <w:pPr>
              <w:pStyle w:val="NoSpacing"/>
            </w:pPr>
            <w:r>
              <w:t>VRDE File Transfer Portal</w:t>
            </w:r>
          </w:p>
        </w:tc>
      </w:tr>
      <w:tr w:rsidR="00913681" w14:paraId="65DFB545" w14:textId="77777777" w:rsidTr="00145C79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4EA547" w14:textId="77777777" w:rsidR="00913681" w:rsidRPr="00303271" w:rsidRDefault="00913681" w:rsidP="00253971">
            <w:pPr>
              <w:pStyle w:val="NoSpacing"/>
              <w:rPr>
                <w:b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79418" w14:textId="77777777" w:rsidR="00913681" w:rsidRPr="00303271" w:rsidRDefault="00913681" w:rsidP="00253971">
            <w:pPr>
              <w:pStyle w:val="NoSpacing"/>
              <w:rPr>
                <w:b/>
                <w:i/>
              </w:rPr>
            </w:pPr>
            <w:r w:rsidRPr="00303271">
              <w:rPr>
                <w:b/>
                <w:i/>
              </w:rPr>
              <w:t>Notes:</w:t>
            </w: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694DEF" w14:textId="77777777" w:rsidR="00913681" w:rsidRDefault="00913681" w:rsidP="00253971">
            <w:pPr>
              <w:pStyle w:val="NoSpacing"/>
            </w:pPr>
          </w:p>
        </w:tc>
      </w:tr>
      <w:tr w:rsidR="00B929A1" w14:paraId="4E63CBC8" w14:textId="77777777" w:rsidTr="00145C79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E2F3" w:themeFill="accent5" w:themeFillTint="33"/>
          </w:tcPr>
          <w:p w14:paraId="3889B9B0" w14:textId="77777777" w:rsidR="00B929A1" w:rsidRPr="00303271" w:rsidRDefault="00B929A1" w:rsidP="00253971">
            <w:pPr>
              <w:pStyle w:val="NoSpacing"/>
              <w:rPr>
                <w:b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5" w:themeFillTint="33"/>
          </w:tcPr>
          <w:p w14:paraId="16A55BD3" w14:textId="77777777" w:rsidR="00B929A1" w:rsidRPr="00303271" w:rsidRDefault="00B929A1" w:rsidP="00253971">
            <w:pPr>
              <w:pStyle w:val="NoSpacing"/>
              <w:rPr>
                <w:b/>
                <w:i/>
              </w:rPr>
            </w:pP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0C05AAF" w14:textId="77777777" w:rsidR="00B929A1" w:rsidRDefault="00B929A1" w:rsidP="00253971">
            <w:pPr>
              <w:pStyle w:val="NoSpacing"/>
            </w:pPr>
          </w:p>
        </w:tc>
      </w:tr>
      <w:tr w:rsidR="00B929A1" w14:paraId="51E2252E" w14:textId="77777777" w:rsidTr="00145C7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6CDB848" w14:textId="03AC44B2" w:rsidR="00B929A1" w:rsidRPr="00303271" w:rsidRDefault="00B929A1">
            <w:pPr>
              <w:pStyle w:val="NoSpacing"/>
              <w:rPr>
                <w:b/>
              </w:rPr>
            </w:pPr>
            <w:r>
              <w:rPr>
                <w:b/>
              </w:rPr>
              <w:t>03/12/2018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239758" w14:textId="77777777" w:rsidR="00B929A1" w:rsidRPr="00303271" w:rsidRDefault="00B929A1" w:rsidP="005D2215">
            <w:pPr>
              <w:pStyle w:val="NoSpacing"/>
              <w:rPr>
                <w:b/>
                <w:i/>
              </w:rPr>
            </w:pPr>
            <w:r w:rsidRPr="00D573B4">
              <w:rPr>
                <w:b/>
                <w:i/>
              </w:rPr>
              <w:t>Transferred By:</w:t>
            </w:r>
          </w:p>
        </w:tc>
        <w:tc>
          <w:tcPr>
            <w:tcW w:w="62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971E81A" w14:textId="77777777" w:rsidR="00B929A1" w:rsidRDefault="00B929A1" w:rsidP="005D2215">
            <w:pPr>
              <w:pStyle w:val="NoSpacing"/>
            </w:pPr>
            <w:r>
              <w:t>Hien Le</w:t>
            </w:r>
          </w:p>
        </w:tc>
      </w:tr>
      <w:tr w:rsidR="00B929A1" w14:paraId="251A4C87" w14:textId="77777777" w:rsidTr="00145C79"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B93997" w14:textId="77777777" w:rsidR="00B929A1" w:rsidRPr="00303271" w:rsidRDefault="00B929A1" w:rsidP="005D2215">
            <w:pPr>
              <w:pStyle w:val="NoSpacing"/>
              <w:rPr>
                <w:b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BE33491" w14:textId="77777777" w:rsidR="00B929A1" w:rsidRPr="00303271" w:rsidRDefault="00B929A1" w:rsidP="005D2215">
            <w:pPr>
              <w:pStyle w:val="NoSpacing"/>
              <w:rPr>
                <w:b/>
                <w:i/>
              </w:rPr>
            </w:pPr>
            <w:r w:rsidRPr="00303271">
              <w:rPr>
                <w:b/>
                <w:i/>
              </w:rPr>
              <w:t>Source Contact:</w:t>
            </w:r>
          </w:p>
        </w:tc>
        <w:tc>
          <w:tcPr>
            <w:tcW w:w="62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6468EF" w14:textId="77777777" w:rsidR="00B929A1" w:rsidRDefault="00B929A1" w:rsidP="005D2215">
            <w:pPr>
              <w:pStyle w:val="CommentText"/>
            </w:pPr>
            <w:r>
              <w:t>None</w:t>
            </w:r>
          </w:p>
        </w:tc>
      </w:tr>
      <w:tr w:rsidR="00B929A1" w14:paraId="7B821AAA" w14:textId="77777777" w:rsidTr="00145C79"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F69741" w14:textId="77777777" w:rsidR="00B929A1" w:rsidRPr="00303271" w:rsidRDefault="00B929A1" w:rsidP="005D2215">
            <w:pPr>
              <w:pStyle w:val="NoSpacing"/>
              <w:rPr>
                <w:b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B158C01" w14:textId="77777777" w:rsidR="00B929A1" w:rsidRPr="00303271" w:rsidRDefault="00B929A1" w:rsidP="005D2215">
            <w:pPr>
              <w:pStyle w:val="NoSpacing"/>
              <w:rPr>
                <w:b/>
                <w:i/>
              </w:rPr>
            </w:pPr>
            <w:r w:rsidRPr="00303271">
              <w:rPr>
                <w:b/>
                <w:i/>
              </w:rPr>
              <w:t>File(s):</w:t>
            </w:r>
          </w:p>
        </w:tc>
        <w:tc>
          <w:tcPr>
            <w:tcW w:w="62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2F6D4A" w14:textId="77777777" w:rsidR="00B929A1" w:rsidRDefault="00B929A1" w:rsidP="005D2215">
            <w:pPr>
              <w:pStyle w:val="NoSpacing"/>
            </w:pPr>
            <w:r>
              <w:t>“HPD Crime Data 2017.zip”</w:t>
            </w:r>
          </w:p>
          <w:p w14:paraId="6B8093D6" w14:textId="3DB0E035" w:rsidR="00B929A1" w:rsidRDefault="00B929A1" w:rsidP="00EE5577">
            <w:pPr>
              <w:pStyle w:val="NoSpacing"/>
              <w:ind w:left="720"/>
            </w:pPr>
            <w:r>
              <w:t>12 files</w:t>
            </w:r>
            <w:r w:rsidR="00650E76">
              <w:t xml:space="preserve"> named </w:t>
            </w:r>
            <w:r w:rsidR="00650E76" w:rsidRPr="00EE5577">
              <w:rPr>
                <w:i/>
              </w:rPr>
              <w:t>mmmyy</w:t>
            </w:r>
            <w:r w:rsidR="00650E76">
              <w:t>.xls</w:t>
            </w:r>
          </w:p>
          <w:p w14:paraId="45962420" w14:textId="6A1810FC" w:rsidR="00650E76" w:rsidRDefault="00650E76" w:rsidP="00EE5577">
            <w:pPr>
              <w:pStyle w:val="NoSpacing"/>
              <w:ind w:left="1440"/>
            </w:pPr>
            <w:r>
              <w:t xml:space="preserve">where </w:t>
            </w:r>
            <w:r w:rsidRPr="00EE5577">
              <w:rPr>
                <w:i/>
              </w:rPr>
              <w:t>mmm</w:t>
            </w:r>
            <w:r>
              <w:t xml:space="preserve"> = “jan” to “dec”</w:t>
            </w:r>
          </w:p>
          <w:p w14:paraId="38507F4B" w14:textId="67897889" w:rsidR="00650E76" w:rsidRDefault="00010E43" w:rsidP="00EE5577">
            <w:pPr>
              <w:pStyle w:val="NoSpacing"/>
              <w:ind w:left="1440"/>
            </w:pPr>
            <w:r>
              <w:rPr>
                <w:i/>
              </w:rPr>
              <w:t xml:space="preserve">            </w:t>
            </w:r>
            <w:r w:rsidR="00650E76" w:rsidRPr="00EE5577">
              <w:rPr>
                <w:i/>
              </w:rPr>
              <w:t>yy</w:t>
            </w:r>
            <w:r w:rsidR="00650E76">
              <w:t xml:space="preserve"> = “17”</w:t>
            </w:r>
          </w:p>
          <w:p w14:paraId="033041BB" w14:textId="302EFE93" w:rsidR="00B929A1" w:rsidRDefault="00650E76" w:rsidP="005D2215">
            <w:pPr>
              <w:pStyle w:val="NoSpacing"/>
            </w:pPr>
            <w:r>
              <w:br/>
              <w:t>“HPD Crime Data 2009-2016.zip”</w:t>
            </w:r>
          </w:p>
          <w:p w14:paraId="15E92299" w14:textId="61425762" w:rsidR="00650E76" w:rsidRDefault="00010E43" w:rsidP="00EE5577">
            <w:pPr>
              <w:pStyle w:val="NoSpacing"/>
              <w:ind w:left="720"/>
            </w:pPr>
            <w:r>
              <w:t>91 files name</w:t>
            </w:r>
            <w:r w:rsidR="00145C79">
              <w:t>d</w:t>
            </w:r>
            <w:r>
              <w:t xml:space="preserve"> </w:t>
            </w:r>
            <w:r w:rsidRPr="00EE5577">
              <w:rPr>
                <w:i/>
              </w:rPr>
              <w:t>mmmyy</w:t>
            </w:r>
            <w:r>
              <w:t>.xls</w:t>
            </w:r>
          </w:p>
          <w:p w14:paraId="2B1211D7" w14:textId="77777777" w:rsidR="00010E43" w:rsidRDefault="00010E43" w:rsidP="00010E43">
            <w:pPr>
              <w:pStyle w:val="NoSpacing"/>
              <w:ind w:left="1440"/>
            </w:pPr>
            <w:r>
              <w:t xml:space="preserve">where </w:t>
            </w:r>
            <w:r w:rsidRPr="005D2215">
              <w:rPr>
                <w:i/>
              </w:rPr>
              <w:t>mmm</w:t>
            </w:r>
            <w:r>
              <w:t xml:space="preserve"> = “jan” to “dec”</w:t>
            </w:r>
          </w:p>
          <w:p w14:paraId="6F432BFC" w14:textId="27FB1CB8" w:rsidR="00010E43" w:rsidRDefault="00010E43" w:rsidP="00010E43">
            <w:pPr>
              <w:pStyle w:val="NoSpacing"/>
              <w:ind w:left="1440"/>
            </w:pPr>
            <w:r>
              <w:rPr>
                <w:i/>
              </w:rPr>
              <w:t xml:space="preserve">            </w:t>
            </w:r>
            <w:r w:rsidRPr="005D2215">
              <w:rPr>
                <w:i/>
              </w:rPr>
              <w:t>yy</w:t>
            </w:r>
            <w:r>
              <w:t xml:space="preserve"> = “09” to “16”</w:t>
            </w:r>
          </w:p>
          <w:p w14:paraId="1FE21ABB" w14:textId="77777777" w:rsidR="00010E43" w:rsidRDefault="00010E43" w:rsidP="00010E43">
            <w:pPr>
              <w:pStyle w:val="NoSpacing"/>
              <w:ind w:left="1440"/>
            </w:pPr>
          </w:p>
          <w:p w14:paraId="40282E2F" w14:textId="2672B428" w:rsidR="00010E43" w:rsidRDefault="00010E43" w:rsidP="00010E43">
            <w:pPr>
              <w:pStyle w:val="NoSpacing"/>
              <w:ind w:left="1440"/>
            </w:pPr>
            <w:r>
              <w:t>2009 only has data from June to December.</w:t>
            </w:r>
          </w:p>
          <w:p w14:paraId="24A8D1B7" w14:textId="156E07D7" w:rsidR="00650E76" w:rsidRDefault="00650E76" w:rsidP="005D2215">
            <w:pPr>
              <w:pStyle w:val="NoSpacing"/>
            </w:pPr>
          </w:p>
        </w:tc>
      </w:tr>
      <w:tr w:rsidR="00B929A1" w14:paraId="0517D423" w14:textId="77777777" w:rsidTr="00145C79"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45ED02" w14:textId="77777777" w:rsidR="00B929A1" w:rsidRPr="00303271" w:rsidRDefault="00B929A1" w:rsidP="005D2215">
            <w:pPr>
              <w:pStyle w:val="NoSpacing"/>
              <w:rPr>
                <w:b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AA24C4E" w14:textId="77777777" w:rsidR="00B929A1" w:rsidRPr="00303271" w:rsidRDefault="00B929A1" w:rsidP="005D2215">
            <w:pPr>
              <w:pStyle w:val="NoSpacing"/>
              <w:rPr>
                <w:b/>
                <w:i/>
              </w:rPr>
            </w:pPr>
            <w:r w:rsidRPr="00303271">
              <w:rPr>
                <w:b/>
                <w:i/>
              </w:rPr>
              <w:t>Website:</w:t>
            </w:r>
          </w:p>
        </w:tc>
        <w:tc>
          <w:tcPr>
            <w:tcW w:w="62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D63523" w14:textId="3187FC12" w:rsidR="00B929A1" w:rsidRDefault="008F3B3F" w:rsidP="005D2215">
            <w:pPr>
              <w:pStyle w:val="NoSpacing"/>
            </w:pPr>
            <w:hyperlink r:id="rId10" w:history="1">
              <w:r w:rsidR="00647FDB" w:rsidRPr="00C0159E">
                <w:rPr>
                  <w:rStyle w:val="Hyperlink"/>
                </w:rPr>
                <w:t>http://www.houstontx.gov/police/cs/index-2.htm</w:t>
              </w:r>
            </w:hyperlink>
          </w:p>
          <w:p w14:paraId="5F56195C" w14:textId="2492A57B" w:rsidR="00647FDB" w:rsidRDefault="008F3B3F" w:rsidP="005D2215">
            <w:pPr>
              <w:pStyle w:val="NoSpacing"/>
            </w:pPr>
            <w:hyperlink r:id="rId11" w:history="1">
              <w:r w:rsidR="00647FDB" w:rsidRPr="00C0159E">
                <w:rPr>
                  <w:rStyle w:val="Hyperlink"/>
                </w:rPr>
                <w:t>http://www.houstontx.gov/police/cs/crime-stats-archives.htm</w:t>
              </w:r>
            </w:hyperlink>
          </w:p>
        </w:tc>
      </w:tr>
      <w:tr w:rsidR="00B929A1" w14:paraId="630C621E" w14:textId="77777777" w:rsidTr="00145C79"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3203E6" w14:textId="77777777" w:rsidR="00B929A1" w:rsidRPr="00303271" w:rsidRDefault="00B929A1" w:rsidP="005D2215">
            <w:pPr>
              <w:pStyle w:val="NoSpacing"/>
              <w:rPr>
                <w:b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FCC8FCE" w14:textId="77777777" w:rsidR="00B929A1" w:rsidRPr="00303271" w:rsidRDefault="00B929A1" w:rsidP="005D2215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 xml:space="preserve">Search Parameters:   </w:t>
            </w:r>
          </w:p>
        </w:tc>
        <w:tc>
          <w:tcPr>
            <w:tcW w:w="62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B5B86A" w14:textId="77777777" w:rsidR="00B929A1" w:rsidRDefault="00B929A1" w:rsidP="005D2215">
            <w:pPr>
              <w:pStyle w:val="NoSpacing"/>
            </w:pPr>
          </w:p>
          <w:p w14:paraId="67708788" w14:textId="77777777" w:rsidR="00B929A1" w:rsidRDefault="00B929A1" w:rsidP="005D2215">
            <w:pPr>
              <w:pStyle w:val="NoSpacing"/>
            </w:pPr>
            <w:r>
              <w:t>None</w:t>
            </w:r>
          </w:p>
        </w:tc>
      </w:tr>
      <w:tr w:rsidR="00B929A1" w14:paraId="5EB8D644" w14:textId="77777777" w:rsidTr="00145C79"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1D0072" w14:textId="77777777" w:rsidR="00B929A1" w:rsidRPr="00303271" w:rsidRDefault="00B929A1" w:rsidP="005D2215">
            <w:pPr>
              <w:pStyle w:val="NoSpacing"/>
              <w:rPr>
                <w:b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CA716AB" w14:textId="77777777" w:rsidR="00B929A1" w:rsidRDefault="00B929A1" w:rsidP="005D2215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Download Date:</w:t>
            </w:r>
          </w:p>
        </w:tc>
        <w:tc>
          <w:tcPr>
            <w:tcW w:w="62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1D5E57" w14:textId="633B6D27" w:rsidR="00B929A1" w:rsidRDefault="00B929A1">
            <w:pPr>
              <w:pStyle w:val="NoSpacing"/>
            </w:pPr>
            <w:r>
              <w:t>0</w:t>
            </w:r>
            <w:r w:rsidR="00647FDB">
              <w:t>3</w:t>
            </w:r>
            <w:r>
              <w:t>/1</w:t>
            </w:r>
            <w:r w:rsidR="00647FDB">
              <w:t>2</w:t>
            </w:r>
            <w:r>
              <w:t>/2018</w:t>
            </w:r>
          </w:p>
        </w:tc>
      </w:tr>
      <w:tr w:rsidR="00B929A1" w14:paraId="386B72E3" w14:textId="77777777" w:rsidTr="00145C79"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00E46A" w14:textId="77777777" w:rsidR="00B929A1" w:rsidRPr="00303271" w:rsidRDefault="00B929A1" w:rsidP="005D2215">
            <w:pPr>
              <w:pStyle w:val="NoSpacing"/>
              <w:rPr>
                <w:b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147A985" w14:textId="77777777" w:rsidR="00B929A1" w:rsidRPr="00303271" w:rsidRDefault="00B929A1" w:rsidP="005D2215">
            <w:pPr>
              <w:pStyle w:val="NoSpacing"/>
              <w:rPr>
                <w:b/>
                <w:i/>
              </w:rPr>
            </w:pPr>
            <w:r w:rsidRPr="00303271">
              <w:rPr>
                <w:b/>
                <w:i/>
              </w:rPr>
              <w:t>Documentation:</w:t>
            </w:r>
          </w:p>
        </w:tc>
        <w:tc>
          <w:tcPr>
            <w:tcW w:w="62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3F4CA1" w14:textId="79D74A08" w:rsidR="00B929A1" w:rsidRDefault="00647FDB" w:rsidP="005D2215">
            <w:pPr>
              <w:pStyle w:val="NoSpacing"/>
            </w:pPr>
            <w:r>
              <w:t>None</w:t>
            </w:r>
          </w:p>
        </w:tc>
      </w:tr>
      <w:tr w:rsidR="00B929A1" w14:paraId="0EF7E7BF" w14:textId="77777777" w:rsidTr="00145C79"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23435D" w14:textId="77777777" w:rsidR="00B929A1" w:rsidRPr="00303271" w:rsidRDefault="00B929A1" w:rsidP="005D2215">
            <w:pPr>
              <w:pStyle w:val="NoSpacing"/>
              <w:rPr>
                <w:b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CDBF28C" w14:textId="77777777" w:rsidR="00B929A1" w:rsidRPr="00303271" w:rsidRDefault="00B929A1" w:rsidP="005D2215">
            <w:pPr>
              <w:pStyle w:val="NoSpacing"/>
              <w:rPr>
                <w:b/>
                <w:i/>
              </w:rPr>
            </w:pPr>
            <w:r w:rsidRPr="00D26511">
              <w:rPr>
                <w:b/>
                <w:i/>
              </w:rPr>
              <w:t>Type of Transfer:</w:t>
            </w:r>
          </w:p>
        </w:tc>
        <w:tc>
          <w:tcPr>
            <w:tcW w:w="62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F49B55" w14:textId="77777777" w:rsidR="00B929A1" w:rsidRDefault="00B929A1" w:rsidP="005D2215">
            <w:pPr>
              <w:pStyle w:val="NoSpacing"/>
            </w:pPr>
            <w:r>
              <w:t>VRDE File Transfer Portal</w:t>
            </w:r>
          </w:p>
        </w:tc>
      </w:tr>
      <w:tr w:rsidR="00B929A1" w14:paraId="1C1A98E2" w14:textId="77777777" w:rsidTr="00145C79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823206" w14:textId="77777777" w:rsidR="00B929A1" w:rsidRPr="00303271" w:rsidRDefault="00B929A1" w:rsidP="005D2215">
            <w:pPr>
              <w:pStyle w:val="NoSpacing"/>
              <w:rPr>
                <w:b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5ED64" w14:textId="77777777" w:rsidR="00B929A1" w:rsidRPr="00303271" w:rsidRDefault="00B929A1" w:rsidP="005D2215">
            <w:pPr>
              <w:pStyle w:val="NoSpacing"/>
              <w:rPr>
                <w:b/>
                <w:i/>
              </w:rPr>
            </w:pPr>
            <w:r w:rsidRPr="00303271">
              <w:rPr>
                <w:b/>
                <w:i/>
              </w:rPr>
              <w:t>Notes:</w:t>
            </w: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9DACF5" w14:textId="77777777" w:rsidR="00145C79" w:rsidRDefault="00145C79" w:rsidP="00145C79">
            <w:pPr>
              <w:pStyle w:val="NoSpacing"/>
            </w:pPr>
            <w:r w:rsidRPr="00145C79">
              <w:t xml:space="preserve">Contains data for reporting months ranging from 06/2009 to 12/2017 (103 XLS files).  </w:t>
            </w:r>
          </w:p>
          <w:p w14:paraId="1C30EDAC" w14:textId="64F4D0DA" w:rsidR="00B929A1" w:rsidRDefault="00145C79" w:rsidP="00145C79">
            <w:pPr>
              <w:pStyle w:val="NoSpacing"/>
            </w:pPr>
            <w:r>
              <w:t>Data</w:t>
            </w:r>
            <w:r w:rsidRPr="00145C79">
              <w:t xml:space="preserve"> for the 06/2009 to 12/2015 </w:t>
            </w:r>
            <w:r>
              <w:t>time period was compared to the data acquired in 2016 for the same time period. C</w:t>
            </w:r>
            <w:r w:rsidR="001242F1">
              <w:t>omparison showed no differences, confirming that the data on the website are static.</w:t>
            </w:r>
            <w:r w:rsidR="008F3B3F">
              <w:t xml:space="preserve"> Thus, only files for 2016 and 2017 from this download are published in the Library.</w:t>
            </w:r>
            <w:bookmarkStart w:id="0" w:name="_GoBack"/>
            <w:bookmarkEnd w:id="0"/>
            <w:r>
              <w:t xml:space="preserve"> </w:t>
            </w:r>
          </w:p>
        </w:tc>
      </w:tr>
    </w:tbl>
    <w:p w14:paraId="0E627E91" w14:textId="77777777" w:rsidR="0013099F" w:rsidRDefault="0013099F" w:rsidP="00936E35">
      <w:pPr>
        <w:pStyle w:val="NoSpacing"/>
      </w:pPr>
    </w:p>
    <w:p w14:paraId="739E270A" w14:textId="77777777" w:rsidR="00F3586B" w:rsidRDefault="00F3586B" w:rsidP="007F31FC">
      <w:pPr>
        <w:pStyle w:val="Heading2"/>
      </w:pPr>
      <w:r>
        <w:t>Additional Notes</w:t>
      </w:r>
    </w:p>
    <w:p w14:paraId="7DA4DE95" w14:textId="40211F80" w:rsidR="00A7620B" w:rsidRDefault="00A7620B" w:rsidP="00A7620B">
      <w:pPr>
        <w:pStyle w:val="NoSpacing"/>
        <w:numPr>
          <w:ilvl w:val="0"/>
          <w:numId w:val="6"/>
        </w:numPr>
      </w:pPr>
      <w:r>
        <w:t xml:space="preserve">Per conversation with HPD on 11/3/16, the “Date” field is the date the crime was reported. Older dates in the variable reflect updates to cases (i.e. new supplemental information like lab results coming in, etc…). </w:t>
      </w:r>
    </w:p>
    <w:p w14:paraId="35D37FCC" w14:textId="77777777" w:rsidR="00A7620B" w:rsidRDefault="00A7620B" w:rsidP="00A7620B">
      <w:pPr>
        <w:pStyle w:val="NoSpacing"/>
        <w:numPr>
          <w:ilvl w:val="0"/>
          <w:numId w:val="6"/>
        </w:numPr>
      </w:pPr>
      <w:r>
        <w:t>The system for data collection was upgraded 3-4 years ago. Changes in consistency across years may be a result of this system change.</w:t>
      </w:r>
    </w:p>
    <w:p w14:paraId="1F759A15" w14:textId="77777777" w:rsidR="00A7620B" w:rsidRDefault="00A7620B" w:rsidP="00936E35">
      <w:pPr>
        <w:pStyle w:val="NoSpacing"/>
      </w:pPr>
    </w:p>
    <w:p w14:paraId="6A677BCB" w14:textId="0DA09318" w:rsidR="006F576A" w:rsidRDefault="006F576A" w:rsidP="006F576A">
      <w:pPr>
        <w:pStyle w:val="Heading2"/>
      </w:pPr>
      <w:r>
        <w:t>Appendix 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CA3941" w14:paraId="16F1A483" w14:textId="77777777" w:rsidTr="009C5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F289EF9" w14:textId="77777777" w:rsidR="00CA3941" w:rsidRDefault="00CA3941" w:rsidP="009C5205">
            <w:r>
              <w:t>Date</w:t>
            </w:r>
          </w:p>
        </w:tc>
        <w:tc>
          <w:tcPr>
            <w:tcW w:w="8052" w:type="dxa"/>
          </w:tcPr>
          <w:p w14:paraId="0467A355" w14:textId="77777777" w:rsidR="00CA3941" w:rsidRDefault="00CA3941" w:rsidP="009C5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</w:p>
        </w:tc>
      </w:tr>
      <w:tr w:rsidR="00CA3941" w14:paraId="309AFDD5" w14:textId="77777777" w:rsidTr="009C5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F40E4A5" w14:textId="77777777" w:rsidR="00CA3941" w:rsidRPr="00D04F13" w:rsidRDefault="00CA3941" w:rsidP="009C5205">
            <w:pPr>
              <w:rPr>
                <w:b w:val="0"/>
              </w:rPr>
            </w:pPr>
            <w:r w:rsidRPr="00D04F13">
              <w:rPr>
                <w:b w:val="0"/>
              </w:rPr>
              <w:t>10/18/2016</w:t>
            </w:r>
          </w:p>
        </w:tc>
        <w:tc>
          <w:tcPr>
            <w:tcW w:w="8052" w:type="dxa"/>
          </w:tcPr>
          <w:p w14:paraId="07906A7B" w14:textId="77777777" w:rsidR="00CA3941" w:rsidRDefault="00CA3941" w:rsidP="009C5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Jean Aroom and her team (with the GDC, Fondren Library) created the single data file </w:t>
            </w:r>
            <w:r w:rsidRPr="00786471">
              <w:rPr>
                <w:i/>
              </w:rPr>
              <w:t>HPD_Crime_2009_06_to_2015_12.xlsx</w:t>
            </w:r>
            <w:r>
              <w:t xml:space="preserve"> by concatenating all the files that could be downloaded from the HPD website: </w:t>
            </w:r>
          </w:p>
          <w:p w14:paraId="4A51B0AC" w14:textId="77777777" w:rsidR="00CA3941" w:rsidRDefault="00CA3941" w:rsidP="009C5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F394F8" w14:textId="77777777" w:rsidR="00CA3941" w:rsidRDefault="008F3B3F" w:rsidP="009C5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CA3941" w:rsidRPr="00F12BD8">
                <w:rPr>
                  <w:rStyle w:val="Hyperlink"/>
                </w:rPr>
                <w:t>http://www.houstontx.gov/police/cs/crime-stats-archives.htm</w:t>
              </w:r>
            </w:hyperlink>
          </w:p>
          <w:p w14:paraId="2DA6C9CF" w14:textId="77777777" w:rsidR="00CA3941" w:rsidRDefault="00CA3941" w:rsidP="009C5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98CA43" w14:textId="77777777" w:rsidR="00CA3941" w:rsidRDefault="00CA3941" w:rsidP="009C5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file also contains one extra column that indicates the month/year the information was downloaded from the above URL.</w:t>
            </w:r>
          </w:p>
          <w:p w14:paraId="6A9451CA" w14:textId="77777777" w:rsidR="00CA3941" w:rsidRDefault="00CA3941" w:rsidP="009C5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12B07C" w14:textId="77777777" w:rsidR="00CA3941" w:rsidRDefault="00CA3941" w:rsidP="009C5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addition, the </w:t>
            </w:r>
            <w:r w:rsidRPr="00786471">
              <w:rPr>
                <w:i/>
              </w:rPr>
              <w:t>HPD_Crime_Documentation.xlsx</w:t>
            </w:r>
            <w:r>
              <w:t xml:space="preserve"> file was created to give an annual and sum total of all records by the source month.</w:t>
            </w:r>
          </w:p>
          <w:p w14:paraId="030979CA" w14:textId="77777777" w:rsidR="00CA3941" w:rsidRDefault="00CA3941" w:rsidP="009C5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91EDB6" w14:textId="77777777" w:rsidR="00CA3941" w:rsidRDefault="00CA3941" w:rsidP="009C5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files were uploaded to the UDP\Working_Groups\HPD_Crime Box folder.</w:t>
            </w:r>
          </w:p>
          <w:p w14:paraId="025922DC" w14:textId="77777777" w:rsidR="00CA3941" w:rsidRDefault="00CA3941" w:rsidP="009C5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3941" w14:paraId="61C7C0BE" w14:textId="77777777" w:rsidTr="009C5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50898CA" w14:textId="77777777" w:rsidR="00CA3941" w:rsidRPr="00D04F13" w:rsidRDefault="00CA3941" w:rsidP="009C5205">
            <w:pPr>
              <w:rPr>
                <w:b w:val="0"/>
              </w:rPr>
            </w:pPr>
            <w:r w:rsidRPr="00D04F13">
              <w:rPr>
                <w:b w:val="0"/>
              </w:rPr>
              <w:lastRenderedPageBreak/>
              <w:t>10/19/2016</w:t>
            </w:r>
          </w:p>
        </w:tc>
        <w:tc>
          <w:tcPr>
            <w:tcW w:w="8052" w:type="dxa"/>
          </w:tcPr>
          <w:p w14:paraId="75DA6801" w14:textId="77777777" w:rsidR="00CA3941" w:rsidRDefault="00CA3941" w:rsidP="009C5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Hien Le downloaded the above two files from Box and transferred them to the UDP in</w:t>
            </w:r>
          </w:p>
          <w:p w14:paraId="56D4DA69" w14:textId="77777777" w:rsidR="00CA3941" w:rsidRDefault="00CA3941" w:rsidP="009C5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CBC549" w14:textId="77777777" w:rsidR="00CA3941" w:rsidRDefault="00CA3941" w:rsidP="009C5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K:\Library\Houston\Crime\HPD\Raw</w:t>
            </w:r>
          </w:p>
          <w:p w14:paraId="2A5C64E0" w14:textId="77777777" w:rsidR="00CA3941" w:rsidRDefault="00CA3941" w:rsidP="009C5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K:\Library\Houston\Crime\HPD\Documentation\Source</w:t>
            </w:r>
          </w:p>
          <w:p w14:paraId="3596B9AC" w14:textId="77777777" w:rsidR="00CA3941" w:rsidRDefault="00CA3941" w:rsidP="009C5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5DBC38" w14:textId="77777777" w:rsidR="00CA3941" w:rsidRDefault="00CA3941" w:rsidP="009C5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 that because these files were downloaded from Box, they bear the datestamp of the download date.  They were however not modified in anyway.</w:t>
            </w:r>
          </w:p>
          <w:p w14:paraId="110AAE27" w14:textId="77777777" w:rsidR="00CA3941" w:rsidRDefault="00CA3941" w:rsidP="009C5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3941" w14:paraId="02E8B0FB" w14:textId="77777777" w:rsidTr="009C5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73A2A2A" w14:textId="77777777" w:rsidR="00CA3941" w:rsidRPr="00D04F13" w:rsidRDefault="00CA3941" w:rsidP="009C5205">
            <w:pPr>
              <w:rPr>
                <w:b w:val="0"/>
              </w:rPr>
            </w:pPr>
            <w:r w:rsidRPr="00D04F13">
              <w:rPr>
                <w:b w:val="0"/>
              </w:rPr>
              <w:t>11/01/2016</w:t>
            </w:r>
          </w:p>
        </w:tc>
        <w:tc>
          <w:tcPr>
            <w:tcW w:w="8052" w:type="dxa"/>
          </w:tcPr>
          <w:p w14:paraId="1D7071BD" w14:textId="77777777" w:rsidR="00CA3941" w:rsidRDefault="00CA3941" w:rsidP="009C520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Anomalies were found in total record counts for some months in 2009. The GDP team revised and replaced the </w:t>
            </w:r>
            <w:r w:rsidRPr="00786471">
              <w:rPr>
                <w:i/>
              </w:rPr>
              <w:t>HPD_Crime_2009_06_to_2015_12.xlsx</w:t>
            </w:r>
            <w:r>
              <w:t xml:space="preserve"> file on Box, and that file was used to replace the file on the UDP.</w:t>
            </w:r>
          </w:p>
          <w:p w14:paraId="7DC82963" w14:textId="77777777" w:rsidR="00CA3941" w:rsidRDefault="00CA3941" w:rsidP="009C5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3941" w14:paraId="27CFC81F" w14:textId="77777777" w:rsidTr="009C5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3DA43F5" w14:textId="77777777" w:rsidR="00CA3941" w:rsidRPr="00D04F13" w:rsidRDefault="00CA3941" w:rsidP="009C5205">
            <w:pPr>
              <w:rPr>
                <w:b w:val="0"/>
              </w:rPr>
            </w:pPr>
            <w:r w:rsidRPr="00D04F13">
              <w:rPr>
                <w:b w:val="0"/>
              </w:rPr>
              <w:t>11/07/2016</w:t>
            </w:r>
          </w:p>
        </w:tc>
        <w:tc>
          <w:tcPr>
            <w:tcW w:w="8052" w:type="dxa"/>
          </w:tcPr>
          <w:p w14:paraId="576DDF61" w14:textId="77777777" w:rsidR="00CA3941" w:rsidRDefault="00CA3941" w:rsidP="009C5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Anomalies still existed in the August 2009 data. Claire Osgood re-downloaded data from this source month and updated the </w:t>
            </w:r>
            <w:r w:rsidRPr="007972FE">
              <w:rPr>
                <w:i/>
              </w:rPr>
              <w:t>HPD_Crime_2009_06_to_2015_12.xlsx</w:t>
            </w:r>
            <w:r>
              <w:t xml:space="preserve"> file on Box. This file was copied to the UDP, and is the final file in the K:\Library\Houston\Crime\HPD\Raw folder.</w:t>
            </w:r>
          </w:p>
          <w:p w14:paraId="2D1F60C2" w14:textId="77777777" w:rsidR="00CA3941" w:rsidRDefault="00CA3941" w:rsidP="009C5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68029B" w14:textId="77777777" w:rsidR="00CA3941" w:rsidRDefault="00CA3941" w:rsidP="00936E35">
      <w:pPr>
        <w:pStyle w:val="NoSpacing"/>
      </w:pPr>
    </w:p>
    <w:sectPr w:rsidR="00CA394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55086" w14:textId="77777777" w:rsidR="00647FDB" w:rsidRDefault="00647FDB" w:rsidP="00647FDB">
      <w:pPr>
        <w:spacing w:after="0" w:line="240" w:lineRule="auto"/>
      </w:pPr>
      <w:r>
        <w:separator/>
      </w:r>
    </w:p>
  </w:endnote>
  <w:endnote w:type="continuationSeparator" w:id="0">
    <w:p w14:paraId="286AFC96" w14:textId="77777777" w:rsidR="00647FDB" w:rsidRDefault="00647FDB" w:rsidP="00647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705F1" w14:textId="2B40832B" w:rsidR="00647FDB" w:rsidRDefault="00647FDB">
    <w:pPr>
      <w:pStyle w:val="Footer"/>
    </w:pPr>
    <w:r w:rsidRPr="008F3B3F">
      <w:rPr>
        <w:i/>
        <w:sz w:val="18"/>
      </w:rPr>
      <w:t>HPD_Crime_DataAcquisition</w:t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8F3B3F">
      <w:rPr>
        <w:noProof/>
      </w:rPr>
      <w:t>3</w:t>
    </w:r>
    <w:r>
      <w:fldChar w:fldCharType="end"/>
    </w:r>
    <w:r>
      <w:ptab w:relativeTo="margin" w:alignment="right" w:leader="none"/>
    </w:r>
    <w:r w:rsidR="000F6D47" w:rsidRPr="008F3B3F">
      <w:rPr>
        <w:i/>
        <w:sz w:val="18"/>
      </w:rPr>
      <w:t>re</w:t>
    </w:r>
    <w:r w:rsidRPr="008F3B3F">
      <w:rPr>
        <w:i/>
        <w:sz w:val="18"/>
      </w:rPr>
      <w:t>v</w:t>
    </w:r>
    <w:r w:rsidR="000F6D47" w:rsidRPr="008F3B3F">
      <w:rPr>
        <w:i/>
        <w:sz w:val="18"/>
      </w:rPr>
      <w:t xml:space="preserve">. </w:t>
    </w:r>
    <w:r w:rsidRPr="008F3B3F">
      <w:rPr>
        <w:i/>
        <w:sz w:val="18"/>
      </w:rPr>
      <w:t>2018-</w:t>
    </w:r>
    <w:r w:rsidR="000F6D47" w:rsidRPr="008F3B3F">
      <w:rPr>
        <w:i/>
        <w:sz w:val="18"/>
      </w:rPr>
      <w:t>April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81324" w14:textId="77777777" w:rsidR="00647FDB" w:rsidRDefault="00647FDB" w:rsidP="00647FDB">
      <w:pPr>
        <w:spacing w:after="0" w:line="240" w:lineRule="auto"/>
      </w:pPr>
      <w:r>
        <w:separator/>
      </w:r>
    </w:p>
  </w:footnote>
  <w:footnote w:type="continuationSeparator" w:id="0">
    <w:p w14:paraId="5A34CF83" w14:textId="77777777" w:rsidR="00647FDB" w:rsidRDefault="00647FDB" w:rsidP="00647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A675E"/>
    <w:multiLevelType w:val="hybridMultilevel"/>
    <w:tmpl w:val="960A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76AC0"/>
    <w:multiLevelType w:val="hybridMultilevel"/>
    <w:tmpl w:val="3976C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575DE"/>
    <w:multiLevelType w:val="hybridMultilevel"/>
    <w:tmpl w:val="45C8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36CB3"/>
    <w:multiLevelType w:val="hybridMultilevel"/>
    <w:tmpl w:val="BBD0A4D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30811CE"/>
    <w:multiLevelType w:val="hybridMultilevel"/>
    <w:tmpl w:val="8770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E566F"/>
    <w:multiLevelType w:val="hybridMultilevel"/>
    <w:tmpl w:val="651A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E4F83"/>
    <w:multiLevelType w:val="hybridMultilevel"/>
    <w:tmpl w:val="55B44BB2"/>
    <w:lvl w:ilvl="0" w:tplc="D56650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34B3E"/>
    <w:multiLevelType w:val="hybridMultilevel"/>
    <w:tmpl w:val="97AC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558E5"/>
    <w:multiLevelType w:val="hybridMultilevel"/>
    <w:tmpl w:val="31FA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35"/>
    <w:rsid w:val="00010E43"/>
    <w:rsid w:val="00033659"/>
    <w:rsid w:val="000F6D47"/>
    <w:rsid w:val="001242F1"/>
    <w:rsid w:val="0013099F"/>
    <w:rsid w:val="00145C79"/>
    <w:rsid w:val="001517D0"/>
    <w:rsid w:val="00182943"/>
    <w:rsid w:val="002F6668"/>
    <w:rsid w:val="00303271"/>
    <w:rsid w:val="0032540A"/>
    <w:rsid w:val="00365FB0"/>
    <w:rsid w:val="00426E82"/>
    <w:rsid w:val="00427224"/>
    <w:rsid w:val="004346DF"/>
    <w:rsid w:val="004654FB"/>
    <w:rsid w:val="004673EA"/>
    <w:rsid w:val="004D780A"/>
    <w:rsid w:val="004F6A7E"/>
    <w:rsid w:val="0053648B"/>
    <w:rsid w:val="005C7400"/>
    <w:rsid w:val="0061494D"/>
    <w:rsid w:val="006243A8"/>
    <w:rsid w:val="00647FDB"/>
    <w:rsid w:val="00650E76"/>
    <w:rsid w:val="00657332"/>
    <w:rsid w:val="006F576A"/>
    <w:rsid w:val="00765186"/>
    <w:rsid w:val="00783333"/>
    <w:rsid w:val="007D1A5D"/>
    <w:rsid w:val="007F31FC"/>
    <w:rsid w:val="008B0F1A"/>
    <w:rsid w:val="008F3B3F"/>
    <w:rsid w:val="00913681"/>
    <w:rsid w:val="00936E35"/>
    <w:rsid w:val="009953EC"/>
    <w:rsid w:val="00A7620B"/>
    <w:rsid w:val="00AC686F"/>
    <w:rsid w:val="00B244F1"/>
    <w:rsid w:val="00B63ED3"/>
    <w:rsid w:val="00B929A1"/>
    <w:rsid w:val="00BB65EA"/>
    <w:rsid w:val="00BF6508"/>
    <w:rsid w:val="00C25C2B"/>
    <w:rsid w:val="00CA3941"/>
    <w:rsid w:val="00CA72A1"/>
    <w:rsid w:val="00CD15EF"/>
    <w:rsid w:val="00D155F2"/>
    <w:rsid w:val="00D26511"/>
    <w:rsid w:val="00D2769A"/>
    <w:rsid w:val="00D328D3"/>
    <w:rsid w:val="00D573B4"/>
    <w:rsid w:val="00E17E9D"/>
    <w:rsid w:val="00E24D65"/>
    <w:rsid w:val="00E6721D"/>
    <w:rsid w:val="00EA47E5"/>
    <w:rsid w:val="00EC19FD"/>
    <w:rsid w:val="00ED2F5A"/>
    <w:rsid w:val="00EE0F9A"/>
    <w:rsid w:val="00EE5577"/>
    <w:rsid w:val="00EF0CCE"/>
    <w:rsid w:val="00F3586B"/>
    <w:rsid w:val="00F7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B0EFC3E"/>
  <w15:chartTrackingRefBased/>
  <w15:docId w15:val="{56B0BACC-678E-423D-A58C-01D03550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1FC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6E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F31F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1FC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25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244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44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44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4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4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4F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53E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1517D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27224"/>
  </w:style>
  <w:style w:type="paragraph" w:styleId="ListParagraph">
    <w:name w:val="List Paragraph"/>
    <w:basedOn w:val="Normal"/>
    <w:uiPriority w:val="34"/>
    <w:qFormat/>
    <w:rsid w:val="002F6668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CA394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47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DB"/>
  </w:style>
  <w:style w:type="paragraph" w:styleId="Footer">
    <w:name w:val="footer"/>
    <w:basedOn w:val="Normal"/>
    <w:link w:val="FooterChar"/>
    <w:uiPriority w:val="99"/>
    <w:unhideWhenUsed/>
    <w:rsid w:val="00647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0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ustontx.gov/police/cs/crime-stats-archives.ht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oustontx.gov/police/cs/crime-stats-archives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oustontx.gov/police/cs/crime-stats-archives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oustontx.gov/police/cs/index-2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ustontx.gov/police/cs/index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82A8C-EAAD-4C3D-847D-54CF05A20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Osgood</dc:creator>
  <cp:keywords/>
  <dc:description/>
  <cp:lastModifiedBy>Claire E Osgood</cp:lastModifiedBy>
  <cp:revision>6</cp:revision>
  <dcterms:created xsi:type="dcterms:W3CDTF">2018-04-05T18:49:00Z</dcterms:created>
  <dcterms:modified xsi:type="dcterms:W3CDTF">2018-04-12T19:29:00Z</dcterms:modified>
</cp:coreProperties>
</file>