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2D490" w14:textId="77777777" w:rsidR="00AB2038" w:rsidRDefault="00AB2038">
      <w:pPr>
        <w:spacing w:after="400"/>
        <w:jc w:val="center"/>
        <w:outlineLvl w:val="1"/>
        <w:divId w:val="1564022695"/>
        <w:rPr>
          <w:rFonts w:ascii="Aptos Display" w:eastAsia="Times New Roman" w:hAnsi="Aptos Display"/>
          <w:b/>
          <w:bCs/>
          <w:color w:val="4A3B6B"/>
          <w:kern w:val="36"/>
          <w:sz w:val="68"/>
          <w:szCs w:val="68"/>
          <w:lang w:val="nl-NL"/>
        </w:rPr>
      </w:pPr>
      <w:r>
        <w:rPr>
          <w:rFonts w:ascii="Aptos Display" w:eastAsia="Times New Roman" w:hAnsi="Aptos Display"/>
          <w:b/>
          <w:bCs/>
          <w:color w:val="4A3B6B"/>
          <w:kern w:val="36"/>
          <w:sz w:val="68"/>
          <w:szCs w:val="68"/>
          <w:lang w:val="nl-NL"/>
        </w:rPr>
        <w:t>Systeem-Audit</w:t>
      </w:r>
    </w:p>
    <w:p w14:paraId="26A16BB6" w14:textId="77777777" w:rsidR="00AB2038" w:rsidRDefault="00AB2038">
      <w:pPr>
        <w:pStyle w:val="ondertitel2"/>
        <w:divId w:val="1564022695"/>
        <w:rPr>
          <w:lang w:val="nl-NL"/>
        </w:rPr>
      </w:pPr>
      <w:r>
        <w:rPr>
          <w:lang w:val="nl-NL"/>
        </w:rPr>
        <w:t>Grensoverschrijdend bevoegdheidsvacuüm in de sociale zekerheid</w:t>
      </w:r>
    </w:p>
    <w:p w14:paraId="19ADDEF7" w14:textId="77777777" w:rsidR="00AB2038" w:rsidRDefault="00AB2038">
      <w:pPr>
        <w:pStyle w:val="documentaanduiding2"/>
        <w:divId w:val="1564022695"/>
        <w:rPr>
          <w:lang w:val="nl-NL"/>
        </w:rPr>
      </w:pPr>
      <w:r>
        <w:rPr>
          <w:lang w:val="nl-NL"/>
        </w:rPr>
        <w:t>Document C — De visuele architectuur</w:t>
      </w:r>
    </w:p>
    <w:p w14:paraId="3E4F65E6" w14:textId="77777777" w:rsidR="00AB2038" w:rsidRDefault="00AB2038">
      <w:pPr>
        <w:pStyle w:val="auteur2"/>
        <w:divId w:val="1564022695"/>
        <w:rPr>
          <w:lang w:val="nl-NL"/>
        </w:rPr>
      </w:pPr>
      <w:r>
        <w:rPr>
          <w:lang w:val="nl-NL"/>
        </w:rPr>
        <w:t>Auteur: Eric Messa</w:t>
      </w:r>
    </w:p>
    <w:p w14:paraId="4796449F" w14:textId="77777777" w:rsidR="00AB2038" w:rsidRDefault="00AB2038">
      <w:pPr>
        <w:pStyle w:val="meta-lijn2"/>
        <w:ind w:left="800" w:right="800"/>
        <w:divId w:val="1564022695"/>
        <w:rPr>
          <w:lang w:val="nl-NL"/>
        </w:rPr>
      </w:pPr>
      <w:r>
        <w:rPr>
          <w:lang w:val="nl-NL"/>
        </w:rPr>
        <w:t>Versie bijgewerkt: 27 oktober 2026, 09:49</w:t>
      </w:r>
      <w:r>
        <w:br w:type="page"/>
      </w:r>
    </w:p>
    <w:p w14:paraId="5BCECD28" w14:textId="77777777" w:rsidR="00AB2038" w:rsidRDefault="00AB2038">
      <w:pPr>
        <w:pStyle w:val="Kop2"/>
        <w:divId w:val="1903714064"/>
        <w:rPr>
          <w:rFonts w:eastAsia="Times New Roman"/>
          <w:lang w:val="nl-NL"/>
        </w:rPr>
      </w:pPr>
      <w:bookmarkStart w:id="0" w:name="_Toc243988410"/>
      <w:r>
        <w:rPr>
          <w:rFonts w:eastAsia="Times New Roman"/>
          <w:lang w:val="nl-NL"/>
        </w:rPr>
        <w:t>Inhoudsopgave</w:t>
      </w:r>
      <w:bookmarkEnd w:id="0"/>
    </w:p>
    <w:p w14:paraId="2629920E" w14:textId="4CD1E2BC" w:rsidR="00AB2038" w:rsidRDefault="00AB2038" w:rsidP="00AB2038">
      <w:pPr>
        <w:pStyle w:val="Inhopg2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lang w:val="nl-NL"/>
        </w:rPr>
        <w:fldChar w:fldCharType="begin"/>
      </w:r>
      <w:r>
        <w:rPr>
          <w:lang w:val="nl-NL"/>
        </w:rPr>
        <w:instrText xml:space="preserve"> TOC \o "1-3" </w:instrText>
      </w:r>
      <w:r>
        <w:rPr>
          <w:lang w:val="nl-NL"/>
        </w:rPr>
        <w:fldChar w:fldCharType="separate"/>
      </w:r>
      <w:r w:rsidRPr="000E074C">
        <w:rPr>
          <w:rFonts w:eastAsia="Times New Roman"/>
          <w:noProof/>
          <w:lang w:val="nl-NL"/>
        </w:rPr>
        <w:t>Inhoudsopgave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3D4E0D4" w14:textId="352CF448" w:rsidR="00AB2038" w:rsidRDefault="00AB2038" w:rsidP="00AB2038">
      <w:pPr>
        <w:pStyle w:val="Inhopg1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I. De mens en de grens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8C1F244" w14:textId="1CE91AA5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Twee cellen die weigeren samen te werken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377FEF6" w14:textId="2A406D8C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Twee ritmes die op elkaar botsen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D7CD831" w14:textId="3FB641A6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Zo boven, zo beneden: de spiegel van het afschuiven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97EABD0" w14:textId="53A1120D" w:rsidR="00AB2038" w:rsidRDefault="00AB2038" w:rsidP="00AB2038">
      <w:pPr>
        <w:pStyle w:val="Inhopg1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II. Het lichaam en het papier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B92267F" w14:textId="0D819F87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Vijf behandelaars zien het lichaam, twee loketten zien het papier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0DBD178" w14:textId="3F676C23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Hoe één ontbrekend vinkje zes deuren op slot gooit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BFFC1D4" w14:textId="3DBCB99E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De waterval: hoe stilstand bij de overheid een privéschuld wordt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DBBEF08" w14:textId="4D5AB468" w:rsidR="00AB2038" w:rsidRDefault="00AB2038" w:rsidP="00AB2038">
      <w:pPr>
        <w:pStyle w:val="Inhopg1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III. De muur tussen België en Nederland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DCDDA0D" w14:textId="5D235FDE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Dezelfde muur in twee talen: CM tegenover CZ en RVA tegenover UWV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D32FDE3" w14:textId="1AA7B4C3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Wonen waar geen dokter je kent, reizen waar de pas stopt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842CD26" w14:textId="46C1E71A" w:rsidR="00AB2038" w:rsidRDefault="00AB2038" w:rsidP="00AB2038">
      <w:pPr>
        <w:pStyle w:val="Inhopg1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IV. Waar de doorgang wel werkt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5C50300" w14:textId="6081B446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Het bewijs dat het wél kan: de gezinsbijslag en de fiscale omweg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210C275" w14:textId="063C4156" w:rsidR="00AB2038" w:rsidRDefault="00AB2038" w:rsidP="00AB2038">
      <w:pPr>
        <w:pStyle w:val="Inhopg1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V. Wie toekijkt en de drie sleutels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800E9D5" w14:textId="555BE594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De ring van toeschouwers en de twee deuren die wél opengingen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617565C" w14:textId="3849CAB2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Drie knoppen die zonder nieuwe wet direct zeventien blokkades oplossen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858FA49" w14:textId="45D3D3BB" w:rsidR="00AB2038" w:rsidRDefault="00AB2038" w:rsidP="00AB2038">
      <w:pPr>
        <w:pStyle w:val="Inhopg3"/>
        <w:tabs>
          <w:tab w:val="right" w:leader="dot" w:pos="9062"/>
        </w:tabs>
        <w:divId w:val="1903714064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0E074C">
        <w:rPr>
          <w:rFonts w:eastAsia="Times New Roman"/>
          <w:noProof/>
          <w:lang w:val="nl-NL"/>
        </w:rPr>
        <w:t>Slotplaat: van twee vijandige muren naar twee verbonden cellen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_Toc243988427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D060394" w14:textId="0886ADE5" w:rsidR="00AB2038" w:rsidRDefault="00AB2038" w:rsidP="00AB2038">
      <w:pPr>
        <w:pStyle w:val="marker"/>
        <w:ind w:left="800" w:right="800"/>
        <w:divId w:val="1903714064"/>
        <w:rPr>
          <w:lang w:val="nl-NL"/>
        </w:rPr>
      </w:pPr>
      <w:r>
        <w:rPr>
          <w:lang w:val="nl-NL"/>
        </w:rPr>
        <w:fldChar w:fldCharType="end"/>
      </w:r>
      <w:r>
        <w:br w:type="page"/>
      </w:r>
    </w:p>
    <w:p w14:paraId="2B3E4457" w14:textId="77777777" w:rsidR="00AB2038" w:rsidRDefault="00AB2038">
      <w:pPr>
        <w:pStyle w:val="Kop1"/>
        <w:divId w:val="671835007"/>
        <w:rPr>
          <w:rFonts w:eastAsia="Times New Roman"/>
          <w:lang w:val="nl-NL"/>
        </w:rPr>
      </w:pPr>
      <w:bookmarkStart w:id="1" w:name="_Toc243988411"/>
      <w:r>
        <w:rPr>
          <w:rFonts w:eastAsia="Times New Roman"/>
          <w:lang w:val="nl-NL"/>
        </w:rPr>
        <w:t>I. De mens en de grens</w:t>
      </w:r>
      <w:bookmarkEnd w:id="1"/>
    </w:p>
    <w:p w14:paraId="0ED088E9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2" w:name="_Toc243988412"/>
      <w:r>
        <w:rPr>
          <w:rFonts w:eastAsia="Times New Roman"/>
          <w:lang w:val="nl-NL"/>
        </w:rPr>
        <w:t>Twee cellen die weigeren samen te werken</w:t>
      </w:r>
      <w:bookmarkEnd w:id="2"/>
    </w:p>
    <w:p w14:paraId="71211B2C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Twee buurlanden binnen één Europese Unie sluiten hun deuren hermetisch voor elkaar. Het gezin zit precies in de knel tussen twee starre systemen.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76EE7B0D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1E1C6098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6D316127" wp14:editId="6C4C78FC">
                  <wp:extent cx="5524500" cy="2857500"/>
                  <wp:effectExtent l="0" t="0" r="0" b="0"/>
                  <wp:docPr id="1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B27991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 — Twee cellen die weigeren samen te werken.</w:t>
            </w:r>
            <w:r>
              <w:t xml:space="preserve"> Twee afgesloten nationale werelden binnen de Europese Unie. Belastinggegevens stromen automatisch door, maar het medische en sociale dossier botst op een dichte grensmuur.</w:t>
            </w:r>
          </w:p>
        </w:tc>
      </w:tr>
    </w:tbl>
    <w:p w14:paraId="35F39796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73EABB23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5D0B24B1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0F8B73EB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4F8BD5B9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1A1379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geniet als EU-burger van vrij verkeer en bent in beide lidstaten beschermd.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69AFD8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Zodra je in Nederland woont en in België werkt, sluiten beide systemen de deuren.</w:t>
            </w:r>
          </w:p>
        </w:tc>
      </w:tr>
      <w:tr w:rsidR="00000000" w14:paraId="07D74C1D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92F58B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Onze overheidsdiensten wisselen gegevens digitaal uit via Europese netwerken.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E2BF7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Alleen belastingheffing stroomt automatisch; het medisch en sociaal dossier bestaat voor de buren niet.</w:t>
            </w:r>
          </w:p>
        </w:tc>
      </w:tr>
      <w:tr w:rsidR="00000000" w14:paraId="7EC5EE3D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8FA3E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lastRenderedPageBreak/>
              <w:t>U kunt zich wenden tot het bevoegde orgaan in uw woonland.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8F33E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Beide landen wijzen permanent naar elkaar; de burger is de enige kabel tussen twee muren.</w:t>
            </w:r>
          </w:p>
        </w:tc>
      </w:tr>
    </w:tbl>
    <w:p w14:paraId="32311B17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788768ED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3" w:name="_Toc243988413"/>
      <w:r>
        <w:rPr>
          <w:rFonts w:eastAsia="Times New Roman"/>
          <w:lang w:val="nl-NL"/>
        </w:rPr>
        <w:t>Twee ritmes die op elkaar botsen</w:t>
      </w:r>
      <w:bookmarkEnd w:id="3"/>
    </w:p>
    <w:p w14:paraId="7DD133CC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België en Nederland draaien op een andere administratieve klok en meten met een andere lat. Het gezin zit precies op het breukvlak.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17DF4EAC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5DBD01EF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4B2F3D3A" wp14:editId="2A2CC4CC">
                  <wp:extent cx="5524500" cy="2857500"/>
                  <wp:effectExtent l="0" t="0" r="0" b="0"/>
                  <wp:docPr id="2" name="Afbeelding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000C29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2 — Twee ritmes die op elkaar botsen.</w:t>
            </w:r>
            <w:r>
              <w:t xml:space="preserve"> Vier structurele botsingen tussen het Belgische werkland en het Nederlandse woonland: afwijkende peildata, verschillende wachttijden, incompatibele drempels en botsende betaalritmes.</w:t>
            </w:r>
          </w:p>
        </w:tc>
      </w:tr>
    </w:tbl>
    <w:p w14:paraId="6CD9E4CA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258793DA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7E2AFE15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526270A0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04B3326A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3FD0FC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aanvraag voldoet niet aan de referteperiode voor een Belgische uitkering.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4135A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CM en UWV weigeren Europese overbrugging; de burger valt in een zwart gat tussen twee klokken.</w:t>
            </w:r>
          </w:p>
        </w:tc>
      </w:tr>
      <w:tr w:rsidR="00000000" w14:paraId="41C9BC1D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A1C69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bent op peildatum 11 mei 2025 niet verzekerd voor de Nederlandse WIA.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4BECD6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UWV hanteert een onjuiste peildatum en wist 21 jaar Belgische loopbaan uit het register.</w:t>
            </w:r>
          </w:p>
        </w:tc>
      </w:tr>
      <w:tr w:rsidR="00000000" w14:paraId="3BCD2AF6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426D7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vervoerspas is geblokkeerd wegens een openstaande ritbijdrage.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6D57C6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Belgisch loon valt eind van de maand; Nederlands systeem incasseert de 15e en blokkeert direct.</w:t>
            </w:r>
          </w:p>
        </w:tc>
      </w:tr>
    </w:tbl>
    <w:p w14:paraId="2AB0D43C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1C77F9AF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4" w:name="_Toc243988414"/>
      <w:r>
        <w:rPr>
          <w:rFonts w:eastAsia="Times New Roman"/>
          <w:lang w:val="nl-NL"/>
        </w:rPr>
        <w:t>Zo boven, zo beneden: de spiegel van het afschuiven</w:t>
      </w:r>
      <w:bookmarkEnd w:id="4"/>
    </w:p>
    <w:p w14:paraId="41B26306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Wat op het hoogste niveau in Brussel wordt nagelaten, herhaalt zich één-op-één aan het kleinste uitvoeringsloket aan de keukentafel.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12DA60A5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738DBCB6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0E4E7273" wp14:editId="2AB35F02">
                  <wp:extent cx="5524500" cy="2857500"/>
                  <wp:effectExtent l="0" t="0" r="0" b="0"/>
                  <wp:docPr id="3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8D82A9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3 — Zo boven, zo beneden: de spiegel van het afschuiven.</w:t>
            </w:r>
            <w:r>
              <w:t xml:space="preserve"> Het spiegelmechanisme tussen Europees beleid en de uitvoeringspraktijk. Boven maken lidstaten afspraken zonder noodventiel; beneden herhalen de loketambtenaren exact hetzelfde patroon van afschuiven.</w:t>
            </w:r>
          </w:p>
        </w:tc>
      </w:tr>
    </w:tbl>
    <w:p w14:paraId="5EBA45D9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4261B236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2B16809B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19508DEE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3852B818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FE97C9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Europa coördineert zodat niemand tussen wal en schip valt.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11CF84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Brussel laat uitvoering over aan lidstaten die elkaars verantwoordelijkheid ontkennen.</w:t>
            </w:r>
          </w:p>
        </w:tc>
      </w:tr>
      <w:tr w:rsidR="00000000" w14:paraId="1E2EFDE8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6D52F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Wij adviseren contact op te nemen met het bevoegde buitenlandse orgaan.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141322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ambtenaar aan het loket spiegelt exact de ministers: doorschuiven naar de overkant.</w:t>
            </w:r>
          </w:p>
        </w:tc>
      </w:tr>
      <w:tr w:rsidR="00000000" w14:paraId="1480AECE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CF7F2E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In 2030 lost het digitale Europese systeem (ESSPASS) dit op.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4ECFA5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formulier wordt een digitaal bestand, maar de weigering data in te lezen blijft identiek.</w:t>
            </w:r>
          </w:p>
        </w:tc>
      </w:tr>
    </w:tbl>
    <w:p w14:paraId="68A18434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60E5EAE4" w14:textId="77777777" w:rsidR="00AB2038" w:rsidRDefault="00AB2038">
      <w:pPr>
        <w:pStyle w:val="Kop1"/>
        <w:divId w:val="671835007"/>
        <w:rPr>
          <w:rFonts w:eastAsia="Times New Roman"/>
          <w:lang w:val="nl-NL"/>
        </w:rPr>
      </w:pPr>
      <w:bookmarkStart w:id="5" w:name="_Toc243988415"/>
      <w:r>
        <w:rPr>
          <w:rFonts w:eastAsia="Times New Roman"/>
          <w:lang w:val="nl-NL"/>
        </w:rPr>
        <w:t>II. Het lichaam en het papier</w:t>
      </w:r>
      <w:bookmarkEnd w:id="5"/>
    </w:p>
    <w:p w14:paraId="6F711C9E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6" w:name="_Toc243988416"/>
      <w:r>
        <w:rPr>
          <w:rFonts w:eastAsia="Times New Roman"/>
          <w:lang w:val="nl-NL"/>
        </w:rPr>
        <w:t>Vijf behandelaars zien het lichaam, twee loketten zien het papier</w:t>
      </w:r>
      <w:bookmarkEnd w:id="6"/>
    </w:p>
    <w:p w14:paraId="6163D9E6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Vijf artsen in twee landen onderzoeken het lichaam en zien dezelfde zware schade. Twee administratieve artsen beslissen op papier het tegendeel.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4C86764F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4EAB3A2D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1D67FF4D" wp14:editId="654DC605">
                  <wp:extent cx="5524500" cy="2857500"/>
                  <wp:effectExtent l="0" t="0" r="0" b="0"/>
                  <wp:docPr id="4" name="Afbeelding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E3A039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4 — Vijf behandelaars zien het lichaam, twee loketten zien het papier.</w:t>
            </w:r>
            <w:r>
              <w:t xml:space="preserve"> Confrontatie tussen de feitelijke medische zorg (5 onafhankelijke behandelaars) en de bureaucratische controle (2 artsen op de loonlijst van de instantie).</w:t>
            </w:r>
          </w:p>
        </w:tc>
      </w:tr>
    </w:tbl>
    <w:p w14:paraId="5D75991A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459B00E3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037F6393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491BABCF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203DE981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7DD26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Op basis van ons onderzoek bent u niet arbeidsongeschikt.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FD1C9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loketarts heeft het lichaam nooit gezien en oordeelt uitsluitend vanaf een formulier.</w:t>
            </w:r>
          </w:p>
        </w:tc>
      </w:tr>
      <w:tr w:rsidR="00000000" w14:paraId="1EA47D19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33B2E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behaalt 8 punten; voor fiscaal voordeel zijn 9 punten vereist.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626AB6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overheid erkent de handicap, maar legt de fiscale drempel net één punt hoger.</w:t>
            </w:r>
          </w:p>
        </w:tc>
      </w:tr>
      <w:tr w:rsidR="00000000" w14:paraId="6EA1A60E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5FDC4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lastRenderedPageBreak/>
              <w:t>Geen invaliditeitsattest mogelijk omdat u geen uitkering ontvangt.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938D54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Medische erkenning wordt gekoppeld aan geld; wie geen uitkering krijgt, mag niet ziek zijn.</w:t>
            </w:r>
          </w:p>
        </w:tc>
      </w:tr>
    </w:tbl>
    <w:p w14:paraId="63E0489F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3A958149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7" w:name="_Toc243988417"/>
      <w:r>
        <w:rPr>
          <w:rFonts w:eastAsia="Times New Roman"/>
          <w:lang w:val="nl-NL"/>
        </w:rPr>
        <w:t>Hoe één ontbrekend vinkje zes deuren op slot gooit</w:t>
      </w:r>
      <w:bookmarkEnd w:id="7"/>
    </w:p>
    <w:p w14:paraId="148D9933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Eén leeg veld in een centrale databank veroorzaakt een grensoverschrijdende kettingreactie. Zes deuren vallen tegelijk in het slot.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392E2A13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173AFE8A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C6B5BDD" wp14:editId="3E957373">
                  <wp:extent cx="5524500" cy="2857500"/>
                  <wp:effectExtent l="0" t="0" r="0" b="0"/>
                  <wp:docPr id="5" name="Afbeelding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43B2C6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5 — Hoe één ontbrekend vinkje zes deuren op slot gooit.</w:t>
            </w:r>
            <w:r>
              <w:t xml:space="preserve"> Twee dominoketens die starten met één lege database-invoer. In België stopt het ziekenfonds de invoer in de Kruispuntbank; in Nederland weigert het CAK de verdragspolis in het RIV-register.</w:t>
            </w:r>
          </w:p>
        </w:tc>
      </w:tr>
    </w:tbl>
    <w:p w14:paraId="3B10F411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3FA1A17D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14700FDD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2A1D430A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72508D68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BCFD7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sociale toeslag vervalt omdat uw gezinsinkomen boven de grens ligt.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55B6C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computer leest geen ziektevinkje in de Kruispuntbank (KSZ) en rekent met een fictief inkomen.</w:t>
            </w:r>
          </w:p>
        </w:tc>
      </w:tr>
      <w:tr w:rsidR="00000000" w14:paraId="34A9550B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4DCEB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Geen recht op zorgtoeslag omdat u niet in het verzekerdenregister staat.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FEEBD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Zorgverzekeraar (CZ) en CAK missen het veld 'grensarbeider' in hun software.</w:t>
            </w:r>
          </w:p>
        </w:tc>
      </w:tr>
      <w:tr w:rsidR="00000000" w14:paraId="24B5700C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304F9A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Bijzondere bijstand kan niet beoordeeld worden zonder compleet dossier.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6AA128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Gemeente Hulst kan Belgische loongegevens niet automatisch inlezen en wist de aanvraag na 73 dagen.</w:t>
            </w:r>
          </w:p>
        </w:tc>
      </w:tr>
    </w:tbl>
    <w:p w14:paraId="22793A34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6F07F88A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8" w:name="_Toc243988418"/>
      <w:r>
        <w:rPr>
          <w:rFonts w:eastAsia="Times New Roman"/>
          <w:lang w:val="nl-NL"/>
        </w:rPr>
        <w:t>De waterval: hoe stilstand bij de overheid een privéschuld wordt</w:t>
      </w:r>
      <w:bookmarkEnd w:id="8"/>
    </w:p>
    <w:p w14:paraId="1FD6A6A5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Wanneer de overheid weigert te beslissen, vangt de bankrekening de klap op. De commerciële markt neemt het gat over tegen rente en sancties.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4E1BC582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08C3B99F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517C116C" wp14:editId="3EAAD570">
                  <wp:extent cx="5524500" cy="2857500"/>
                  <wp:effectExtent l="0" t="0" r="0" b="0"/>
                  <wp:docPr id="6" name="Afbeelding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B4CCA5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6 — De waterval: hoe stilstand bij de overheid een privéschuld wordt.</w:t>
            </w:r>
            <w:r>
              <w:t xml:space="preserve"> </w:t>
            </w:r>
            <w:r>
              <w:t>De financiële cascade tussen 11 april 2025 en oktober 2026. Uitkeringen blokkeren, medische kosten lopen door en commerciële partijen leggen boetes en betalingsregelingen op.</w:t>
            </w:r>
          </w:p>
        </w:tc>
      </w:tr>
    </w:tbl>
    <w:p w14:paraId="1A74F7D4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27DC41FD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14542D33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7C56C54E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2F7C9E67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DC5C1A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dient uw openstaande schuld binnen 14 dagen te voldoen om verdere kosten te voorkomen.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C63F7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gezin betaalt rente en incassokosten over een schuld veroorzaakt door geblokkeerde uitkeringen.</w:t>
            </w:r>
          </w:p>
        </w:tc>
      </w:tr>
      <w:tr w:rsidR="00000000" w14:paraId="2370BC73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D5B2DA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Om afsluiting van energie te voorkomen dient een onafhankelijk arts uw medische situatie te bevestigen.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3B4271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energieleverancier eist een Nederlandse artsenverklaring die voor een grensarbeider wettelijk onmogelijk is.</w:t>
            </w:r>
          </w:p>
        </w:tc>
      </w:tr>
      <w:tr w:rsidR="00000000" w14:paraId="55EC389D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FA419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betalingsregeling is goedgekeurd onder voorwaarde van intrekking van alle kredietfaciliteiten.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B4534B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bank wordt de strenge bewindvoerder van een gezin dat door overheidsstilstand is drooggelegd.</w:t>
            </w:r>
          </w:p>
        </w:tc>
      </w:tr>
    </w:tbl>
    <w:p w14:paraId="5723CB13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047D5822" w14:textId="77777777" w:rsidR="00AB2038" w:rsidRDefault="00AB2038">
      <w:pPr>
        <w:pStyle w:val="Kop1"/>
        <w:divId w:val="671835007"/>
        <w:rPr>
          <w:rFonts w:eastAsia="Times New Roman"/>
          <w:lang w:val="nl-NL"/>
        </w:rPr>
      </w:pPr>
      <w:bookmarkStart w:id="9" w:name="_Toc243988419"/>
      <w:r>
        <w:rPr>
          <w:rFonts w:eastAsia="Times New Roman"/>
          <w:lang w:val="nl-NL"/>
        </w:rPr>
        <w:t>III. De muur tussen België en Nederland</w:t>
      </w:r>
      <w:bookmarkEnd w:id="9"/>
    </w:p>
    <w:p w14:paraId="57AAC33A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10" w:name="_Toc243988420"/>
      <w:r>
        <w:rPr>
          <w:rFonts w:eastAsia="Times New Roman"/>
          <w:lang w:val="nl-NL"/>
        </w:rPr>
        <w:t>Dezelfde muur in twee talen: CM tegenover CZ en RVA tegenover UWV</w:t>
      </w:r>
      <w:bookmarkEnd w:id="10"/>
    </w:p>
    <w:p w14:paraId="4D106EB9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Aan weerszijden van de grens gebruiken instanties exact hetzelfde draaiboek om de burger buiten te houden. De Europese digitale snelweg blijft leeg.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7701BFD2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0A748335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06C2BEC0" wp14:editId="6CE7D034">
                  <wp:extent cx="5524500" cy="2857500"/>
                  <wp:effectExtent l="0" t="0" r="0" b="0"/>
                  <wp:docPr id="7" name="Afbeelding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A2D1F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7 — Dezelfde muur in twee talen: CM tegenover CZ en RVA tegenover UWV.</w:t>
            </w:r>
            <w:r>
              <w:t xml:space="preserve"> Vergelijking van de identieke afwijzingsmechanismen in België en Nederland. Boven de zorgverzekeraars (CM vs. CZ), onder de arbeidsinstanties (RVA vs. UWV). Onderaan het bewijs dat het Europese EESSI-netwerk in de praktijk stilligt.</w:t>
            </w:r>
          </w:p>
        </w:tc>
      </w:tr>
    </w:tbl>
    <w:p w14:paraId="1928D905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00047228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4F1A66DD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42E90227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76BCA620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9C0FCB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Aanvraag ziekenvervoer afgewezen omdat het vereiste gezichtsveldonderzoek ontbreekt.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16BF7C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CZ eist een Nederlands testprotocol dat in het Belgische ziekenhuis niet bestaat.</w:t>
            </w:r>
          </w:p>
        </w:tc>
      </w:tr>
      <w:tr w:rsidR="00000000" w14:paraId="47DE765C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3E0EAA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Buitenlandse loopbaangegevens kunnen niet in het nationale dossier worden verwerkt.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C55F1B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RVA beschouwt zichzelf alleen als zender en weigert Nederlandse loopbaandata in te lezen.</w:t>
            </w:r>
          </w:p>
        </w:tc>
      </w:tr>
      <w:tr w:rsidR="00000000" w14:paraId="40331FBB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6F8276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gegevensuitwisseling verloopt automatisch via het beveiligde EESSI-netwerk.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ECB6F2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DPO-besluiten van RIZIV, RVA (29-09-2026) en SVB (24-10-2026) bewijzen: nul berichten verstuurd.</w:t>
            </w:r>
          </w:p>
        </w:tc>
      </w:tr>
    </w:tbl>
    <w:p w14:paraId="1039E399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504C414D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11" w:name="_Toc243988421"/>
      <w:r>
        <w:rPr>
          <w:rFonts w:eastAsia="Times New Roman"/>
          <w:lang w:val="nl-NL"/>
        </w:rPr>
        <w:t>Wonen waar geen dokter je kent, reizen waar de pas stopt</w:t>
      </w:r>
      <w:bookmarkEnd w:id="11"/>
    </w:p>
    <w:p w14:paraId="1872028A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In het land waar hij woont mag geen huisarts hem inschrijven. En de Europese gehandicaptenkaart wordt bij de gemeentegrens genegeerd.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1854F454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68D81A42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7746F161" wp14:editId="195EDE54">
                  <wp:extent cx="5524500" cy="2857500"/>
                  <wp:effectExtent l="0" t="0" r="0" b="0"/>
                  <wp:docPr id="8" name="Afbeelding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7443AC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8 — Wonen waar geen dokter je kent, reizen waar de pas stopt.</w:t>
            </w:r>
            <w:r>
              <w:t xml:space="preserve"> De dubbele isolatie in het woonland: links de medische muur waardoor de patiënt thuis geen huisartsenopvolging heeft; rechts de mobiliteitsmuur die EU-kaarten en ritten naar overheidsdiensten weigert.</w:t>
            </w:r>
          </w:p>
        </w:tc>
      </w:tr>
    </w:tbl>
    <w:p w14:paraId="0E2E0200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7FF2F7B2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160F786B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A8B601C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4B4DCF08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156C97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kunt niet worden ingeschreven omdat u al een behandelend huisarts in België heeft.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F39952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wet ter voorkoming van dubbele declaratie zorgt dat een zieke burger thuis vogelvrij is.</w:t>
            </w:r>
          </w:p>
        </w:tc>
      </w:tr>
      <w:tr w:rsidR="00000000" w14:paraId="76511F27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0C43A5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Voor een Nederlandse gehandicaptenparkeerkaart dient u opnieuw gekeurd te worden.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8BCD56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Gemeente Hulst weigert een officiële Europese kaart en eist een herkeuring met leges.</w:t>
            </w:r>
          </w:p>
        </w:tc>
      </w:tr>
      <w:tr w:rsidR="00000000" w14:paraId="66C4CF14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2513D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Wmo-vervoer naar buitenlandse overheidsdiensten valt buiten het vervoersplan.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780E2E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regiotaxi mag wel naar het ziekenhuis in Gent, maar weigert de keuring in dezelfde straat.</w:t>
            </w:r>
          </w:p>
        </w:tc>
      </w:tr>
    </w:tbl>
    <w:p w14:paraId="173311A9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3B6A5690" w14:textId="77777777" w:rsidR="00AB2038" w:rsidRDefault="00AB2038">
      <w:pPr>
        <w:pStyle w:val="Kop1"/>
        <w:divId w:val="671835007"/>
        <w:rPr>
          <w:rFonts w:eastAsia="Times New Roman"/>
          <w:lang w:val="nl-NL"/>
        </w:rPr>
      </w:pPr>
      <w:bookmarkStart w:id="12" w:name="_Toc243988422"/>
      <w:r>
        <w:rPr>
          <w:rFonts w:eastAsia="Times New Roman"/>
          <w:lang w:val="nl-NL"/>
        </w:rPr>
        <w:t>IV. Waar de doorgang wel werkt</w:t>
      </w:r>
      <w:bookmarkEnd w:id="12"/>
    </w:p>
    <w:p w14:paraId="7987AB8D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13" w:name="_Toc243988423"/>
      <w:r>
        <w:rPr>
          <w:rFonts w:eastAsia="Times New Roman"/>
          <w:lang w:val="nl-NL"/>
        </w:rPr>
        <w:t>Het bewijs dat het wél kan: de gezinsbijslag en de fiscale omweg</w:t>
      </w:r>
      <w:bookmarkEnd w:id="13"/>
    </w:p>
    <w:p w14:paraId="64CD26DF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Wanneer de starre centrale ketens falen, bewijzen twee concrete doorbraken dat de regels wél ruimte bieden als men de juiste hefboom vindt.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5641A45E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2D593385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5E1AD58F" wp14:editId="0425516E">
                  <wp:extent cx="5524500" cy="2857500"/>
                  <wp:effectExtent l="0" t="0" r="0" b="0"/>
                  <wp:docPr id="9" name="Afbeelding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1A4E7B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9 — Het bewijs dat het wél kan: de gezinsbijslag en de fiscale omweg.</w:t>
            </w:r>
            <w:r>
              <w:t xml:space="preserve"> Twee succesvolle routes. Baan A toont hoe de SVB en Parentia de gezinsbijslag correct synchroniseren; Baan B toont de fiscale omweg via de huisarts die € 2.669,97 belastingteruggave oplevert.</w:t>
            </w:r>
          </w:p>
        </w:tc>
      </w:tr>
    </w:tbl>
    <w:p w14:paraId="2F4B8244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1B704308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7ED1358E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3B007409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4B9CD8CE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C84181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Zonder federaal attest van 9 punten geen recht op belastingvrije som.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85C329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belastingwet staat toe dat de behandelend huisarts het bewijs levert (€ 2.669,97 terug).</w:t>
            </w:r>
          </w:p>
        </w:tc>
      </w:tr>
      <w:tr w:rsidR="00000000" w14:paraId="58652096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3639AA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heeft als grensarbeider geen recht op Nederlandse kinderbijslag.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4F1F0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Aanvraag op naam van de niet-werkende vader triggert SVB-nabetaling (€ 685) en kindgebonden budget.</w:t>
            </w:r>
          </w:p>
        </w:tc>
      </w:tr>
      <w:tr w:rsidR="00000000" w14:paraId="0CCB6DF1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9FEF50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Wij kunnen de loonadministratie niet met terugwerkende kracht aanpassen.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AC9B38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Met het juiste medische attest paste het schoolsecretariaat de loonheffing direct retroactief aan.</w:t>
            </w:r>
          </w:p>
        </w:tc>
      </w:tr>
    </w:tbl>
    <w:p w14:paraId="36FABE83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49409D5F" w14:textId="77777777" w:rsidR="00AB2038" w:rsidRDefault="00AB2038">
      <w:pPr>
        <w:pStyle w:val="Kop1"/>
        <w:divId w:val="671835007"/>
        <w:rPr>
          <w:rFonts w:eastAsia="Times New Roman"/>
          <w:lang w:val="nl-NL"/>
        </w:rPr>
      </w:pPr>
      <w:bookmarkStart w:id="14" w:name="_Toc243988424"/>
      <w:r>
        <w:rPr>
          <w:rFonts w:eastAsia="Times New Roman"/>
          <w:lang w:val="nl-NL"/>
        </w:rPr>
        <w:t>V. Wie toekijkt en de drie sleutels</w:t>
      </w:r>
      <w:bookmarkEnd w:id="14"/>
    </w:p>
    <w:p w14:paraId="4EE210F7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15" w:name="_Toc243988425"/>
      <w:r>
        <w:rPr>
          <w:rFonts w:eastAsia="Times New Roman"/>
          <w:lang w:val="nl-NL"/>
        </w:rPr>
        <w:t>De ring van toeschouwers en de twee deuren die wél opengingen</w:t>
      </w:r>
      <w:bookmarkEnd w:id="15"/>
    </w:p>
    <w:p w14:paraId="51B1AA32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Tientallen toezichthouders, ministers en rechters keken toe en verklaarden zich onbevoegd. Twee onverwachte deuren gingen wél open.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112B9655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27DB3188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AEE19E2" wp14:editId="00CC10E2">
                  <wp:extent cx="5524500" cy="2857500"/>
                  <wp:effectExtent l="0" t="0" r="0" b="0"/>
                  <wp:docPr id="10" name="Afbeelding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08016E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10 — De ring van toeschouwers en de twee deuren die wél opengingen.</w:t>
            </w:r>
            <w:r>
              <w:t xml:space="preserve"> Links de grote ring van toezichthouders, ombudsdiensten en parlementen die niet ingrijpen; rechts de twee actieve doorbraken bij het Europees Parlement (PETI 1034/2026) en de Orde der Artsen / academische toetsing.</w:t>
            </w:r>
          </w:p>
        </w:tc>
      </w:tr>
    </w:tbl>
    <w:p w14:paraId="5032E54A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5B5212D7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4B931A61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567D48D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0EEE6C85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A9B857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Onze ombudsdienst en toezichthouder kunnen geen dwingende uitspraak doen.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11D392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toezichtsapparaat schrijft rapporten, maar grijpt niet in bij een vastgelopen burger.</w:t>
            </w:r>
          </w:p>
        </w:tc>
      </w:tr>
      <w:tr w:rsidR="00000000" w14:paraId="6A1469DC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C5F40B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komt niet in aanmerking voor toevoeging op basis van historisch inkomen.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304003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wet kijkt naar het inkomen van twee jaar geleden; wie net verarmde krijgt geen advocaat.</w:t>
            </w:r>
          </w:p>
        </w:tc>
      </w:tr>
      <w:tr w:rsidR="00000000" w14:paraId="3F554D5B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2E14A9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verzoekschrift is ontvankelijk verklaard en in onderzoek gegeven bij de Europese Commissie.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DB54E8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Europees Parlement doorbreekt de nationale stilte: het dossier dwingt Brussel tot onderzoek.</w:t>
            </w:r>
          </w:p>
        </w:tc>
      </w:tr>
    </w:tbl>
    <w:p w14:paraId="518AFF11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06B2E521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16" w:name="_Toc243988426"/>
      <w:r>
        <w:rPr>
          <w:rFonts w:eastAsia="Times New Roman"/>
          <w:lang w:val="nl-NL"/>
        </w:rPr>
        <w:t>Drie knoppen die zonder nieuwe wet direct zeventien blokkades oplossen</w:t>
      </w:r>
      <w:bookmarkEnd w:id="16"/>
    </w:p>
    <w:p w14:paraId="180CE334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Er is geen nieuw Europees verdrag nodig om de impasse te doorbreken. Drie bestaande wettelijke knoppen lossen alle zeventien blokkades direct op.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5EBCA665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41750EEB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0CF3DFA9" wp14:editId="6ECF0394">
                  <wp:extent cx="5524500" cy="2857500"/>
                  <wp:effectExtent l="0" t="0" r="0" b="0"/>
                  <wp:docPr id="11" name="Afbeelding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CA1CB8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11 — Drie knoppen die zonder nieuwe wet direct zeventien blokkades oplossen.</w:t>
            </w:r>
            <w:r>
              <w:t xml:space="preserve"> De drie hefbomen die het vacuüm direct sluiten: 1. Registratie in de Kruispuntbank; 2. Samentelling van loopbaanjaren onder EU-verordening 883/2004; 3. Naleving van het Vester-arrest inzake woonplaatsneutraliteit.</w:t>
            </w:r>
          </w:p>
        </w:tc>
      </w:tr>
    </w:tbl>
    <w:p w14:paraId="06484B95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6C155318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1E885345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EEF441F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35CB0558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21A70C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Voor een structurele oplossing is aanpassing van Europese verordeningen nodig.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123D6A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wetten bestaan al decennia; instanties weigeren simpelweg bestaande EU-arresten toe te passen.</w:t>
            </w:r>
          </w:p>
        </w:tc>
      </w:tr>
      <w:tr w:rsidR="00000000" w14:paraId="7782D8B3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98C1EE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Wij kunnen gegevens niet delen zonder nieuw bilateraal verdrag.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54B3C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databanken en EESSI zijn al gebouwd; het ontbreekt alleen aan het vinkje aan de bron.</w:t>
            </w:r>
          </w:p>
        </w:tc>
      </w:tr>
      <w:tr w:rsidR="00000000" w14:paraId="36A1C5C7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C03652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moet zelf bewijzen dat u verzekerd bent voor geneeskundige zorg.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F0EC2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Eén software-aanpassing in het CAK-register lost de zorgtoeslagblokkade voor duizenden op.</w:t>
            </w:r>
          </w:p>
        </w:tc>
      </w:tr>
    </w:tbl>
    <w:p w14:paraId="1DF532B7" w14:textId="77777777" w:rsidR="00AB2038" w:rsidRDefault="00AB2038">
      <w:pPr>
        <w:pStyle w:val="marker"/>
        <w:ind w:left="800" w:right="800"/>
        <w:divId w:val="671835007"/>
        <w:rPr>
          <w:lang w:val="nl-NL"/>
        </w:rPr>
      </w:pPr>
      <w:r>
        <w:br w:type="page"/>
      </w:r>
    </w:p>
    <w:p w14:paraId="1E7508AE" w14:textId="77777777" w:rsidR="00AB2038" w:rsidRDefault="00AB2038">
      <w:pPr>
        <w:pStyle w:val="Kop3"/>
        <w:divId w:val="671835007"/>
        <w:rPr>
          <w:rFonts w:eastAsia="Times New Roman"/>
          <w:lang w:val="nl-NL"/>
        </w:rPr>
      </w:pPr>
      <w:bookmarkStart w:id="17" w:name="_Toc243988427"/>
      <w:r>
        <w:rPr>
          <w:rFonts w:eastAsia="Times New Roman"/>
          <w:lang w:val="nl-NL"/>
        </w:rPr>
        <w:t>Slotplaat: van twee vijandige muren naar twee verbonden cellen</w:t>
      </w:r>
      <w:bookmarkEnd w:id="17"/>
    </w:p>
    <w:p w14:paraId="0ADABDFA" w14:textId="77777777" w:rsidR="00AB2038" w:rsidRDefault="00AB2038">
      <w:pPr>
        <w:pStyle w:val="lead"/>
        <w:divId w:val="671835007"/>
        <w:rPr>
          <w:lang w:val="nl-NL"/>
        </w:rPr>
      </w:pPr>
      <w:r>
        <w:rPr>
          <w:lang w:val="nl-NL"/>
        </w:rPr>
        <w:t>Twee manieren om naar de grens te kijken: een verstikkend doolhof waarin de zieke mens bezwijkt, of twee ademende cellen in gezonde samenwerking.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40CC0E67" w14:textId="77777777">
        <w:trPr>
          <w:divId w:val="671835007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04B6CD3B" w14:textId="77777777" w:rsidR="00AB2038" w:rsidRDefault="00AB2038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34C60445" wp14:editId="5A7A5A84">
                  <wp:extent cx="5524500" cy="2857500"/>
                  <wp:effectExtent l="0" t="0" r="0" b="0"/>
                  <wp:docPr id="12" name="Afbeelding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EC06C1" w14:textId="77777777" w:rsidR="00AB2038" w:rsidRDefault="00AB2038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12 — Slotplaat: van twee vijandige muren naar twee verbonden cellen.</w:t>
            </w:r>
            <w:r>
              <w:t xml:space="preserve"> Het contrast tussen de huidige werkelijkheid (links: 62 organisaties en een verstikkend netwerk rond de patiënt) en het hervormde stelsel (rechts: gezonde symbiose met de drie bouwstenen uit Document D).</w:t>
            </w:r>
          </w:p>
        </w:tc>
      </w:tr>
    </w:tbl>
    <w:p w14:paraId="6F515BA8" w14:textId="77777777" w:rsidR="00AB2038" w:rsidRDefault="00AB2038">
      <w:pPr>
        <w:divId w:val="671835007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124C5DE7" w14:textId="77777777">
        <w:trPr>
          <w:divId w:val="671835007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1F363EDC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7F163717" w14:textId="77777777" w:rsidR="00AB2038" w:rsidRDefault="00AB2038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135F70CD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BB13CE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procedures zijn noodzakelijk om misbruik en fouten te voorkomen.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F371B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bureaucratie kost miljoenen en duwt werkende gezinnen onnodig in armoede en schuld.</w:t>
            </w:r>
          </w:p>
        </w:tc>
      </w:tr>
      <w:tr w:rsidR="00000000" w14:paraId="027490BF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7715BB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Grensarbeid is een individuele keuze met eigen administratieve verantwoordelijkheid.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8975AF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Vrij verkeer van werknemers is het fundament van de EU; het mag niet bestraft worden.</w:t>
            </w:r>
          </w:p>
        </w:tc>
      </w:tr>
      <w:tr w:rsidR="00000000" w14:paraId="2029AEBD" w14:textId="77777777">
        <w:trPr>
          <w:divId w:val="671835007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E19E84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stelsel is te complex om integraal te hervormen.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8B1177" w14:textId="77777777" w:rsidR="00AB2038" w:rsidRDefault="00AB2038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Met drie gerichte koppelingsprincipes kan het bevoegdheidsvacuüm morgen definitief gesloten worden.</w:t>
            </w:r>
          </w:p>
        </w:tc>
      </w:tr>
    </w:tbl>
    <w:p w14:paraId="7A215E73" w14:textId="77777777" w:rsidR="00AB2038" w:rsidRDefault="00AB2038">
      <w:pPr>
        <w:divId w:val="671835007"/>
        <w:rPr>
          <w:rFonts w:eastAsia="Times New Roman"/>
        </w:rPr>
      </w:pPr>
    </w:p>
    <w:sectPr w:rsidR="00000000" w:rsidSect="00AB203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C6FBD" w14:textId="77777777" w:rsidR="00AB2038" w:rsidRDefault="00AB2038" w:rsidP="00AB2038">
      <w:pPr>
        <w:spacing w:after="0"/>
      </w:pPr>
      <w:r>
        <w:separator/>
      </w:r>
    </w:p>
  </w:endnote>
  <w:endnote w:type="continuationSeparator" w:id="0">
    <w:p w14:paraId="1C569096" w14:textId="77777777" w:rsidR="00AB2038" w:rsidRDefault="00AB2038" w:rsidP="00AB20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06423" w14:textId="77777777" w:rsidR="00AB2038" w:rsidRDefault="00AB2038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26F11" w14:textId="180C896C" w:rsidR="00AB2038" w:rsidRPr="00AB2038" w:rsidRDefault="00AB2038" w:rsidP="00AB2038">
    <w:pPr>
      <w:pStyle w:val="Voettekst"/>
      <w:pBdr>
        <w:top w:val="single" w:sz="4" w:space="0" w:color="C0C0C0"/>
      </w:pBdr>
      <w:jc w:val="center"/>
      <w:rPr>
        <w:color w:val="808080"/>
        <w:sz w:val="18"/>
      </w:rPr>
    </w:pPr>
    <w:r w:rsidRPr="00AB2038">
      <w:rPr>
        <w:color w:val="808080"/>
        <w:sz w:val="18"/>
      </w:rPr>
      <w:t xml:space="preserve">Pagina </w:t>
    </w:r>
    <w:r w:rsidRPr="00AB2038">
      <w:rPr>
        <w:color w:val="808080"/>
        <w:sz w:val="18"/>
      </w:rPr>
      <w:fldChar w:fldCharType="begin"/>
    </w:r>
    <w:r w:rsidRPr="00AB2038">
      <w:rPr>
        <w:color w:val="808080"/>
        <w:sz w:val="18"/>
      </w:rPr>
      <w:instrText xml:space="preserve"> PAGE  \* MERGEFORMAT </w:instrText>
    </w:r>
    <w:r w:rsidRPr="00AB2038">
      <w:rPr>
        <w:color w:val="808080"/>
        <w:sz w:val="18"/>
      </w:rPr>
      <w:fldChar w:fldCharType="separate"/>
    </w:r>
    <w:r w:rsidRPr="00AB2038">
      <w:rPr>
        <w:noProof/>
        <w:color w:val="808080"/>
        <w:sz w:val="18"/>
      </w:rPr>
      <w:t>1</w:t>
    </w:r>
    <w:r w:rsidRPr="00AB2038">
      <w:rPr>
        <w:color w:val="808080"/>
        <w:sz w:val="18"/>
      </w:rPr>
      <w:fldChar w:fldCharType="end"/>
    </w:r>
    <w:r w:rsidRPr="00AB2038">
      <w:rPr>
        <w:color w:val="808080"/>
        <w:sz w:val="18"/>
      </w:rPr>
      <w:t xml:space="preserve"> van </w:t>
    </w:r>
    <w:r w:rsidRPr="00AB2038">
      <w:rPr>
        <w:color w:val="808080"/>
        <w:sz w:val="18"/>
      </w:rPr>
      <w:fldChar w:fldCharType="begin"/>
    </w:r>
    <w:r w:rsidRPr="00AB2038">
      <w:rPr>
        <w:color w:val="808080"/>
        <w:sz w:val="18"/>
      </w:rPr>
      <w:instrText xml:space="preserve"> NUMPAGES  \* MERGEFORMAT </w:instrText>
    </w:r>
    <w:r w:rsidRPr="00AB2038">
      <w:rPr>
        <w:color w:val="808080"/>
        <w:sz w:val="18"/>
      </w:rPr>
      <w:fldChar w:fldCharType="separate"/>
    </w:r>
    <w:r w:rsidRPr="00AB2038">
      <w:rPr>
        <w:noProof/>
        <w:color w:val="808080"/>
        <w:sz w:val="18"/>
      </w:rPr>
      <w:t>3</w:t>
    </w:r>
    <w:r w:rsidRPr="00AB2038">
      <w:rPr>
        <w:color w:val="808080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3E949" w14:textId="77777777" w:rsidR="00AB2038" w:rsidRDefault="00AB2038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502BB" w14:textId="77777777" w:rsidR="00AB2038" w:rsidRDefault="00AB2038" w:rsidP="00AB2038">
      <w:pPr>
        <w:spacing w:after="0"/>
      </w:pPr>
      <w:r>
        <w:separator/>
      </w:r>
    </w:p>
  </w:footnote>
  <w:footnote w:type="continuationSeparator" w:id="0">
    <w:p w14:paraId="46F8DDFB" w14:textId="77777777" w:rsidR="00AB2038" w:rsidRDefault="00AB2038" w:rsidP="00AB203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3D7E4" w14:textId="77777777" w:rsidR="00AB2038" w:rsidRDefault="00AB2038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B27CE" w14:textId="13897D13" w:rsidR="00AB2038" w:rsidRPr="00AB2038" w:rsidRDefault="00AB2038" w:rsidP="00AB2038">
    <w:pPr>
      <w:pStyle w:val="Koptekst"/>
      <w:pBdr>
        <w:bottom w:val="single" w:sz="4" w:space="0" w:color="C0C0C0"/>
      </w:pBdr>
      <w:rPr>
        <w:color w:val="808080"/>
        <w:sz w:val="18"/>
      </w:rPr>
    </w:pPr>
    <w:r w:rsidRPr="00AB2038">
      <w:rPr>
        <w:color w:val="808080"/>
        <w:sz w:val="18"/>
      </w:rPr>
      <w:t>Systeem-Audit</w:t>
    </w:r>
    <w:r w:rsidRPr="00AB2038">
      <w:rPr>
        <w:color w:val="808080"/>
        <w:sz w:val="18"/>
      </w:rPr>
      <w:tab/>
      <w:t>Document C — De visuele architectuur</w:t>
    </w:r>
    <w:r w:rsidRPr="00AB2038">
      <w:rPr>
        <w:color w:val="808080"/>
        <w:sz w:val="18"/>
      </w:rPr>
      <w:tab/>
      <w:t>Laatst gewijzigd: 27 oktober 2026, 09:49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5E3FBC" w14:textId="77777777" w:rsidR="00AB2038" w:rsidRDefault="00AB2038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038"/>
    <w:rsid w:val="002F7FD1"/>
    <w:rsid w:val="00AB2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A29EC3"/>
  <w15:chartTrackingRefBased/>
  <w15:docId w15:val="{534AE425-4CD4-4360-B85C-D1AC47D5B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spacing w:after="120"/>
    </w:pPr>
    <w:rPr>
      <w:rFonts w:ascii="Aptos" w:eastAsiaTheme="minorEastAsia" w:hAnsi="Aptos"/>
      <w:sz w:val="22"/>
      <w:szCs w:val="24"/>
    </w:rPr>
  </w:style>
  <w:style w:type="paragraph" w:styleId="Kop1">
    <w:name w:val="heading 1"/>
    <w:basedOn w:val="Standaard"/>
    <w:link w:val="Kop1Char"/>
    <w:uiPriority w:val="9"/>
    <w:qFormat/>
    <w:pPr>
      <w:pBdr>
        <w:bottom w:val="single" w:sz="18" w:space="6" w:color="4A3B6B"/>
      </w:pBdr>
      <w:outlineLvl w:val="0"/>
    </w:pPr>
    <w:rPr>
      <w:rFonts w:ascii="Aptos Display" w:hAnsi="Aptos Display"/>
      <w:b/>
      <w:bCs/>
      <w:color w:val="4A3B6B"/>
      <w:kern w:val="36"/>
      <w:sz w:val="56"/>
      <w:szCs w:val="56"/>
    </w:rPr>
  </w:style>
  <w:style w:type="paragraph" w:styleId="Kop2">
    <w:name w:val="heading 2"/>
    <w:basedOn w:val="Standaard"/>
    <w:link w:val="Kop2Char"/>
    <w:uiPriority w:val="9"/>
    <w:qFormat/>
    <w:pPr>
      <w:pBdr>
        <w:bottom w:val="single" w:sz="12" w:space="4" w:color="4A3B6B"/>
      </w:pBdr>
      <w:spacing w:after="100"/>
      <w:outlineLvl w:val="1"/>
    </w:pPr>
    <w:rPr>
      <w:rFonts w:ascii="Aptos Display" w:hAnsi="Aptos Display"/>
      <w:b/>
      <w:bCs/>
      <w:color w:val="4A3B6B"/>
      <w:sz w:val="40"/>
      <w:szCs w:val="40"/>
    </w:rPr>
  </w:style>
  <w:style w:type="paragraph" w:styleId="Kop3">
    <w:name w:val="heading 3"/>
    <w:basedOn w:val="Standaard"/>
    <w:link w:val="Kop3Char"/>
    <w:uiPriority w:val="9"/>
    <w:qFormat/>
    <w:pPr>
      <w:pBdr>
        <w:bottom w:val="single" w:sz="6" w:space="3" w:color="4A3B6B"/>
      </w:pBdr>
      <w:spacing w:after="80"/>
      <w:outlineLvl w:val="2"/>
    </w:pPr>
    <w:rPr>
      <w:rFonts w:ascii="Aptos Display" w:hAnsi="Aptos Display"/>
      <w:b/>
      <w:bCs/>
      <w:color w:val="4A3B6B"/>
      <w:sz w:val="32"/>
      <w:szCs w:val="32"/>
    </w:rPr>
  </w:style>
  <w:style w:type="paragraph" w:styleId="Kop4">
    <w:name w:val="heading 4"/>
    <w:basedOn w:val="Standaard"/>
    <w:link w:val="Kop4Char"/>
    <w:uiPriority w:val="9"/>
    <w:qFormat/>
    <w:pPr>
      <w:spacing w:before="200" w:after="60"/>
      <w:outlineLvl w:val="3"/>
    </w:pPr>
    <w:rPr>
      <w:rFonts w:ascii="Aptos Display" w:hAnsi="Aptos Display"/>
      <w:b/>
      <w:bCs/>
      <w:color w:val="4A3B6B"/>
      <w:sz w:val="28"/>
      <w:szCs w:val="28"/>
    </w:rPr>
  </w:style>
  <w:style w:type="paragraph" w:styleId="Kop5">
    <w:name w:val="heading 5"/>
    <w:basedOn w:val="Standaard"/>
    <w:link w:val="Kop5Char"/>
    <w:uiPriority w:val="9"/>
    <w:qFormat/>
    <w:pPr>
      <w:spacing w:before="160" w:after="60"/>
      <w:outlineLvl w:val="4"/>
    </w:pPr>
    <w:rPr>
      <w:rFonts w:ascii="Aptos Display" w:hAnsi="Aptos Display"/>
      <w:b/>
      <w:bCs/>
      <w:color w:val="333333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Pr>
      <w:color w:val="800080"/>
      <w:u w:val="single"/>
    </w:rPr>
  </w:style>
  <w:style w:type="character" w:customStyle="1" w:styleId="Kop1Char">
    <w:name w:val="Kop 1 Char"/>
    <w:basedOn w:val="Standaardalinea-lettertype"/>
    <w:link w:val="Kop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Kop5Char">
    <w:name w:val="Kop 5 Char"/>
    <w:basedOn w:val="Standaardalinea-lettertype"/>
    <w:link w:val="Kop5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character" w:styleId="Zwaar">
    <w:name w:val="Strong"/>
    <w:basedOn w:val="Standaardalinea-lettertype"/>
    <w:uiPriority w:val="22"/>
    <w:qFormat/>
    <w:rPr>
      <w:b/>
      <w:bCs/>
    </w:rPr>
  </w:style>
  <w:style w:type="paragraph" w:customStyle="1" w:styleId="msonormal0">
    <w:name w:val="msonormal"/>
    <w:basedOn w:val="Standaard"/>
  </w:style>
  <w:style w:type="paragraph" w:styleId="Normaalweb">
    <w:name w:val="Normal (Web)"/>
    <w:basedOn w:val="Standaard"/>
    <w:uiPriority w:val="99"/>
    <w:semiHidden/>
    <w:unhideWhenUsed/>
  </w:style>
  <w:style w:type="paragraph" w:customStyle="1" w:styleId="marker">
    <w:name w:val="marker"/>
    <w:basedOn w:val="Standaard"/>
    <w:pPr>
      <w:spacing w:line="20" w:lineRule="exact"/>
    </w:pPr>
    <w:rPr>
      <w:sz w:val="2"/>
      <w:szCs w:val="2"/>
    </w:rPr>
  </w:style>
  <w:style w:type="paragraph" w:customStyle="1" w:styleId="subtitel">
    <w:name w:val="subtitel"/>
    <w:basedOn w:val="Standaard"/>
    <w:pPr>
      <w:spacing w:after="200"/>
    </w:pPr>
    <w:rPr>
      <w:i/>
      <w:iCs/>
      <w:color w:val="555555"/>
      <w:szCs w:val="22"/>
    </w:rPr>
  </w:style>
  <w:style w:type="paragraph" w:customStyle="1" w:styleId="lead">
    <w:name w:val="lead"/>
    <w:basedOn w:val="Standaard"/>
    <w:pPr>
      <w:spacing w:after="240"/>
    </w:pPr>
    <w:rPr>
      <w:i/>
      <w:iCs/>
      <w:color w:val="444444"/>
    </w:rPr>
  </w:style>
  <w:style w:type="paragraph" w:customStyle="1" w:styleId="tijd">
    <w:name w:val="tijd"/>
    <w:basedOn w:val="Standaard"/>
    <w:pPr>
      <w:spacing w:after="80"/>
    </w:pPr>
    <w:rPr>
      <w:i/>
      <w:iCs/>
      <w:caps/>
      <w:color w:val="888888"/>
      <w:spacing w:val="20"/>
      <w:sz w:val="20"/>
      <w:szCs w:val="20"/>
    </w:rPr>
  </w:style>
  <w:style w:type="paragraph" w:customStyle="1" w:styleId="netwerkregel">
    <w:name w:val="netwerkregel"/>
    <w:basedOn w:val="Standaard"/>
    <w:pPr>
      <w:spacing w:before="100" w:beforeAutospacing="1"/>
    </w:pPr>
    <w:rPr>
      <w:i/>
      <w:iCs/>
      <w:color w:val="333333"/>
    </w:rPr>
  </w:style>
  <w:style w:type="paragraph" w:customStyle="1" w:styleId="metadata">
    <w:name w:val="metadata"/>
    <w:basedOn w:val="Standaard"/>
    <w:pPr>
      <w:spacing w:before="100" w:beforeAutospacing="1" w:after="80"/>
    </w:pPr>
    <w:rPr>
      <w:vanish/>
    </w:rPr>
  </w:style>
  <w:style w:type="paragraph" w:customStyle="1" w:styleId="timeline-entry">
    <w:name w:val="timeline-entry"/>
    <w:basedOn w:val="Standaard"/>
    <w:pPr>
      <w:spacing w:before="100" w:beforeAutospacing="1"/>
    </w:pPr>
  </w:style>
  <w:style w:type="paragraph" w:customStyle="1" w:styleId="date-title">
    <w:name w:val="date-title"/>
    <w:basedOn w:val="Standaard"/>
    <w:pPr>
      <w:spacing w:before="100" w:beforeAutospacing="1" w:after="100" w:afterAutospacing="1"/>
    </w:pPr>
    <w:rPr>
      <w:b/>
      <w:bCs/>
      <w:color w:val="000000"/>
    </w:rPr>
  </w:style>
  <w:style w:type="paragraph" w:customStyle="1" w:styleId="netwerk">
    <w:name w:val="netwerk"/>
    <w:basedOn w:val="Standaard"/>
    <w:pPr>
      <w:spacing w:before="100" w:beforeAutospacing="1" w:after="80"/>
    </w:pPr>
    <w:rPr>
      <w:i/>
      <w:iCs/>
      <w:color w:val="333333"/>
    </w:rPr>
  </w:style>
  <w:style w:type="paragraph" w:customStyle="1" w:styleId="meta">
    <w:name w:val="meta"/>
    <w:basedOn w:val="Standaard"/>
    <w:pPr>
      <w:spacing w:before="100" w:beforeAutospacing="1" w:after="80"/>
    </w:pPr>
  </w:style>
  <w:style w:type="paragraph" w:customStyle="1" w:styleId="entry">
    <w:name w:val="entry"/>
    <w:basedOn w:val="Standaard"/>
    <w:pPr>
      <w:spacing w:before="100" w:beforeAutospacing="1"/>
    </w:pPr>
    <w:rPr>
      <w:sz w:val="21"/>
      <w:szCs w:val="21"/>
    </w:rPr>
  </w:style>
  <w:style w:type="paragraph" w:customStyle="1" w:styleId="datum">
    <w:name w:val="datum"/>
    <w:basedOn w:val="Standaard"/>
    <w:pPr>
      <w:spacing w:before="100" w:beforeAutospacing="1" w:after="100" w:afterAutospacing="1"/>
    </w:pPr>
    <w:rPr>
      <w:b/>
      <w:bCs/>
      <w:color w:val="000000"/>
    </w:rPr>
  </w:style>
  <w:style w:type="paragraph" w:customStyle="1" w:styleId="titel">
    <w:name w:val="titel"/>
    <w:basedOn w:val="Standaard"/>
    <w:pPr>
      <w:spacing w:before="100" w:beforeAutospacing="1" w:after="100" w:afterAutospacing="1"/>
    </w:pPr>
    <w:rPr>
      <w:b/>
      <w:bCs/>
      <w:caps/>
    </w:rPr>
  </w:style>
  <w:style w:type="paragraph" w:customStyle="1" w:styleId="entry-titel">
    <w:name w:val="entry-titel"/>
    <w:basedOn w:val="Standaard"/>
    <w:pPr>
      <w:spacing w:before="100" w:beforeAutospacing="1" w:after="100" w:afterAutospacing="1"/>
    </w:pPr>
    <w:rPr>
      <w:b/>
      <w:bCs/>
      <w:caps/>
    </w:rPr>
  </w:style>
  <w:style w:type="paragraph" w:customStyle="1" w:styleId="opvolging">
    <w:name w:val="opvolging"/>
    <w:basedOn w:val="Standaard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entry-in">
    <w:name w:val="entry-in"/>
    <w:basedOn w:val="Standaard"/>
    <w:pPr>
      <w:pBdr>
        <w:left w:val="single" w:sz="24" w:space="0" w:color="1A3C6E"/>
      </w:pBdr>
      <w:shd w:val="clear" w:color="auto" w:fill="F0F4F9"/>
      <w:spacing w:before="100" w:beforeAutospacing="1" w:after="100" w:afterAutospacing="1"/>
      <w:ind w:right="1428"/>
    </w:pPr>
  </w:style>
  <w:style w:type="paragraph" w:customStyle="1" w:styleId="entry-uit">
    <w:name w:val="entry-uit"/>
    <w:basedOn w:val="Standaard"/>
    <w:pPr>
      <w:pBdr>
        <w:right w:val="single" w:sz="24" w:space="0" w:color="8B1E1E"/>
      </w:pBdr>
      <w:shd w:val="clear" w:color="auto" w:fill="FAF0F2"/>
      <w:spacing w:before="100" w:beforeAutospacing="1" w:after="100" w:afterAutospacing="1"/>
      <w:ind w:left="1428"/>
      <w:jc w:val="right"/>
    </w:pPr>
  </w:style>
  <w:style w:type="paragraph" w:customStyle="1" w:styleId="richting">
    <w:name w:val="richting"/>
    <w:basedOn w:val="Standaard"/>
    <w:pPr>
      <w:spacing w:before="100" w:beforeAutospacing="1" w:after="100" w:afterAutospacing="1"/>
      <w:ind w:right="60"/>
    </w:pPr>
    <w:rPr>
      <w:b/>
      <w:bCs/>
      <w:spacing w:val="8"/>
      <w:sz w:val="20"/>
      <w:szCs w:val="20"/>
    </w:rPr>
  </w:style>
  <w:style w:type="paragraph" w:customStyle="1" w:styleId="richting-ontvangen">
    <w:name w:val="richting-ontvangen"/>
    <w:basedOn w:val="Standaard"/>
    <w:pPr>
      <w:spacing w:before="100" w:beforeAutospacing="1" w:after="100" w:afterAutospacing="1"/>
    </w:pPr>
    <w:rPr>
      <w:color w:val="1A3C6E"/>
    </w:rPr>
  </w:style>
  <w:style w:type="paragraph" w:customStyle="1" w:styleId="richting-verzonden">
    <w:name w:val="richting-verzonden"/>
    <w:basedOn w:val="Standaard"/>
    <w:pPr>
      <w:spacing w:before="100" w:beforeAutospacing="1" w:after="100" w:afterAutospacing="1"/>
    </w:pPr>
    <w:rPr>
      <w:color w:val="8B1E1E"/>
    </w:rPr>
  </w:style>
  <w:style w:type="paragraph" w:customStyle="1" w:styleId="oorsprong">
    <w:name w:val="oorsprong"/>
    <w:basedOn w:val="Standaard"/>
    <w:pPr>
      <w:spacing w:before="100" w:beforeAutospacing="1" w:after="100" w:afterAutospacing="1"/>
    </w:pPr>
    <w:rPr>
      <w:i/>
      <w:iCs/>
      <w:color w:val="555555"/>
      <w:sz w:val="20"/>
      <w:szCs w:val="20"/>
    </w:rPr>
  </w:style>
  <w:style w:type="paragraph" w:customStyle="1" w:styleId="audit-bewijs">
    <w:name w:val="audit-bewijs"/>
    <w:basedOn w:val="Standaard"/>
    <w:pPr>
      <w:pBdr>
        <w:top w:val="single" w:sz="6" w:space="1" w:color="DCD7CC"/>
        <w:left w:val="single" w:sz="6" w:space="6" w:color="DCD7CC"/>
        <w:bottom w:val="single" w:sz="6" w:space="1" w:color="DCD7CC"/>
        <w:right w:val="single" w:sz="6" w:space="6" w:color="DCD7CC"/>
      </w:pBdr>
      <w:shd w:val="clear" w:color="auto" w:fill="F0EEE9"/>
      <w:spacing w:before="100" w:beforeAutospacing="1" w:after="100" w:afterAutospacing="1"/>
      <w:ind w:left="120"/>
      <w:textAlignment w:val="baseline"/>
    </w:pPr>
    <w:rPr>
      <w:rFonts w:ascii="Consolas" w:hAnsi="Consolas"/>
      <w:color w:val="4A5568"/>
      <w:sz w:val="17"/>
      <w:szCs w:val="17"/>
    </w:rPr>
  </w:style>
  <w:style w:type="paragraph" w:customStyle="1" w:styleId="technisch-notice">
    <w:name w:val="technisch-notice"/>
    <w:basedOn w:val="Standaard"/>
    <w:pPr>
      <w:pBdr>
        <w:left w:val="single" w:sz="36" w:space="14" w:color="D5D0C5"/>
      </w:pBdr>
      <w:shd w:val="clear" w:color="auto" w:fill="F7F5F1"/>
      <w:spacing w:before="240" w:after="400"/>
    </w:pPr>
    <w:rPr>
      <w:i/>
      <w:iCs/>
      <w:color w:val="555555"/>
      <w:sz w:val="21"/>
      <w:szCs w:val="21"/>
    </w:rPr>
  </w:style>
  <w:style w:type="paragraph" w:customStyle="1" w:styleId="figure">
    <w:name w:val="figure"/>
    <w:basedOn w:val="Standaard"/>
    <w:pPr>
      <w:pBdr>
        <w:top w:val="single" w:sz="6" w:space="12" w:color="D8D4CB"/>
        <w:left w:val="single" w:sz="6" w:space="12" w:color="D8D4CB"/>
        <w:bottom w:val="single" w:sz="6" w:space="12" w:color="D8D4CB"/>
        <w:right w:val="single" w:sz="6" w:space="12" w:color="D8D4CB"/>
      </w:pBdr>
      <w:shd w:val="clear" w:color="auto" w:fill="FFFFFF"/>
      <w:spacing w:before="280" w:after="280"/>
    </w:pPr>
  </w:style>
  <w:style w:type="paragraph" w:customStyle="1" w:styleId="caption">
    <w:name w:val="caption"/>
    <w:basedOn w:val="Standaard"/>
    <w:pPr>
      <w:pBdr>
        <w:top w:val="single" w:sz="6" w:space="6" w:color="ECE8DF"/>
      </w:pBdr>
      <w:spacing w:before="160" w:after="100" w:afterAutospacing="1"/>
    </w:pPr>
    <w:rPr>
      <w:color w:val="4A5559"/>
      <w:sz w:val="20"/>
      <w:szCs w:val="20"/>
    </w:rPr>
  </w:style>
  <w:style w:type="paragraph" w:customStyle="1" w:styleId="status-g">
    <w:name w:val="status-g"/>
    <w:basedOn w:val="Standaard"/>
    <w:pPr>
      <w:spacing w:before="100" w:beforeAutospacing="1" w:after="100" w:afterAutospacing="1"/>
    </w:pPr>
    <w:rPr>
      <w:b/>
      <w:bCs/>
      <w:color w:val="2E7D32"/>
    </w:rPr>
  </w:style>
  <w:style w:type="paragraph" w:customStyle="1" w:styleId="status-o">
    <w:name w:val="status-o"/>
    <w:basedOn w:val="Standaard"/>
    <w:pPr>
      <w:spacing w:before="100" w:beforeAutospacing="1" w:after="100" w:afterAutospacing="1"/>
    </w:pPr>
    <w:rPr>
      <w:b/>
      <w:bCs/>
      <w:color w:val="E65100"/>
    </w:rPr>
  </w:style>
  <w:style w:type="paragraph" w:customStyle="1" w:styleId="status-r">
    <w:name w:val="status-r"/>
    <w:basedOn w:val="Standaard"/>
    <w:pPr>
      <w:spacing w:before="100" w:beforeAutospacing="1" w:after="100" w:afterAutospacing="1"/>
    </w:pPr>
    <w:rPr>
      <w:b/>
      <w:bCs/>
      <w:color w:val="C62828"/>
    </w:rPr>
  </w:style>
  <w:style w:type="paragraph" w:customStyle="1" w:styleId="actie">
    <w:name w:val="actie"/>
    <w:basedOn w:val="Standaard"/>
    <w:pPr>
      <w:pBdr>
        <w:left w:val="single" w:sz="24" w:space="14" w:color="4A3B6B"/>
      </w:pBdr>
      <w:shd w:val="clear" w:color="auto" w:fill="EDE9F5"/>
      <w:spacing w:before="280" w:after="280"/>
    </w:pPr>
    <w:rPr>
      <w:szCs w:val="22"/>
    </w:rPr>
  </w:style>
  <w:style w:type="paragraph" w:customStyle="1" w:styleId="werkversie">
    <w:name w:val="werkversie"/>
    <w:basedOn w:val="Standaard"/>
    <w:pPr>
      <w:pBdr>
        <w:left w:val="single" w:sz="24" w:space="12" w:color="E6A817"/>
      </w:pBdr>
      <w:shd w:val="clear" w:color="auto" w:fill="FFF8E1"/>
      <w:spacing w:before="100" w:beforeAutospacing="1" w:after="320"/>
    </w:pPr>
    <w:rPr>
      <w:color w:val="665500"/>
      <w:sz w:val="21"/>
      <w:szCs w:val="21"/>
    </w:rPr>
  </w:style>
  <w:style w:type="paragraph" w:customStyle="1" w:styleId="afsluiting">
    <w:name w:val="afsluiting"/>
    <w:basedOn w:val="Standaard"/>
    <w:pPr>
      <w:pBdr>
        <w:left w:val="single" w:sz="24" w:space="14" w:color="4A3B6B"/>
      </w:pBdr>
      <w:shd w:val="clear" w:color="auto" w:fill="F4F1F8"/>
      <w:spacing w:before="280" w:after="280"/>
    </w:pPr>
    <w:rPr>
      <w:szCs w:val="22"/>
    </w:rPr>
  </w:style>
  <w:style w:type="paragraph" w:customStyle="1" w:styleId="actor">
    <w:name w:val="actor"/>
    <w:basedOn w:val="Standaard"/>
    <w:pPr>
      <w:pBdr>
        <w:bottom w:val="single" w:sz="6" w:space="10" w:color="E8E4DC"/>
      </w:pBdr>
      <w:spacing w:before="100" w:beforeAutospacing="1" w:after="240"/>
    </w:pPr>
  </w:style>
  <w:style w:type="paragraph" w:customStyle="1" w:styleId="actor-naam">
    <w:name w:val="actor-naam"/>
    <w:basedOn w:val="Standaard"/>
    <w:pPr>
      <w:spacing w:before="100" w:beforeAutospacing="1" w:after="100" w:afterAutospacing="1"/>
    </w:pPr>
    <w:rPr>
      <w:b/>
      <w:bCs/>
      <w:color w:val="1F2421"/>
    </w:rPr>
  </w:style>
  <w:style w:type="paragraph" w:customStyle="1" w:styleId="actor-rol">
    <w:name w:val="actor-rol"/>
    <w:basedOn w:val="Standaard"/>
    <w:pPr>
      <w:spacing w:before="100" w:beforeAutospacing="1" w:after="100" w:afterAutospacing="1"/>
    </w:pPr>
    <w:rPr>
      <w:b/>
      <w:bCs/>
      <w:color w:val="4A3B6B"/>
    </w:rPr>
  </w:style>
  <w:style w:type="paragraph" w:customStyle="1" w:styleId="badge-be">
    <w:name w:val="badge-be"/>
    <w:basedOn w:val="Standaard"/>
    <w:pPr>
      <w:spacing w:before="100" w:beforeAutospacing="1" w:after="100" w:afterAutospacing="1"/>
    </w:pPr>
    <w:rPr>
      <w:b/>
      <w:bCs/>
      <w:color w:val="8B1E1E"/>
    </w:rPr>
  </w:style>
  <w:style w:type="paragraph" w:customStyle="1" w:styleId="badge-nl">
    <w:name w:val="badge-nl"/>
    <w:basedOn w:val="Standaard"/>
    <w:pPr>
      <w:spacing w:before="100" w:beforeAutospacing="1" w:after="100" w:afterAutospacing="1"/>
    </w:pPr>
    <w:rPr>
      <w:b/>
      <w:bCs/>
      <w:color w:val="1A3C6E"/>
    </w:rPr>
  </w:style>
  <w:style w:type="paragraph" w:customStyle="1" w:styleId="badge-mem">
    <w:name w:val="badge-mem"/>
    <w:basedOn w:val="Standaard"/>
    <w:pPr>
      <w:spacing w:before="100" w:beforeAutospacing="1" w:after="100" w:afterAutospacing="1"/>
    </w:pPr>
    <w:rPr>
      <w:b/>
      <w:bCs/>
      <w:color w:val="C1440E"/>
    </w:rPr>
  </w:style>
  <w:style w:type="paragraph" w:customStyle="1" w:styleId="badge-eu">
    <w:name w:val="badge-eu"/>
    <w:basedOn w:val="Standaard"/>
    <w:pPr>
      <w:spacing w:before="100" w:beforeAutospacing="1" w:after="100" w:afterAutospacing="1"/>
    </w:pPr>
    <w:rPr>
      <w:b/>
      <w:bCs/>
      <w:color w:val="0D7377"/>
    </w:rPr>
  </w:style>
  <w:style w:type="paragraph" w:customStyle="1" w:styleId="banner-be">
    <w:name w:val="banner-be"/>
    <w:basedOn w:val="Standaard"/>
    <w:pPr>
      <w:pBdr>
        <w:left w:val="single" w:sz="36" w:space="12" w:color="8B1E1E"/>
      </w:pBdr>
      <w:shd w:val="clear" w:color="auto" w:fill="F7EDED"/>
      <w:spacing w:before="400" w:after="200"/>
    </w:pPr>
  </w:style>
  <w:style w:type="paragraph" w:customStyle="1" w:styleId="banner-nl">
    <w:name w:val="banner-nl"/>
    <w:basedOn w:val="Standaard"/>
    <w:pPr>
      <w:pBdr>
        <w:left w:val="single" w:sz="36" w:space="12" w:color="1A3C6E"/>
      </w:pBdr>
      <w:shd w:val="clear" w:color="auto" w:fill="EDF2F8"/>
      <w:spacing w:before="400" w:after="200"/>
    </w:pPr>
  </w:style>
  <w:style w:type="paragraph" w:customStyle="1" w:styleId="banner-eu">
    <w:name w:val="banner-eu"/>
    <w:basedOn w:val="Standaard"/>
    <w:pPr>
      <w:pBdr>
        <w:left w:val="single" w:sz="36" w:space="12" w:color="0D7377"/>
      </w:pBdr>
      <w:shd w:val="clear" w:color="auto" w:fill="EAF4F4"/>
      <w:spacing w:before="400" w:after="200"/>
    </w:pPr>
  </w:style>
  <w:style w:type="paragraph" w:customStyle="1" w:styleId="legend-row">
    <w:name w:val="legend-row"/>
    <w:basedOn w:val="Standaard"/>
    <w:pPr>
      <w:spacing w:before="80" w:after="100" w:afterAutospacing="1"/>
    </w:pPr>
    <w:rPr>
      <w:sz w:val="21"/>
      <w:szCs w:val="21"/>
    </w:rPr>
  </w:style>
  <w:style w:type="paragraph" w:customStyle="1" w:styleId="legend-num">
    <w:name w:val="legend-num"/>
    <w:basedOn w:val="Standaard"/>
    <w:pPr>
      <w:spacing w:before="100" w:beforeAutospacing="1" w:after="100" w:afterAutospacing="1" w:line="330" w:lineRule="atLeast"/>
      <w:jc w:val="center"/>
    </w:pPr>
    <w:rPr>
      <w:b/>
      <w:bCs/>
      <w:color w:val="FFFFFF"/>
      <w:sz w:val="20"/>
      <w:szCs w:val="20"/>
    </w:rPr>
  </w:style>
  <w:style w:type="paragraph" w:customStyle="1" w:styleId="noot">
    <w:name w:val="noot"/>
    <w:basedOn w:val="Standaard"/>
    <w:pPr>
      <w:pBdr>
        <w:top w:val="single" w:sz="6" w:space="10" w:color="DDDDDD"/>
      </w:pBdr>
      <w:spacing w:before="400" w:after="100" w:afterAutospacing="1"/>
    </w:pPr>
    <w:rPr>
      <w:i/>
      <w:iCs/>
      <w:color w:val="666666"/>
      <w:sz w:val="19"/>
      <w:szCs w:val="19"/>
    </w:rPr>
  </w:style>
  <w:style w:type="paragraph" w:customStyle="1" w:styleId="titelblad">
    <w:name w:val="titelblad"/>
    <w:basedOn w:val="Standaard"/>
    <w:pPr>
      <w:spacing w:before="2600" w:after="100" w:afterAutospacing="1"/>
      <w:jc w:val="center"/>
    </w:pPr>
  </w:style>
  <w:style w:type="paragraph" w:customStyle="1" w:styleId="gebruikersaanwijzing">
    <w:name w:val="gebruikersaanwijzing"/>
    <w:basedOn w:val="Standaard"/>
    <w:pPr>
      <w:spacing w:after="100" w:afterAutospacing="1"/>
    </w:pPr>
  </w:style>
  <w:style w:type="paragraph" w:customStyle="1" w:styleId="contactblok">
    <w:name w:val="contactblok"/>
    <w:basedOn w:val="Standaard"/>
    <w:pPr>
      <w:pBdr>
        <w:left w:val="single" w:sz="24" w:space="15" w:color="4A3B6B"/>
      </w:pBdr>
      <w:shd w:val="clear" w:color="auto" w:fill="FFFFFF"/>
      <w:spacing w:before="600" w:after="100" w:afterAutospacing="1"/>
    </w:pPr>
  </w:style>
  <w:style w:type="paragraph" w:customStyle="1" w:styleId="recht-kop">
    <w:name w:val="recht-kop"/>
    <w:basedOn w:val="Standaard"/>
    <w:pPr>
      <w:spacing w:before="100" w:beforeAutospacing="1" w:after="80"/>
    </w:pPr>
  </w:style>
  <w:style w:type="paragraph" w:customStyle="1" w:styleId="recht-status">
    <w:name w:val="recht-status"/>
    <w:basedOn w:val="Standaard"/>
    <w:pPr>
      <w:spacing w:before="100" w:beforeAutospacing="1" w:after="100" w:afterAutospacing="1"/>
    </w:pPr>
    <w:rPr>
      <w:b/>
      <w:bCs/>
      <w:caps/>
      <w:color w:val="FFFFFF"/>
      <w:spacing w:val="8"/>
      <w:sz w:val="18"/>
      <w:szCs w:val="18"/>
    </w:rPr>
  </w:style>
  <w:style w:type="paragraph" w:customStyle="1" w:styleId="recht-kop-wrapper">
    <w:name w:val="recht-kop-wrapper"/>
    <w:basedOn w:val="Standaard"/>
    <w:pPr>
      <w:pBdr>
        <w:bottom w:val="single" w:sz="12" w:space="6" w:color="4A3B6B"/>
      </w:pBdr>
      <w:spacing w:before="100" w:beforeAutospacing="1" w:after="240"/>
    </w:pPr>
  </w:style>
  <w:style w:type="paragraph" w:customStyle="1" w:styleId="sector-titel">
    <w:name w:val="sector-titel"/>
    <w:basedOn w:val="Standaard"/>
    <w:pPr>
      <w:spacing w:before="400" w:after="160"/>
    </w:pPr>
    <w:rPr>
      <w:rFonts w:ascii="Aptos Display" w:hAnsi="Aptos Display"/>
      <w:color w:val="4A3B6B"/>
      <w:sz w:val="32"/>
      <w:szCs w:val="32"/>
    </w:rPr>
  </w:style>
  <w:style w:type="paragraph" w:customStyle="1" w:styleId="intro-rechten">
    <w:name w:val="intro-rechten"/>
    <w:basedOn w:val="Standaard"/>
    <w:pPr>
      <w:pBdr>
        <w:left w:val="single" w:sz="24" w:space="14" w:color="4A3B6B"/>
      </w:pBdr>
      <w:shd w:val="clear" w:color="auto" w:fill="F7F5F1"/>
      <w:spacing w:before="100" w:beforeAutospacing="1" w:after="480"/>
    </w:pPr>
    <w:rPr>
      <w:i/>
      <w:iCs/>
      <w:color w:val="444444"/>
    </w:rPr>
  </w:style>
  <w:style w:type="paragraph" w:customStyle="1" w:styleId="ondertitel">
    <w:name w:val="ondertitel"/>
    <w:basedOn w:val="Standaard"/>
    <w:pPr>
      <w:spacing w:before="100" w:beforeAutospacing="1" w:after="100" w:afterAutospacing="1"/>
    </w:pPr>
  </w:style>
  <w:style w:type="paragraph" w:customStyle="1" w:styleId="documentaanduiding">
    <w:name w:val="documentaanduiding"/>
    <w:basedOn w:val="Standaard"/>
    <w:pPr>
      <w:spacing w:before="100" w:beforeAutospacing="1" w:after="100" w:afterAutospacing="1"/>
    </w:pPr>
  </w:style>
  <w:style w:type="paragraph" w:customStyle="1" w:styleId="auteur">
    <w:name w:val="auteur"/>
    <w:basedOn w:val="Standaard"/>
    <w:pPr>
      <w:spacing w:before="100" w:beforeAutospacing="1" w:after="100" w:afterAutospacing="1"/>
    </w:pPr>
  </w:style>
  <w:style w:type="paragraph" w:customStyle="1" w:styleId="meta-lijn">
    <w:name w:val="meta-lijn"/>
    <w:basedOn w:val="Standaard"/>
    <w:pPr>
      <w:spacing w:before="100" w:beforeAutospacing="1" w:after="100" w:afterAutospacing="1"/>
    </w:pPr>
  </w:style>
  <w:style w:type="paragraph" w:customStyle="1" w:styleId="datum1">
    <w:name w:val="datum1"/>
    <w:basedOn w:val="Standaard"/>
    <w:rPr>
      <w:b/>
      <w:bCs/>
      <w:color w:val="1A3C6E"/>
    </w:rPr>
  </w:style>
  <w:style w:type="paragraph" w:customStyle="1" w:styleId="datum2">
    <w:name w:val="datum2"/>
    <w:basedOn w:val="Standaard"/>
    <w:rPr>
      <w:b/>
      <w:bCs/>
      <w:color w:val="8B1E1E"/>
    </w:rPr>
  </w:style>
  <w:style w:type="paragraph" w:customStyle="1" w:styleId="ondertitel1">
    <w:name w:val="ondertitel1"/>
    <w:basedOn w:val="Standaard"/>
    <w:pPr>
      <w:spacing w:after="800"/>
    </w:pPr>
    <w:rPr>
      <w:rFonts w:ascii="Aptos Display" w:hAnsi="Aptos Display"/>
      <w:color w:val="333333"/>
      <w:sz w:val="34"/>
      <w:szCs w:val="34"/>
    </w:rPr>
  </w:style>
  <w:style w:type="paragraph" w:customStyle="1" w:styleId="documentaanduiding1">
    <w:name w:val="documentaanduiding1"/>
    <w:basedOn w:val="Standaard"/>
    <w:pPr>
      <w:spacing w:after="1000"/>
    </w:pPr>
    <w:rPr>
      <w:rFonts w:ascii="Aptos Display" w:hAnsi="Aptos Display"/>
      <w:b/>
      <w:bCs/>
      <w:color w:val="4A3B6B"/>
      <w:sz w:val="42"/>
      <w:szCs w:val="42"/>
    </w:rPr>
  </w:style>
  <w:style w:type="paragraph" w:customStyle="1" w:styleId="auteur1">
    <w:name w:val="auteur1"/>
    <w:basedOn w:val="Standaard"/>
    <w:pPr>
      <w:spacing w:after="80"/>
    </w:pPr>
    <w:rPr>
      <w:color w:val="333333"/>
      <w:sz w:val="28"/>
      <w:szCs w:val="28"/>
    </w:rPr>
  </w:style>
  <w:style w:type="paragraph" w:customStyle="1" w:styleId="meta-lijn1">
    <w:name w:val="meta-lijn1"/>
    <w:basedOn w:val="Standaard"/>
    <w:pPr>
      <w:spacing w:after="80"/>
    </w:pPr>
    <w:rPr>
      <w:color w:val="555555"/>
    </w:rPr>
  </w:style>
  <w:style w:type="paragraph" w:customStyle="1" w:styleId="datum3">
    <w:name w:val="datum3"/>
    <w:basedOn w:val="Standaard"/>
    <w:rPr>
      <w:b/>
      <w:bCs/>
      <w:color w:val="1A3C6E"/>
    </w:rPr>
  </w:style>
  <w:style w:type="paragraph" w:customStyle="1" w:styleId="datum4">
    <w:name w:val="datum4"/>
    <w:basedOn w:val="Standaard"/>
    <w:rPr>
      <w:b/>
      <w:bCs/>
      <w:color w:val="8B1E1E"/>
    </w:rPr>
  </w:style>
  <w:style w:type="paragraph" w:customStyle="1" w:styleId="ondertitel2">
    <w:name w:val="ondertitel2"/>
    <w:basedOn w:val="Standaard"/>
    <w:pPr>
      <w:spacing w:after="800"/>
    </w:pPr>
    <w:rPr>
      <w:rFonts w:ascii="Aptos Display" w:hAnsi="Aptos Display"/>
      <w:color w:val="333333"/>
      <w:sz w:val="34"/>
      <w:szCs w:val="34"/>
    </w:rPr>
  </w:style>
  <w:style w:type="paragraph" w:customStyle="1" w:styleId="documentaanduiding2">
    <w:name w:val="documentaanduiding2"/>
    <w:basedOn w:val="Standaard"/>
    <w:pPr>
      <w:spacing w:after="1000"/>
    </w:pPr>
    <w:rPr>
      <w:rFonts w:ascii="Aptos Display" w:hAnsi="Aptos Display"/>
      <w:b/>
      <w:bCs/>
      <w:color w:val="4A3B6B"/>
      <w:sz w:val="42"/>
      <w:szCs w:val="42"/>
    </w:rPr>
  </w:style>
  <w:style w:type="paragraph" w:customStyle="1" w:styleId="auteur2">
    <w:name w:val="auteur2"/>
    <w:basedOn w:val="Standaard"/>
    <w:pPr>
      <w:spacing w:after="80"/>
    </w:pPr>
    <w:rPr>
      <w:color w:val="333333"/>
      <w:sz w:val="28"/>
      <w:szCs w:val="28"/>
    </w:rPr>
  </w:style>
  <w:style w:type="paragraph" w:customStyle="1" w:styleId="meta-lijn2">
    <w:name w:val="meta-lijn2"/>
    <w:basedOn w:val="Standaard"/>
    <w:pPr>
      <w:spacing w:after="80"/>
    </w:pPr>
    <w:rPr>
      <w:color w:val="555555"/>
    </w:rPr>
  </w:style>
  <w:style w:type="paragraph" w:styleId="Koptekst">
    <w:name w:val="header"/>
    <w:basedOn w:val="Standaard"/>
    <w:link w:val="KoptekstChar"/>
    <w:uiPriority w:val="99"/>
    <w:unhideWhenUsed/>
    <w:rsid w:val="00AB2038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AB2038"/>
    <w:rPr>
      <w:rFonts w:eastAsiaTheme="minorEastAsia"/>
      <w:sz w:val="24"/>
      <w:szCs w:val="24"/>
    </w:rPr>
  </w:style>
  <w:style w:type="paragraph" w:styleId="Voettekst">
    <w:name w:val="footer"/>
    <w:basedOn w:val="Standaard"/>
    <w:link w:val="VoettekstChar"/>
    <w:uiPriority w:val="99"/>
    <w:unhideWhenUsed/>
    <w:rsid w:val="00AB2038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AB2038"/>
    <w:rPr>
      <w:rFonts w:eastAsiaTheme="minorEastAsia"/>
      <w:sz w:val="24"/>
      <w:szCs w:val="24"/>
    </w:rPr>
  </w:style>
  <w:style w:type="paragraph" w:styleId="Inhopg1">
    <w:name w:val="toc 1"/>
    <w:basedOn w:val="Standaard"/>
    <w:next w:val="Standaard"/>
    <w:autoRedefine/>
    <w:uiPriority w:val="39"/>
    <w:unhideWhenUsed/>
    <w:rsid w:val="00AB2038"/>
    <w:pPr>
      <w:spacing w:after="30"/>
    </w:pPr>
    <w:rPr>
      <w:sz w:val="20"/>
    </w:rPr>
  </w:style>
  <w:style w:type="paragraph" w:styleId="Inhopg2">
    <w:name w:val="toc 2"/>
    <w:basedOn w:val="Standaard"/>
    <w:next w:val="Standaard"/>
    <w:autoRedefine/>
    <w:uiPriority w:val="39"/>
    <w:unhideWhenUsed/>
    <w:rsid w:val="00AB2038"/>
    <w:pPr>
      <w:spacing w:after="30"/>
      <w:ind w:left="220"/>
    </w:pPr>
    <w:rPr>
      <w:sz w:val="20"/>
    </w:rPr>
  </w:style>
  <w:style w:type="paragraph" w:styleId="Inhopg3">
    <w:name w:val="toc 3"/>
    <w:basedOn w:val="Standaard"/>
    <w:next w:val="Standaard"/>
    <w:autoRedefine/>
    <w:uiPriority w:val="39"/>
    <w:unhideWhenUsed/>
    <w:rsid w:val="00AB2038"/>
    <w:pPr>
      <w:spacing w:after="30"/>
      <w:ind w:left="44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835007">
      <w:bodyDiv w:val="1"/>
      <w:marLeft w:val="800"/>
      <w:marRight w:val="800"/>
      <w:marTop w:val="800"/>
      <w:marBottom w:val="8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022695">
          <w:marLeft w:val="0"/>
          <w:marRight w:val="0"/>
          <w:marTop w:val="2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footer" Target="foot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3.xml"/><Relationship Id="rId10" Type="http://schemas.openxmlformats.org/officeDocument/2006/relationships/image" Target="media/image5.png"/><Relationship Id="rId19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2192</Words>
  <Characters>12062</Characters>
  <Application>Microsoft Office Word</Application>
  <DocSecurity>0</DocSecurity>
  <Lines>100</Lines>
  <Paragraphs>28</Paragraphs>
  <ScaleCrop>false</ScaleCrop>
  <Company/>
  <LinksUpToDate>false</LinksUpToDate>
  <CharactersWithSpaces>14226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Visuele architectuur van het bevoegdheidsvacuüm — schema's en datastromen | Systeem-Audit</dc:title>
  <dc:subject/>
  <dc:creator>Eric Messa</dc:creator>
  <cp:keywords/>
  <dc:description/>
  <cp:lastModifiedBy>Eric Messa</cp:lastModifiedBy>
  <cp:revision>2</cp:revision>
  <dcterms:created xsi:type="dcterms:W3CDTF">2026-10-27T08:52:00Z</dcterms:created>
  <dcterms:modified xsi:type="dcterms:W3CDTF">2026-10-27T08:52:00Z</dcterms:modified>
</cp:coreProperties>
</file>