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3A5C"/>
          <w:sz w:val="48"/>
          <w:szCs w:val="48"/>
        </w:rPr>
        <w:t xml:space="preserve">Comprehensive Code Review</w:t>
      </w:r>
    </w:p>
    <w:p>
      <w:pPr>
        <w:spacing w:after="40"/>
        <w:jc w:val="center"/>
      </w:pPr>
      <w:r>
        <w:rPr>
          <w:rFonts w:ascii="Arial" w:cs="Arial" w:eastAsia="Arial" w:hAnsi="Arial"/>
          <w:color w:val="2E5984"/>
          <w:sz w:val="32"/>
          <w:szCs w:val="32"/>
        </w:rPr>
        <w:t xml:space="preserve">attendee-info-agent</w:t>
      </w:r>
    </w:p>
    <w:p>
      <w:pPr>
        <w:spacing w:after="400"/>
        <w:jc w:val="center"/>
      </w:pPr>
      <w:r>
        <w:rPr>
          <w:rFonts w:ascii="Arial" w:cs="Arial" w:eastAsia="Arial" w:hAnsi="Arial"/>
          <w:color w:val="666666"/>
          <w:sz w:val="20"/>
          <w:szCs w:val="20"/>
        </w:rPr>
        <w:t xml:space="preserve">March 9, 2026  |  Salesforce DX Project  |  Apex / LWC / Flows</w:t>
      </w:r>
    </w:p>
    <w:p>
      <w:pPr>
        <w:pStyle w:val="Heading1"/>
        <w:spacing w:after="200" w:before="300"/>
      </w:pPr>
      <w:r>
        <w:rPr>
          <w:rFonts w:ascii="Arial" w:cs="Arial" w:eastAsia="Arial" w:hAnsi="Arial"/>
        </w:rPr>
        <w:t xml:space="preserve">1. Executive Summary</w:t>
      </w:r>
    </w:p>
    <w:p>
      <w:pPr>
        <w:spacing w:after="120"/>
      </w:pPr>
      <w:r>
        <w:rPr>
          <w:rFonts w:ascii="Arial" w:cs="Arial" w:eastAsia="Arial" w:hAnsi="Arial"/>
          <w:sz w:val="22"/>
          <w:szCs w:val="22"/>
        </w:rPr>
        <w:t xml:space="preserve">This report covers a comprehensive review of the attendee-info-agent Salesforce DX repository, which automates event attendee registration via inbound email processing, AI-driven data extraction, and Salesforce Flow orchestration.</w:t>
      </w:r>
    </w:p>
    <w:p>
      <w:pPr>
        <w:spacing w:after="120"/>
      </w:pPr>
      <w:r>
        <w:rPr>
          <w:rFonts w:ascii="Arial" w:cs="Arial" w:eastAsia="Arial" w:hAnsi="Arial"/>
          <w:sz w:val="22"/>
          <w:szCs w:val="22"/>
        </w:rPr>
        <w:t xml:space="preserve">The codebase is well-structured with clear separation of concerns: an inbound email handler (AttendeeReplyEmailHandler), an invocable processor (ProcessAppointmentTakerAttendees), two orchestrating Flows, an AI prompt template for extraction, and a chatInterface LWC component. Test coverage is solid with multiple scenario-based tests.</w:t>
      </w:r>
    </w:p>
    <w:p>
      <w:pPr>
        <w:spacing w:after="120"/>
      </w:pPr>
      <w:r>
        <w:rPr>
          <w:rFonts w:ascii="Arial" w:cs="Arial" w:eastAsia="Arial" w:hAnsi="Arial"/>
          <w:sz w:val="22"/>
          <w:szCs w:val="22"/>
        </w:rPr>
        <w:t xml:space="preserve">However, the review identified 17 issues across security, correctness, maintainability, and architectural categories. The most critical findings involve hardcoded org-specific IDs that will break across environments, a domain-matching security weakness that could allow unauthorized email routing, and missing LWC test coverage.</w:t>
      </w:r>
    </w:p>
    <w:p>
      <w:pPr>
        <w:pStyle w:val="Heading1"/>
        <w:spacing w:after="200" w:before="300"/>
      </w:pPr>
      <w:r>
        <w:rPr>
          <w:rFonts w:ascii="Arial" w:cs="Arial" w:eastAsia="Arial" w:hAnsi="Arial"/>
        </w:rPr>
        <w:t xml:space="preserve">2. Issues Summary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00"/>
        <w:gridCol w:w="900"/>
        <w:gridCol w:w="1200"/>
        <w:gridCol w:w="2200"/>
        <w:gridCol w:w="4660"/>
      </w:tblGrid>
      <w:tr>
        <w:tc>
          <w:tcPr>
            <w:tcW w:type="dxa" w:w="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File / Location</w:t>
            </w:r>
          </w:p>
        </w:tc>
        <w:tc>
          <w:tcPr>
            <w:tcW w:type="dxa" w:w="4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900"/>
            <w:tcBorders>
              <w:top w:val="single" w:color="CCCCCC" w:sz="1"/>
              <w:left w:val="single" w:color="CCCCCC" w:sz="1"/>
              <w:bottom w:val="single" w:color="CCCCCC" w:sz="1"/>
              <w:right w:val="single" w:color="CCCCCC" w:sz="1"/>
            </w:tcBorders>
            <w:shd w:fill="FDEDED" w:val="clear"/>
            <w:tcMar>
              <w:top w:type="dxa" w:w="60"/>
              <w:left w:type="dxa" w:w="100"/>
              <w:bottom w:type="dxa" w:w="60"/>
              <w:right w:type="dxa" w:w="100"/>
            </w:tcMar>
          </w:tcPr>
          <w:p>
            <w:r>
              <w:rPr>
                <w:rFonts w:ascii="Arial" w:cs="Arial" w:eastAsia="Arial" w:hAnsi="Arial"/>
                <w:b/>
                <w:bCs/>
                <w:color w:val="CC0000"/>
                <w:sz w:val="18"/>
                <w:szCs w:val="18"/>
              </w:rPr>
              <w:t xml:space="preserve">Critical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Portability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ProcessAppointmentTakerAttendees.cls:47-51</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Hardcoded Product2 IDs (SUPPORTED_PRODUCT_IDS) will fail in any org except production. Sandbox refreshes, scratch orgs, and CI environments all generate different IDs.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900"/>
            <w:tcBorders>
              <w:top w:val="single" w:color="CCCCCC" w:sz="1"/>
              <w:left w:val="single" w:color="CCCCCC" w:sz="1"/>
              <w:bottom w:val="single" w:color="CCCCCC" w:sz="1"/>
              <w:right w:val="single" w:color="CCCCCC" w:sz="1"/>
            </w:tcBorders>
            <w:shd w:fill="FDEDED" w:val="clear"/>
            <w:tcMar>
              <w:top w:type="dxa" w:w="60"/>
              <w:left w:type="dxa" w:w="100"/>
              <w:bottom w:type="dxa" w:w="60"/>
              <w:right w:type="dxa" w:w="100"/>
            </w:tcMar>
          </w:tcPr>
          <w:p>
            <w:r>
              <w:rPr>
                <w:rFonts w:ascii="Arial" w:cs="Arial" w:eastAsia="Arial" w:hAnsi="Arial"/>
                <w:b/>
                <w:bCs/>
                <w:color w:val="CC0000"/>
                <w:sz w:val="18"/>
                <w:szCs w:val="18"/>
              </w:rPr>
              <w:t xml:space="preserve">Critical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Portability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Flow: Send Registration Emails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Hardcoded Product2Id string literals in Flow filters (01t4X...) and Formula_Registration_Type. Same environment-portability issue as #1.</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shd w:fill="FDEDED" w:val="clear"/>
            <w:tcMar>
              <w:top w:type="dxa" w:w="60"/>
              <w:left w:type="dxa" w:w="100"/>
              <w:bottom w:type="dxa" w:w="60"/>
              <w:right w:type="dxa" w:w="100"/>
            </w:tcMar>
          </w:tcPr>
          <w:p>
            <w:r>
              <w:rPr>
                <w:rFonts w:ascii="Arial" w:cs="Arial" w:eastAsia="Arial" w:hAnsi="Arial"/>
                <w:b/>
                <w:bCs/>
                <w:color w:val="CC0000"/>
                <w:sz w:val="18"/>
                <w:szCs w:val="18"/>
              </w:rPr>
              <w:t xml:space="preserve">Critical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Portability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 classes (both)</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Hardcoded RecordTypeId '01230000000bVYmAAM' and '01230000000beHkAAI' in test setup. Tests will fail in any org where these IDs don't exist.</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w:t>
            </w:r>
          </w:p>
        </w:tc>
        <w:tc>
          <w:tcPr>
            <w:tcW w:type="dxa" w:w="9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Security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AttendeeReplyEmailHandler.cls:280-288</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Domain-based matching in addressListContains() accepts any sender from the same email domain. An attacker at the same company could hijack another person's registration thread.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w:t>
            </w:r>
          </w:p>
        </w:tc>
        <w:tc>
          <w:tcPr>
            <w:tcW w:type="dxa" w:w="9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Reliability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Prompt Template v1/v3</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Older prompt versions don't request event_name/product_type fields, but the Apex processor relies on them for group-fill matching. If an older version is active, all assignments fall to positional fallback.</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w:t>
            </w:r>
          </w:p>
        </w:tc>
        <w:tc>
          <w:tcPr>
            <w:tcW w:type="dxa" w:w="9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Security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AttendeeReplyEmailHandler.cls:117</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Error messages in catch block expose internal exception details (e.getMessage()) to the email service result, which could leak internal class names or query details.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w:t>
            </w:r>
          </w:p>
        </w:tc>
        <w:tc>
          <w:tcPr>
            <w:tcW w:type="dxa" w:w="9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 Gap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chatInterface LWC</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Zero unit tests for the chatInterface LWC component. The jest configuration is set up but no .test.js file exists. References ChatController Apex class that doesn't exist in the repo.</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w:t>
            </w:r>
          </w:p>
        </w:tc>
        <w:tc>
          <w:tcPr>
            <w:tcW w:type="dxa" w:w="9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18"/>
                <w:szCs w:val="18"/>
              </w:rPr>
              <w:t xml:space="preserve">Medium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Logic Bug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ProcessAppointmentTakerAttendees.cls:356-357</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OLI availability filter uses OR logic (Attendee_Name__c = NULL OR Attendee_Email__c = NULL). A slot with a name but no email is treated as 'open' and can be overwritten.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w:t>
            </w:r>
          </w:p>
        </w:tc>
        <w:tc>
          <w:tcPr>
            <w:tcW w:type="dxa" w:w="9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18"/>
                <w:szCs w:val="18"/>
              </w:rPr>
              <w:t xml:space="preserve">Medium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 Quality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ProcessAppointmentTakerAttendees.cls:241</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email format validation on attendee email. Malformed emails (e.g. 'not-an-email') are written directly to Attendee_Email__c without any check.</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w:t>
            </w:r>
          </w:p>
        </w:tc>
        <w:tc>
          <w:tcPr>
            <w:tcW w:type="dxa" w:w="9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18"/>
                <w:szCs w:val="18"/>
              </w:rPr>
              <w:t xml:space="preserve">Medium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Maintainability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ProcessAppointmentTakerAttendees.cls:265-268</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SYSTEM_MODE DML bypasses all Field-Level Security. While documented, this is an elevated-privilege pattern that should be minimized and audited.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11</w:t>
            </w:r>
          </w:p>
        </w:tc>
        <w:tc>
          <w:tcPr>
            <w:tcW w:type="dxa" w:w="9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18"/>
                <w:szCs w:val="18"/>
              </w:rPr>
              <w:t xml:space="preserve">Medium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Maintainability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ProcessAppointmentTakerAttendees.cls:339-383</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Test.isRunningTest() branch creates divergent query paths. Production and test code execute different SOQL, so tests don't validate the actual production query.</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w:t>
            </w:r>
          </w:p>
        </w:tc>
        <w:tc>
          <w:tcPr>
            <w:tcW w:type="dxa" w:w="9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18"/>
                <w:szCs w:val="18"/>
              </w:rPr>
              <w:t xml:space="preserve">Medium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Architecture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Flow: Process Attendee Reply</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Flow status is 'Draft' but references active Apex class and active prompt template. Either the flow is not deployed or was accidentally deactivated.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13</w:t>
            </w:r>
          </w:p>
        </w:tc>
        <w:tc>
          <w:tcPr>
            <w:tcW w:type="dxa" w:w="9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18"/>
                <w:szCs w:val="18"/>
              </w:rPr>
              <w:t xml:space="preserve">Medium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Config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sfdx-project.json / LWC meta</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API version mismatch: sfdx-project.json uses 65.0, Flow uses 62.0, LWC meta uses 64.0. Inconsistent API versions can cause subtle behavioral differences.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14</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8"/>
                <w:szCs w:val="18"/>
              </w:rPr>
              <w:t xml:space="preserve">Low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Robustness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AttendeeReplyEmailHandler.cls:131</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Outlook separator detection only looks for the exact underscore string. Gmail uses '&gt; ' quoting, Apple Mail uses 'On &lt;date&gt; wrote:', which are not handled.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8"/>
                <w:szCs w:val="18"/>
              </w:rPr>
              <w:t xml:space="preserve">Low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Maintainability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AttendeeReplyEmailHandler.cls:175-176</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hasAttendeeSignals() uses broad keyword matching ('event:', 'registration') that could false-positive on email signatures or disclaimers.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16</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8"/>
                <w:szCs w:val="18"/>
              </w:rPr>
              <w:t xml:space="preserve">Low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Performance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AttendeeReplyEmailHandler.cls:223-233</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Legacy sender lookup queries up to 50 EmailMessages and iterates in Apex. For high-volume orgs, this could be slow. A SOQL LIKE on ToAddress would be more efficient.</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17</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8"/>
                <w:szCs w:val="18"/>
              </w:rPr>
              <w:t xml:space="preserve">Low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Code Smell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chatInterface.js:8-10</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Uses @track decorator on messages, currentMessage, and isLoading. Since Spring '20, @track is unnecessary for reactive properties in LWC; plain class properties are reactive by default.</w:t>
            </w:r>
          </w:p>
        </w:tc>
      </w:tr>
    </w:tbl>
    <w:p>
      <w:r>
        <w:br w:type="page"/>
      </w:r>
    </w:p>
    <w:p>
      <w:pPr>
        <w:pStyle w:val="Heading1"/>
        <w:spacing w:after="200" w:before="300"/>
      </w:pPr>
      <w:r>
        <w:rPr>
          <w:rFonts w:ascii="Arial" w:cs="Arial" w:eastAsia="Arial" w:hAnsi="Arial"/>
        </w:rPr>
        <w:t xml:space="preserve">3. Detailed Findings</w:t>
      </w:r>
    </w:p>
    <w:p>
      <w:pPr>
        <w:pStyle w:val="Heading2"/>
        <w:spacing w:after="160" w:before="240"/>
      </w:pPr>
      <w:r>
        <w:rPr>
          <w:rFonts w:ascii="Arial" w:cs="Arial" w:eastAsia="Arial" w:hAnsi="Arial"/>
        </w:rPr>
        <w:t xml:space="preserve">Issue #1 — Hardcoded Product IDs (Critical)</w:t>
      </w:r>
    </w:p>
    <w:p>
      <w:pPr>
        <w:spacing w:after="120"/>
      </w:pPr>
      <w:r>
        <w:rPr>
          <w:rFonts w:ascii="Arial" w:cs="Arial" w:eastAsia="Arial" w:hAnsi="Arial"/>
          <w:b/>
          <w:bCs/>
          <w:sz w:val="22"/>
          <w:szCs w:val="22"/>
        </w:rPr>
        <w:t xml:space="preserve">File: ProcessAppointmentTakerAttendees.cls, lines 47-51</w:t>
      </w:r>
    </w:p>
    <w:p>
      <w:pPr>
        <w:spacing w:after="80"/>
        <w:ind w:left="360"/>
      </w:pPr>
      <w:r>
        <w:rPr>
          <w:rFonts w:ascii="Courier New" w:cs="Courier New" w:eastAsia="Courier New" w:hAnsi="Courier New"/>
          <w:color w:val="333333"/>
          <w:sz w:val="18"/>
          <w:szCs w:val="18"/>
        </w:rPr>
        <w:t xml:space="preserve">private static final Set&lt;Id&gt; SUPPORTED_PRODUCT_IDS = new Set&lt;Id&gt;{</w:t>
      </w:r>
    </w:p>
    <w:p>
      <w:pPr>
        <w:spacing w:after="80"/>
        <w:ind w:left="360"/>
      </w:pPr>
      <w:r>
        <w:rPr>
          <w:rFonts w:ascii="Courier New" w:cs="Courier New" w:eastAsia="Courier New" w:hAnsi="Courier New"/>
          <w:color w:val="333333"/>
          <w:sz w:val="18"/>
          <w:szCs w:val="18"/>
        </w:rPr>
        <w:t xml:space="preserve">  '01t4X000004U13iQAC', // Appointment Taker</w:t>
      </w:r>
    </w:p>
    <w:p>
      <w:pPr>
        <w:spacing w:after="80"/>
        <w:ind w:left="360"/>
      </w:pPr>
      <w:r>
        <w:rPr>
          <w:rFonts w:ascii="Courier New" w:cs="Courier New" w:eastAsia="Courier New" w:hAnsi="Courier New"/>
          <w:color w:val="333333"/>
          <w:sz w:val="18"/>
          <w:szCs w:val="18"/>
        </w:rPr>
        <w:t xml:space="preserve">  '01t4X000004U14AQAS', // Non-Appointment Taker</w:t>
      </w:r>
    </w:p>
    <w:p>
      <w:pPr>
        <w:spacing w:after="80"/>
        <w:ind w:left="360"/>
      </w:pPr>
      <w:r>
        <w:rPr>
          <w:rFonts w:ascii="Courier New" w:cs="Courier New" w:eastAsia="Courier New" w:hAnsi="Courier New"/>
          <w:color w:val="333333"/>
          <w:sz w:val="18"/>
          <w:szCs w:val="18"/>
        </w:rPr>
        <w:t xml:space="preserve">  '01t4X000004U148QAC'  // Marketer</w:t>
      </w:r>
    </w:p>
    <w:p>
      <w:pPr>
        <w:spacing w:after="80"/>
        <w:ind w:left="360"/>
      </w:pPr>
      <w:r>
        <w:rPr>
          <w:rFonts w:ascii="Courier New" w:cs="Courier New" w:eastAsia="Courier New" w:hAnsi="Courier New"/>
          <w:color w:val="333333"/>
          <w:sz w:val="18"/>
          <w:szCs w:val="18"/>
        </w:rPr>
        <w:t xml:space="preserve">};</w:t>
      </w:r>
    </w:p>
    <w:p>
      <w:pPr>
        <w:spacing w:after="120"/>
      </w:pPr>
      <w:r>
        <w:rPr>
          <w:rFonts w:ascii="Arial" w:cs="Arial" w:eastAsia="Arial" w:hAnsi="Arial"/>
          <w:sz w:val="22"/>
          <w:szCs w:val="22"/>
        </w:rPr>
        <w:t xml:space="preserve">Why it matters: Salesforce record IDs are org-specific. These IDs are valid only in one production org. Scratch orgs, sandboxes, and any CI pipeline will fail because these Product2 records won't exist with those IDs. The test class works around this with a TEST_FALLBACK_PRODUCT_NAMES set, which means the production query path is never actually tested.</w:t>
      </w:r>
    </w:p>
    <w:p>
      <w:pPr>
        <w:spacing w:after="120"/>
      </w:pPr>
      <w:r>
        <w:rPr>
          <w:rFonts w:ascii="Arial" w:cs="Arial" w:eastAsia="Arial" w:hAnsi="Arial"/>
          <w:b/>
          <w:bCs/>
          <w:sz w:val="22"/>
          <w:szCs w:val="22"/>
        </w:rPr>
        <w:t xml:space="preserve">Suggested fix: Replace hardcoded IDs with a Custom Metadata Type (e.g., Supported_Registration_Product__mdt) or a Custom Setting that maps product names/codes to behavior. Query at runtime:</w:t>
      </w:r>
    </w:p>
    <w:p>
      <w:pPr>
        <w:spacing w:after="80"/>
        <w:ind w:left="360"/>
      </w:pPr>
      <w:r>
        <w:rPr>
          <w:rFonts w:ascii="Courier New" w:cs="Courier New" w:eastAsia="Courier New" w:hAnsi="Courier New"/>
          <w:color w:val="333333"/>
          <w:sz w:val="18"/>
          <w:szCs w:val="18"/>
        </w:rPr>
        <w:t xml:space="preserve">Set&lt;Id&gt; supportedIds = new Map&lt;Id, Product2&gt;(</w:t>
      </w:r>
    </w:p>
    <w:p>
      <w:pPr>
        <w:spacing w:after="80"/>
        <w:ind w:left="360"/>
      </w:pPr>
      <w:r>
        <w:rPr>
          <w:rFonts w:ascii="Courier New" w:cs="Courier New" w:eastAsia="Courier New" w:hAnsi="Courier New"/>
          <w:color w:val="333333"/>
          <w:sz w:val="18"/>
          <w:szCs w:val="18"/>
        </w:rPr>
        <w:t xml:space="preserve">  [SELECT Id FROM Product2 WHERE Name IN :SUPPORTED_PRODUCT_NAMES AND IsActive = true]</w:t>
      </w:r>
    </w:p>
    <w:p>
      <w:pPr>
        <w:spacing w:after="80"/>
        <w:ind w:left="360"/>
      </w:pPr>
      <w:r>
        <w:rPr>
          <w:rFonts w:ascii="Courier New" w:cs="Courier New" w:eastAsia="Courier New" w:hAnsi="Courier New"/>
          <w:color w:val="333333"/>
          <w:sz w:val="18"/>
          <w:szCs w:val="18"/>
        </w:rPr>
        <w:t xml:space="preserve">).keySet();</w:t>
      </w:r>
    </w:p>
    <w:p>
      <w:pPr>
        <w:pStyle w:val="Heading2"/>
        <w:spacing w:after="160" w:before="240"/>
      </w:pPr>
      <w:r>
        <w:rPr>
          <w:rFonts w:ascii="Arial" w:cs="Arial" w:eastAsia="Arial" w:hAnsi="Arial"/>
        </w:rPr>
        <w:t xml:space="preserve">Issue #2 — Hardcoded IDs in Flow (Critical)</w:t>
      </w:r>
    </w:p>
    <w:p>
      <w:pPr>
        <w:spacing w:after="120"/>
      </w:pPr>
      <w:r>
        <w:rPr>
          <w:rFonts w:ascii="Arial" w:cs="Arial" w:eastAsia="Arial" w:hAnsi="Arial"/>
          <w:b/>
          <w:bCs/>
          <w:sz w:val="22"/>
          <w:szCs w:val="22"/>
        </w:rPr>
        <w:t xml:space="preserve">File: Appointment_Taker_Send_Registration_Emails.flow-meta.xml, lines 434-453</w:t>
      </w:r>
    </w:p>
    <w:p>
      <w:pPr>
        <w:spacing w:after="120"/>
      </w:pPr>
      <w:r>
        <w:rPr>
          <w:rFonts w:ascii="Arial" w:cs="Arial" w:eastAsia="Arial" w:hAnsi="Arial"/>
          <w:sz w:val="22"/>
          <w:szCs w:val="22"/>
        </w:rPr>
        <w:t xml:space="preserve">The Flow's 'Get Appointment Taker OLIs' record lookup uses three hardcoded Product2Id string filters. The Formula_Registration_Type also hardcodes these same IDs to derive registration type labels. This creates the same environment-portability problem as Issue #1, but in declarative metadata that's harder to parameterize.</w:t>
      </w:r>
    </w:p>
    <w:p>
      <w:pPr>
        <w:spacing w:after="120"/>
      </w:pPr>
      <w:r>
        <w:rPr>
          <w:rFonts w:ascii="Arial" w:cs="Arial" w:eastAsia="Arial" w:hAnsi="Arial"/>
          <w:b/>
          <w:bCs/>
          <w:sz w:val="22"/>
          <w:szCs w:val="22"/>
        </w:rPr>
        <w:t xml:space="preserve">Suggested fix: Create a Custom Metadata Type record for each supported product. In the Flow, replace the three Product2Id filters with a single Get Records on the metadata type, then use an in-memory collection filter. Alternatively, move the filtering logic into the Apex invocable class where it can be unit tested.</w:t>
      </w:r>
    </w:p>
    <w:p>
      <w:pPr>
        <w:pStyle w:val="Heading2"/>
        <w:spacing w:after="160" w:before="240"/>
      </w:pPr>
      <w:r>
        <w:rPr>
          <w:rFonts w:ascii="Arial" w:cs="Arial" w:eastAsia="Arial" w:hAnsi="Arial"/>
        </w:rPr>
        <w:t xml:space="preserve">Issue #3 — Hardcoded RecordTypeIds in Tests (Critical)</w:t>
      </w:r>
    </w:p>
    <w:p>
      <w:pPr>
        <w:spacing w:after="120"/>
      </w:pPr>
      <w:r>
        <w:rPr>
          <w:rFonts w:ascii="Arial" w:cs="Arial" w:eastAsia="Arial" w:hAnsi="Arial"/>
          <w:b/>
          <w:bCs/>
          <w:sz w:val="22"/>
          <w:szCs w:val="22"/>
        </w:rPr>
        <w:t xml:space="preserve">Files: AttendeeReplyEmailHandlerTest.cls (line 19), ProcessAppointmentTakerAttendeesTest.cls (lines 17, 40, 54, 375, 608)</w:t>
      </w:r>
    </w:p>
    <w:p>
      <w:pPr>
        <w:spacing w:after="120"/>
      </w:pPr>
      <w:r>
        <w:rPr>
          <w:rFonts w:ascii="Arial" w:cs="Arial" w:eastAsia="Arial" w:hAnsi="Arial"/>
          <w:sz w:val="22"/>
          <w:szCs w:val="22"/>
        </w:rPr>
        <w:t xml:space="preserve">Both test classes use hardcoded RecordTypeId values for Opportunity and Product2. These will fail in any org that doesn't have these exact record types with those exact IDs.</w:t>
      </w:r>
    </w:p>
    <w:p>
      <w:pPr>
        <w:spacing w:after="120"/>
      </w:pPr>
      <w:r>
        <w:rPr>
          <w:rFonts w:ascii="Arial" w:cs="Arial" w:eastAsia="Arial" w:hAnsi="Arial"/>
          <w:b/>
          <w:bCs/>
          <w:sz w:val="22"/>
          <w:szCs w:val="22"/>
        </w:rPr>
        <w:t xml:space="preserve">Suggested fix: Query RecordType by DeveloperName:</w:t>
      </w:r>
    </w:p>
    <w:p>
      <w:pPr>
        <w:spacing w:after="80"/>
        <w:ind w:left="360"/>
      </w:pPr>
      <w:r>
        <w:rPr>
          <w:rFonts w:ascii="Courier New" w:cs="Courier New" w:eastAsia="Courier New" w:hAnsi="Courier New"/>
          <w:color w:val="333333"/>
          <w:sz w:val="18"/>
          <w:szCs w:val="18"/>
        </w:rPr>
        <w:t xml:space="preserve">Id oppRtId = Schema.SObjectType.Opportunity</w:t>
      </w:r>
    </w:p>
    <w:p>
      <w:pPr>
        <w:spacing w:after="80"/>
        <w:ind w:left="360"/>
      </w:pPr>
      <w:r>
        <w:rPr>
          <w:rFonts w:ascii="Courier New" w:cs="Courier New" w:eastAsia="Courier New" w:hAnsi="Courier New"/>
          <w:color w:val="333333"/>
          <w:sz w:val="18"/>
          <w:szCs w:val="18"/>
        </w:rPr>
        <w:t xml:space="preserve">  .getRecordTypeInfosByDeveloperName().get('YourDevName').getRecordTypeId();</w:t>
      </w:r>
    </w:p>
    <w:p>
      <w:pPr>
        <w:pStyle w:val="Heading2"/>
        <w:spacing w:after="160" w:before="240"/>
      </w:pPr>
      <w:r>
        <w:rPr>
          <w:rFonts w:ascii="Arial" w:cs="Arial" w:eastAsia="Arial" w:hAnsi="Arial"/>
        </w:rPr>
        <w:t xml:space="preserve">Issue #4 — Domain-Based Email Matching Security Weakness (High)</w:t>
      </w:r>
    </w:p>
    <w:p>
      <w:pPr>
        <w:spacing w:after="120"/>
      </w:pPr>
      <w:r>
        <w:rPr>
          <w:rFonts w:ascii="Arial" w:cs="Arial" w:eastAsia="Arial" w:hAnsi="Arial"/>
          <w:b/>
          <w:bCs/>
          <w:sz w:val="22"/>
          <w:szCs w:val="22"/>
        </w:rPr>
        <w:t xml:space="preserve">File: AttendeeReplyEmailHandler.cls, lines 280-288</w:t>
      </w:r>
    </w:p>
    <w:p>
      <w:pPr>
        <w:spacing w:after="120"/>
      </w:pPr>
      <w:r>
        <w:rPr>
          <w:rFonts w:ascii="Arial" w:cs="Arial" w:eastAsia="Arial" w:hAnsi="Arial"/>
          <w:sz w:val="22"/>
          <w:szCs w:val="22"/>
        </w:rPr>
        <w:t xml:space="preserve">The addressListContains() method matches not just exact email addresses but also any email from the same domain. If the original registration was sent to 'cfo@acme.com', then 'intern@acme.com' can reply and their response will be routed to the CFO's opportunity thread. In organizations with hundreds of employees, this significantly broadens the attack surface.</w:t>
      </w:r>
    </w:p>
    <w:p>
      <w:pPr>
        <w:spacing w:after="120"/>
      </w:pPr>
      <w:r>
        <w:rPr>
          <w:rFonts w:ascii="Arial" w:cs="Arial" w:eastAsia="Arial" w:hAnsi="Arial"/>
          <w:b/>
          <w:bCs/>
          <w:sz w:val="22"/>
          <w:szCs w:val="22"/>
        </w:rPr>
        <w:t xml:space="preserve">Suggested fix: Remove domain-based matching for the token route (which is deterministic), and only allow it as a configurable option for the legacy fallback path. At minimum, log domain-only matches for audit.</w:t>
      </w:r>
    </w:p>
    <w:p>
      <w:pPr>
        <w:pStyle w:val="Heading2"/>
        <w:spacing w:after="160" w:before="240"/>
      </w:pPr>
      <w:r>
        <w:rPr>
          <w:rFonts w:ascii="Arial" w:cs="Arial" w:eastAsia="Arial" w:hAnsi="Arial"/>
        </w:rPr>
        <w:t xml:space="preserve">Issue #5 — Prompt Template Version Mismatch (High)</w:t>
      </w:r>
    </w:p>
    <w:p>
      <w:pPr>
        <w:spacing w:after="120"/>
      </w:pPr>
      <w:r>
        <w:rPr>
          <w:rFonts w:ascii="Arial" w:cs="Arial" w:eastAsia="Arial" w:hAnsi="Arial"/>
          <w:b/>
          <w:bCs/>
          <w:sz w:val="22"/>
          <w:szCs w:val="22"/>
        </w:rPr>
        <w:t xml:space="preserve">File: Extract_Attendee_Information.genAiPromptTemplate-meta.xml</w:t>
      </w:r>
    </w:p>
    <w:p>
      <w:pPr>
        <w:spacing w:after="120"/>
      </w:pPr>
      <w:r>
        <w:rPr>
          <w:rFonts w:ascii="Arial" w:cs="Arial" w:eastAsia="Arial" w:hAnsi="Arial"/>
          <w:sz w:val="22"/>
          <w:szCs w:val="22"/>
        </w:rPr>
        <w:t xml:space="preserve">Four template versions exist. Versions 1 and 3 only extract first_name, last_name, and email. Versions 2 and 4 also extract event_name and product_type. The active version (v4) includes all fields, but if an admin accidentally rolls back to v1 or v3, the group-fill assignment logic in ProcessAppointmentTakerAttendees silently degrades to positional-only matching with no warning.</w:t>
      </w:r>
    </w:p>
    <w:p>
      <w:pPr>
        <w:spacing w:after="120"/>
      </w:pPr>
      <w:r>
        <w:rPr>
          <w:rFonts w:ascii="Arial" w:cs="Arial" w:eastAsia="Arial" w:hAnsi="Arial"/>
          <w:b/>
          <w:bCs/>
          <w:sz w:val="22"/>
          <w:szCs w:val="22"/>
        </w:rPr>
        <w:t xml:space="preserve">Suggested fix: Add a validation check in processSingle() that warns when all attendees have blank event_name/product_type, which likely indicates a prompt version mismatch.</w:t>
      </w:r>
    </w:p>
    <w:p>
      <w:pPr>
        <w:pStyle w:val="Heading2"/>
        <w:spacing w:after="160" w:before="240"/>
      </w:pPr>
      <w:r>
        <w:rPr>
          <w:rFonts w:ascii="Arial" w:cs="Arial" w:eastAsia="Arial" w:hAnsi="Arial"/>
        </w:rPr>
        <w:t xml:space="preserve">Issue #6 — Exception Detail Leakage (High)</w:t>
      </w:r>
    </w:p>
    <w:p>
      <w:pPr>
        <w:spacing w:after="120"/>
      </w:pPr>
      <w:r>
        <w:rPr>
          <w:rFonts w:ascii="Arial" w:cs="Arial" w:eastAsia="Arial" w:hAnsi="Arial"/>
          <w:b/>
          <w:bCs/>
          <w:sz w:val="22"/>
          <w:szCs w:val="22"/>
        </w:rPr>
        <w:t xml:space="preserve">File: AttendeeReplyEmailHandler.cls, line 117</w:t>
      </w:r>
    </w:p>
    <w:p>
      <w:pPr>
        <w:spacing w:after="80"/>
        <w:ind w:left="360"/>
      </w:pPr>
      <w:r>
        <w:rPr>
          <w:rFonts w:ascii="Courier New" w:cs="Courier New" w:eastAsia="Courier New" w:hAnsi="Courier New"/>
          <w:color w:val="333333"/>
          <w:sz w:val="18"/>
          <w:szCs w:val="18"/>
        </w:rPr>
        <w:t xml:space="preserve">result.message = 'Error processing attendee reply: ' + e.getMessage();</w:t>
      </w:r>
    </w:p>
    <w:p>
      <w:pPr>
        <w:spacing w:after="120"/>
      </w:pPr>
      <w:r>
        <w:rPr>
          <w:rFonts w:ascii="Arial" w:cs="Arial" w:eastAsia="Arial" w:hAnsi="Arial"/>
          <w:sz w:val="22"/>
          <w:szCs w:val="22"/>
        </w:rPr>
        <w:t xml:space="preserve">The raw exception message is returned in the InboundEmailResult. While this goes to the email service (not directly to the sender), the error is logged and could be visible in Salesforce Setup. Exception messages can contain SOQL queries, field names, or internal class structures that shouldn't be exposed.</w:t>
      </w:r>
    </w:p>
    <w:p>
      <w:pPr>
        <w:spacing w:after="120"/>
      </w:pPr>
      <w:r>
        <w:rPr>
          <w:rFonts w:ascii="Arial" w:cs="Arial" w:eastAsia="Arial" w:hAnsi="Arial"/>
          <w:b/>
          <w:bCs/>
          <w:sz w:val="22"/>
          <w:szCs w:val="22"/>
        </w:rPr>
        <w:t xml:space="preserve">Suggested fix: Log the full exception to a custom object or Platform Event for debugging, and return a generic message to the email result.</w:t>
      </w:r>
    </w:p>
    <w:p>
      <w:pPr>
        <w:pStyle w:val="Heading2"/>
        <w:spacing w:after="160" w:before="240"/>
      </w:pPr>
      <w:r>
        <w:rPr>
          <w:rFonts w:ascii="Arial" w:cs="Arial" w:eastAsia="Arial" w:hAnsi="Arial"/>
        </w:rPr>
        <w:t xml:space="preserve">Issue #7 — Missing LWC Tests and Phantom Apex Controller (High)</w:t>
      </w:r>
    </w:p>
    <w:p>
      <w:pPr>
        <w:spacing w:after="120"/>
      </w:pPr>
      <w:r>
        <w:rPr>
          <w:rFonts w:ascii="Arial" w:cs="Arial" w:eastAsia="Arial" w:hAnsi="Arial"/>
          <w:b/>
          <w:bCs/>
          <w:sz w:val="22"/>
          <w:szCs w:val="22"/>
        </w:rPr>
        <w:t xml:space="preserve">File: force-app/main/default/lwc/chatInterface/</w:t>
      </w:r>
    </w:p>
    <w:p>
      <w:pPr>
        <w:spacing w:after="120"/>
      </w:pPr>
      <w:r>
        <w:rPr>
          <w:rFonts w:ascii="Arial" w:cs="Arial" w:eastAsia="Arial" w:hAnsi="Arial"/>
          <w:sz w:val="22"/>
          <w:szCs w:val="22"/>
        </w:rPr>
        <w:t xml:space="preserve">The chatInterface component imports from ChatController (getChatHistory, processMessage, generateSessionId), but this Apex class doesn't exist in the repository. Either it's in a different package/repo or it was never committed. Additionally, there are zero Jest tests for this component despite the project having jest configured.</w:t>
      </w:r>
    </w:p>
    <w:p>
      <w:pPr>
        <w:spacing w:after="120"/>
      </w:pPr>
      <w:r>
        <w:rPr>
          <w:rFonts w:ascii="Arial" w:cs="Arial" w:eastAsia="Arial" w:hAnsi="Arial"/>
          <w:b/>
          <w:bCs/>
          <w:sz w:val="22"/>
          <w:szCs w:val="22"/>
        </w:rPr>
        <w:t xml:space="preserve">Suggested fix: Either add ChatController.cls to the repo or document its external dependency. Create chatInterface.test.js covering initialization, message sending, error handling, and scroll behavior.</w:t>
      </w:r>
    </w:p>
    <w:p>
      <w:pPr>
        <w:pStyle w:val="Heading2"/>
        <w:spacing w:after="160" w:before="240"/>
      </w:pPr>
      <w:r>
        <w:rPr>
          <w:rFonts w:ascii="Arial" w:cs="Arial" w:eastAsia="Arial" w:hAnsi="Arial"/>
        </w:rPr>
        <w:t xml:space="preserve">Issue #8 — OLI Availability Filter OR Logic (Medium)</w:t>
      </w:r>
    </w:p>
    <w:p>
      <w:pPr>
        <w:spacing w:after="120"/>
      </w:pPr>
      <w:r>
        <w:rPr>
          <w:rFonts w:ascii="Arial" w:cs="Arial" w:eastAsia="Arial" w:hAnsi="Arial"/>
          <w:b/>
          <w:bCs/>
          <w:sz w:val="22"/>
          <w:szCs w:val="22"/>
        </w:rPr>
        <w:t xml:space="preserve">File: ProcessAppointmentTakerAttendees.cls, lines 356-357</w:t>
      </w:r>
    </w:p>
    <w:p>
      <w:pPr>
        <w:spacing w:after="80"/>
        <w:ind w:left="360"/>
      </w:pPr>
      <w:r>
        <w:rPr>
          <w:rFonts w:ascii="Courier New" w:cs="Courier New" w:eastAsia="Courier New" w:hAnsi="Courier New"/>
          <w:color w:val="333333"/>
          <w:sz w:val="18"/>
          <w:szCs w:val="18"/>
        </w:rPr>
        <w:t xml:space="preserve">AND (Attendee_Name__c = NULL OR Attendee_Email__c = NULL)</w:t>
      </w:r>
    </w:p>
    <w:p>
      <w:pPr>
        <w:spacing w:after="120"/>
      </w:pPr>
      <w:r>
        <w:rPr>
          <w:rFonts w:ascii="Arial" w:cs="Arial" w:eastAsia="Arial" w:hAnsi="Arial"/>
          <w:sz w:val="22"/>
          <w:szCs w:val="22"/>
        </w:rPr>
        <w:t xml:space="preserve">Using OR means a partially-filled OLI (has name but no email, or vice versa) is treated as an open slot and will be overwritten. This could discard manually entered partial data.</w:t>
      </w:r>
    </w:p>
    <w:p>
      <w:pPr>
        <w:spacing w:after="120"/>
      </w:pPr>
      <w:r>
        <w:rPr>
          <w:rFonts w:ascii="Arial" w:cs="Arial" w:eastAsia="Arial" w:hAnsi="Arial"/>
          <w:b/>
          <w:bCs/>
          <w:sz w:val="22"/>
          <w:szCs w:val="22"/>
        </w:rPr>
        <w:t xml:space="preserve">Suggested fix: Change to AND logic so only completely empty slots are targeted, or add a dedicated 'Registration_Status__c' field to explicitly track slot availability.</w:t>
      </w:r>
    </w:p>
    <w:p>
      <w:pPr>
        <w:pStyle w:val="Heading2"/>
        <w:spacing w:after="160" w:before="240"/>
      </w:pPr>
      <w:r>
        <w:rPr>
          <w:rFonts w:ascii="Arial" w:cs="Arial" w:eastAsia="Arial" w:hAnsi="Arial"/>
        </w:rPr>
        <w:t xml:space="preserve">Issues #9-17 — Medium and Low Severity</w:t>
      </w:r>
    </w:p>
    <w:p>
      <w:pPr>
        <w:pStyle w:val="Heading3"/>
        <w:spacing w:after="120" w:before="200"/>
      </w:pPr>
      <w:r>
        <w:rPr>
          <w:rFonts w:ascii="Arial" w:cs="Arial" w:eastAsia="Arial" w:hAnsi="Arial"/>
        </w:rPr>
        <w:t xml:space="preserve">#9 — No Email Validation (Medium)</w:t>
      </w:r>
    </w:p>
    <w:p>
      <w:pPr>
        <w:spacing w:after="120"/>
      </w:pPr>
      <w:r>
        <w:rPr>
          <w:rFonts w:ascii="Arial" w:cs="Arial" w:eastAsia="Arial" w:hAnsi="Arial"/>
          <w:sz w:val="22"/>
          <w:szCs w:val="22"/>
        </w:rPr>
        <w:t xml:space="preserve">Attendee emails are written to Salesforce without format validation. Add a basic regex check in parseAttendees() to skip malformed entries and log a warning.</w:t>
      </w:r>
    </w:p>
    <w:p>
      <w:pPr>
        <w:pStyle w:val="Heading3"/>
        <w:spacing w:after="120" w:before="200"/>
      </w:pPr>
      <w:r>
        <w:rPr>
          <w:rFonts w:ascii="Arial" w:cs="Arial" w:eastAsia="Arial" w:hAnsi="Arial"/>
        </w:rPr>
        <w:t xml:space="preserve">#10 — SYSTEM_MODE DML Bypass (Medium)</w:t>
      </w:r>
    </w:p>
    <w:p>
      <w:pPr>
        <w:spacing w:after="120"/>
      </w:pPr>
      <w:r>
        <w:rPr>
          <w:rFonts w:ascii="Arial" w:cs="Arial" w:eastAsia="Arial" w:hAnsi="Arial"/>
          <w:sz w:val="22"/>
          <w:szCs w:val="22"/>
        </w:rPr>
        <w:t xml:space="preserve">The Database.update() call at line 265 uses AccessLevel.SYSTEM_MODE which bypasses FLS. This is documented but should be reviewed periodically. Consider using a PermissionSet-based approach instead.</w:t>
      </w:r>
    </w:p>
    <w:p>
      <w:pPr>
        <w:pStyle w:val="Heading3"/>
        <w:spacing w:after="120" w:before="200"/>
      </w:pPr>
      <w:r>
        <w:rPr>
          <w:rFonts w:ascii="Arial" w:cs="Arial" w:eastAsia="Arial" w:hAnsi="Arial"/>
        </w:rPr>
        <w:t xml:space="preserve">#11 — Divergent Test/Production Query Paths (Medium)</w:t>
      </w:r>
    </w:p>
    <w:p>
      <w:pPr>
        <w:spacing w:after="120"/>
      </w:pPr>
      <w:r>
        <w:rPr>
          <w:rFonts w:ascii="Arial" w:cs="Arial" w:eastAsia="Arial" w:hAnsi="Arial"/>
          <w:sz w:val="22"/>
          <w:szCs w:val="22"/>
        </w:rPr>
        <w:t xml:space="preserve">Test.isRunningTest() in loadAvailableOlis() creates two different SOQL queries. The production query is never tested. Refactor to use a single query with Custom Metadata-driven product filtering.</w:t>
      </w:r>
    </w:p>
    <w:p>
      <w:pPr>
        <w:pStyle w:val="Heading3"/>
        <w:spacing w:after="120" w:before="200"/>
      </w:pPr>
      <w:r>
        <w:rPr>
          <w:rFonts w:ascii="Arial" w:cs="Arial" w:eastAsia="Arial" w:hAnsi="Arial"/>
        </w:rPr>
        <w:t xml:space="preserve">#12 — Flow in Draft Status (Medium)</w:t>
      </w:r>
    </w:p>
    <w:p>
      <w:pPr>
        <w:spacing w:after="120"/>
      </w:pPr>
      <w:r>
        <w:rPr>
          <w:rFonts w:ascii="Arial" w:cs="Arial" w:eastAsia="Arial" w:hAnsi="Arial"/>
          <w:sz w:val="22"/>
          <w:szCs w:val="22"/>
        </w:rPr>
        <w:t xml:space="preserve">Event_Registration_Process_Attendee_Reply flow has status='Draft'. Verify whether this is intentional or an accidental deactivation that breaks the end-to-end pipeline.</w:t>
      </w:r>
    </w:p>
    <w:p>
      <w:pPr>
        <w:pStyle w:val="Heading3"/>
        <w:spacing w:after="120" w:before="200"/>
      </w:pPr>
      <w:r>
        <w:rPr>
          <w:rFonts w:ascii="Arial" w:cs="Arial" w:eastAsia="Arial" w:hAnsi="Arial"/>
        </w:rPr>
        <w:t xml:space="preserve">#13 — API Version Inconsistency (Medium)</w:t>
      </w:r>
    </w:p>
    <w:p>
      <w:pPr>
        <w:spacing w:after="120"/>
      </w:pPr>
      <w:r>
        <w:rPr>
          <w:rFonts w:ascii="Arial" w:cs="Arial" w:eastAsia="Arial" w:hAnsi="Arial"/>
          <w:sz w:val="22"/>
          <w:szCs w:val="22"/>
        </w:rPr>
        <w:t xml:space="preserve">sfdx-project.json: 65.0, Flows: 62.0, LWC meta: 64.0. Standardize all metadata to the project's sourceApiVersion (65.0).</w:t>
      </w:r>
    </w:p>
    <w:p>
      <w:pPr>
        <w:pStyle w:val="Heading3"/>
        <w:spacing w:after="120" w:before="200"/>
      </w:pPr>
      <w:r>
        <w:rPr>
          <w:rFonts w:ascii="Arial" w:cs="Arial" w:eastAsia="Arial" w:hAnsi="Arial"/>
        </w:rPr>
        <w:t xml:space="preserve">#14 — Limited Reply Separator Detection (Low)</w:t>
      </w:r>
    </w:p>
    <w:p>
      <w:pPr>
        <w:spacing w:after="120"/>
      </w:pPr>
      <w:r>
        <w:rPr>
          <w:rFonts w:ascii="Arial" w:cs="Arial" w:eastAsia="Arial" w:hAnsi="Arial"/>
          <w:sz w:val="22"/>
          <w:szCs w:val="22"/>
        </w:rPr>
        <w:t xml:space="preserve">Only the Outlook underscore separator is detected. Add patterns for Gmail ('On &lt;date&gt;... wrote:') and Apple Mail to improve body parsing across email clients.</w:t>
      </w:r>
    </w:p>
    <w:p>
      <w:pPr>
        <w:pStyle w:val="Heading3"/>
        <w:spacing w:after="120" w:before="200"/>
      </w:pPr>
      <w:r>
        <w:rPr>
          <w:rFonts w:ascii="Arial" w:cs="Arial" w:eastAsia="Arial" w:hAnsi="Arial"/>
        </w:rPr>
        <w:t xml:space="preserve">#15 — Broad Attendee Signal Keywords (Low)</w:t>
      </w:r>
    </w:p>
    <w:p>
      <w:pPr>
        <w:spacing w:after="120"/>
      </w:pPr>
      <w:r>
        <w:rPr>
          <w:rFonts w:ascii="Arial" w:cs="Arial" w:eastAsia="Arial" w:hAnsi="Arial"/>
          <w:sz w:val="22"/>
          <w:szCs w:val="22"/>
        </w:rPr>
        <w:t xml:space="preserve">Keywords like 'event:' and 'registration' in hasAttendeeSignals() can match email signatures. Consider requiring 2+ signals instead of 1, or using more specific patterns.</w:t>
      </w:r>
    </w:p>
    <w:p>
      <w:pPr>
        <w:pStyle w:val="Heading3"/>
        <w:spacing w:after="120" w:before="200"/>
      </w:pPr>
      <w:r>
        <w:rPr>
          <w:rFonts w:ascii="Arial" w:cs="Arial" w:eastAsia="Arial" w:hAnsi="Arial"/>
        </w:rPr>
        <w:t xml:space="preserve">#16 — Legacy Lookup Performance (Low)</w:t>
      </w:r>
    </w:p>
    <w:p>
      <w:pPr>
        <w:spacing w:after="120"/>
      </w:pPr>
      <w:r>
        <w:rPr>
          <w:rFonts w:ascii="Arial" w:cs="Arial" w:eastAsia="Arial" w:hAnsi="Arial"/>
          <w:sz w:val="22"/>
          <w:szCs w:val="22"/>
        </w:rPr>
        <w:t xml:space="preserve">findLegacyOutgoingBySender() fetches 50 records and iterates. For high-volume orgs, add a compound index hint or restructure to filter by sender domain in SOQL.</w:t>
      </w:r>
    </w:p>
    <w:p>
      <w:pPr>
        <w:pStyle w:val="Heading3"/>
        <w:spacing w:after="120" w:before="200"/>
      </w:pPr>
      <w:r>
        <w:rPr>
          <w:rFonts w:ascii="Arial" w:cs="Arial" w:eastAsia="Arial" w:hAnsi="Arial"/>
        </w:rPr>
        <w:t xml:space="preserve">#17 — Unnecessary @track in LWC (Low)</w:t>
      </w:r>
    </w:p>
    <w:p>
      <w:pPr>
        <w:spacing w:after="120"/>
      </w:pPr>
      <w:r>
        <w:rPr>
          <w:rFonts w:ascii="Arial" w:cs="Arial" w:eastAsia="Arial" w:hAnsi="Arial"/>
          <w:sz w:val="22"/>
          <w:szCs w:val="22"/>
        </w:rPr>
        <w:t xml:space="preserve">@track on primitive/array properties is redundant since Spring '20. Remove for cleaner code, though functionally harmless.</w:t>
      </w:r>
    </w:p>
    <w:p>
      <w:r>
        <w:br w:type="page"/>
      </w:r>
    </w:p>
    <w:p>
      <w:pPr>
        <w:pStyle w:val="Heading1"/>
        <w:spacing w:after="200" w:before="300"/>
      </w:pPr>
      <w:r>
        <w:rPr>
          <w:rFonts w:ascii="Arial" w:cs="Arial" w:eastAsia="Arial" w:hAnsi="Arial"/>
        </w:rPr>
        <w:t xml:space="preserve">4. Technical Debt Summary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64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Debt Category</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Impact</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Effort to Fix</w:t>
            </w:r>
          </w:p>
        </w:tc>
        <w:tc>
          <w:tcPr>
            <w:tcW w:type="dxa" w:w="26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Hardcoded org IDs (Apex + Flow)</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Blocks CI/CD, sandbox testing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Medium (2-3 days)</w:t>
            </w:r>
          </w:p>
        </w:tc>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P0 — Fix immediately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Missing ChatController Apex class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LWC component is non-functional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 (add or document)</w:t>
            </w:r>
          </w:p>
        </w:tc>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5100"/>
                <w:sz w:val="18"/>
                <w:szCs w:val="18"/>
              </w:rPr>
              <w:t xml:space="preserve">P1 — Fix this sprint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Zero LWC test coverage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regression safety net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Medium (1-2 days)</w:t>
            </w:r>
          </w:p>
        </w:tc>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5100"/>
                <w:sz w:val="18"/>
                <w:szCs w:val="18"/>
              </w:rPr>
              <w:t xml:space="preserve">P1 — Fix this sprint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Test/production code divergence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False confidence in tests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Medium (refactor query)</w:t>
            </w:r>
          </w:p>
        </w:tc>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57F17"/>
                <w:sz w:val="18"/>
                <w:szCs w:val="18"/>
              </w:rPr>
              <w:t xml:space="preserve">P2 — Next sprint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API version inconsistency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Subtle behavioral differences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 (update XML)</w:t>
            </w:r>
          </w:p>
        </w:tc>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57F17"/>
                <w:sz w:val="18"/>
                <w:szCs w:val="18"/>
              </w:rPr>
              <w:t xml:space="preserve">P2 — Next sprint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Prompt template version sprawl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Silent degradation risk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 (add validation)</w:t>
            </w:r>
          </w:p>
        </w:tc>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57F17"/>
                <w:sz w:val="18"/>
                <w:szCs w:val="18"/>
              </w:rPr>
              <w:t xml:space="preserve">P2 — Next sprint</w:t>
            </w:r>
          </w:p>
        </w:tc>
      </w:tr>
    </w:tbl>
    <w:p>
      <w:r>
        <w:br w:type="page"/>
      </w:r>
    </w:p>
    <w:p>
      <w:pPr>
        <w:pStyle w:val="Heading1"/>
        <w:spacing w:after="200" w:before="300"/>
      </w:pPr>
      <w:r>
        <w:rPr>
          <w:rFonts w:ascii="Arial" w:cs="Arial" w:eastAsia="Arial" w:hAnsi="Arial"/>
        </w:rPr>
        <w:t xml:space="preserve">5. Recommended Refactor Plan</w:t>
      </w:r>
    </w:p>
    <w:p>
      <w:pPr>
        <w:pStyle w:val="Heading2"/>
        <w:spacing w:after="160" w:before="240"/>
      </w:pPr>
      <w:r>
        <w:rPr>
          <w:rFonts w:ascii="Arial" w:cs="Arial" w:eastAsia="Arial" w:hAnsi="Arial"/>
        </w:rPr>
        <w:t xml:space="preserve">Phase 1: Environment Portability (Week 1)</w:t>
      </w:r>
    </w:p>
    <w:p>
      <w:pPr>
        <w:pStyle w:val="ListParagraph"/>
        <w:numPr>
          <w:ilvl w:val="0"/>
          <w:numId w:val="2"/>
        </w:numPr>
        <w:spacing w:after="80"/>
      </w:pPr>
      <w:r>
        <w:rPr>
          <w:rFonts w:ascii="Arial" w:cs="Arial" w:eastAsia="Arial" w:hAnsi="Arial"/>
          <w:sz w:val="22"/>
          <w:szCs w:val="22"/>
        </w:rPr>
        <w:t xml:space="preserve">Create Supported_Registration_Product__mdt Custom Metadata Type with fields: Product_Name__c, Product_Code__c, Is_Active__c</w:t>
      </w:r>
    </w:p>
    <w:p>
      <w:pPr>
        <w:pStyle w:val="ListParagraph"/>
        <w:numPr>
          <w:ilvl w:val="0"/>
          <w:numId w:val="2"/>
        </w:numPr>
        <w:spacing w:after="80"/>
      </w:pPr>
      <w:r>
        <w:rPr>
          <w:rFonts w:ascii="Arial" w:cs="Arial" w:eastAsia="Arial" w:hAnsi="Arial"/>
          <w:sz w:val="22"/>
          <w:szCs w:val="22"/>
        </w:rPr>
        <w:t xml:space="preserve">Refactor ProcessAppointmentTakerAttendees to query metadata at runtime instead of hardcoded IDs</w:t>
      </w:r>
    </w:p>
    <w:p>
      <w:pPr>
        <w:pStyle w:val="ListParagraph"/>
        <w:numPr>
          <w:ilvl w:val="0"/>
          <w:numId w:val="2"/>
        </w:numPr>
        <w:spacing w:after="80"/>
      </w:pPr>
      <w:r>
        <w:rPr>
          <w:rFonts w:ascii="Arial" w:cs="Arial" w:eastAsia="Arial" w:hAnsi="Arial"/>
          <w:sz w:val="22"/>
          <w:szCs w:val="22"/>
        </w:rPr>
        <w:t xml:space="preserve">Update Flow to use Apex-driven filtering or metadata-driven lookup</w:t>
      </w:r>
    </w:p>
    <w:p>
      <w:pPr>
        <w:pStyle w:val="ListParagraph"/>
        <w:numPr>
          <w:ilvl w:val="0"/>
          <w:numId w:val="2"/>
        </w:numPr>
        <w:spacing w:after="80"/>
      </w:pPr>
      <w:r>
        <w:rPr>
          <w:rFonts w:ascii="Arial" w:cs="Arial" w:eastAsia="Arial" w:hAnsi="Arial"/>
          <w:sz w:val="22"/>
          <w:szCs w:val="22"/>
        </w:rPr>
        <w:t xml:space="preserve">Replace all hardcoded RecordTypeIds in tests with Schema.getRecordTypeInfosByDeveloperName()</w:t>
      </w:r>
    </w:p>
    <w:p>
      <w:pPr>
        <w:pStyle w:val="ListParagraph"/>
        <w:numPr>
          <w:ilvl w:val="0"/>
          <w:numId w:val="2"/>
        </w:numPr>
        <w:spacing w:after="80"/>
      </w:pPr>
      <w:r>
        <w:rPr>
          <w:rFonts w:ascii="Arial" w:cs="Arial" w:eastAsia="Arial" w:hAnsi="Arial"/>
          <w:sz w:val="22"/>
          <w:szCs w:val="22"/>
        </w:rPr>
        <w:t xml:space="preserve">Verify all metadata deploys cleanly to a scratch org</w:t>
      </w:r>
    </w:p>
    <w:p>
      <w:pPr>
        <w:pStyle w:val="Heading2"/>
        <w:spacing w:after="160" w:before="240"/>
      </w:pPr>
      <w:r>
        <w:rPr>
          <w:rFonts w:ascii="Arial" w:cs="Arial" w:eastAsia="Arial" w:hAnsi="Arial"/>
        </w:rPr>
        <w:t xml:space="preserve">Phase 2: Security &amp; Correctness (Week 2)</w:t>
      </w:r>
    </w:p>
    <w:p>
      <w:pPr>
        <w:pStyle w:val="ListParagraph"/>
        <w:numPr>
          <w:ilvl w:val="0"/>
          <w:numId w:val="2"/>
        </w:numPr>
        <w:spacing w:after="80"/>
      </w:pPr>
      <w:r>
        <w:rPr>
          <w:rFonts w:ascii="Arial" w:cs="Arial" w:eastAsia="Arial" w:hAnsi="Arial"/>
          <w:sz w:val="22"/>
          <w:szCs w:val="22"/>
        </w:rPr>
        <w:t xml:space="preserve">Tighten addressListContains() to require exact email match for token-based routing; domain match only for legacy fallback with logging</w:t>
      </w:r>
    </w:p>
    <w:p>
      <w:pPr>
        <w:pStyle w:val="ListParagraph"/>
        <w:numPr>
          <w:ilvl w:val="0"/>
          <w:numId w:val="2"/>
        </w:numPr>
        <w:spacing w:after="80"/>
      </w:pPr>
      <w:r>
        <w:rPr>
          <w:rFonts w:ascii="Arial" w:cs="Arial" w:eastAsia="Arial" w:hAnsi="Arial"/>
          <w:sz w:val="22"/>
          <w:szCs w:val="22"/>
        </w:rPr>
        <w:t xml:space="preserve">Add email format validation in parseAttendees() using a standard regex</w:t>
      </w:r>
    </w:p>
    <w:p>
      <w:pPr>
        <w:pStyle w:val="ListParagraph"/>
        <w:numPr>
          <w:ilvl w:val="0"/>
          <w:numId w:val="2"/>
        </w:numPr>
        <w:spacing w:after="80"/>
      </w:pPr>
      <w:r>
        <w:rPr>
          <w:rFonts w:ascii="Arial" w:cs="Arial" w:eastAsia="Arial" w:hAnsi="Arial"/>
          <w:sz w:val="22"/>
          <w:szCs w:val="22"/>
        </w:rPr>
        <w:t xml:space="preserve">Change OLI availability filter from OR to AND logic</w:t>
      </w:r>
    </w:p>
    <w:p>
      <w:pPr>
        <w:pStyle w:val="ListParagraph"/>
        <w:numPr>
          <w:ilvl w:val="0"/>
          <w:numId w:val="2"/>
        </w:numPr>
        <w:spacing w:after="80"/>
      </w:pPr>
      <w:r>
        <w:rPr>
          <w:rFonts w:ascii="Arial" w:cs="Arial" w:eastAsia="Arial" w:hAnsi="Arial"/>
          <w:sz w:val="22"/>
          <w:szCs w:val="22"/>
        </w:rPr>
        <w:t xml:space="preserve">Replace raw exception messages with generic error + Platform Event logging</w:t>
      </w:r>
    </w:p>
    <w:p>
      <w:pPr>
        <w:pStyle w:val="ListParagraph"/>
        <w:numPr>
          <w:ilvl w:val="0"/>
          <w:numId w:val="2"/>
        </w:numPr>
        <w:spacing w:after="80"/>
      </w:pPr>
      <w:r>
        <w:rPr>
          <w:rFonts w:ascii="Arial" w:cs="Arial" w:eastAsia="Arial" w:hAnsi="Arial"/>
          <w:sz w:val="22"/>
          <w:szCs w:val="22"/>
        </w:rPr>
        <w:t xml:space="preserve">Add validation warning when prompt returns attendees without event_name/product_type</w:t>
      </w:r>
    </w:p>
    <w:p>
      <w:pPr>
        <w:pStyle w:val="Heading2"/>
        <w:spacing w:after="160" w:before="240"/>
      </w:pPr>
      <w:r>
        <w:rPr>
          <w:rFonts w:ascii="Arial" w:cs="Arial" w:eastAsia="Arial" w:hAnsi="Arial"/>
        </w:rPr>
        <w:t xml:space="preserve">Phase 3: Testing &amp; Quality (Week 3)</w:t>
      </w:r>
    </w:p>
    <w:p>
      <w:pPr>
        <w:pStyle w:val="ListParagraph"/>
        <w:numPr>
          <w:ilvl w:val="0"/>
          <w:numId w:val="2"/>
        </w:numPr>
        <w:spacing w:after="80"/>
      </w:pPr>
      <w:r>
        <w:rPr>
          <w:rFonts w:ascii="Arial" w:cs="Arial" w:eastAsia="Arial" w:hAnsi="Arial"/>
          <w:sz w:val="22"/>
          <w:szCs w:val="22"/>
        </w:rPr>
        <w:t xml:space="preserve">Add or locate ChatController.cls and commit to repo</w:t>
      </w:r>
    </w:p>
    <w:p>
      <w:pPr>
        <w:pStyle w:val="ListParagraph"/>
        <w:numPr>
          <w:ilvl w:val="0"/>
          <w:numId w:val="2"/>
        </w:numPr>
        <w:spacing w:after="80"/>
      </w:pPr>
      <w:r>
        <w:rPr>
          <w:rFonts w:ascii="Arial" w:cs="Arial" w:eastAsia="Arial" w:hAnsi="Arial"/>
          <w:sz w:val="22"/>
          <w:szCs w:val="22"/>
        </w:rPr>
        <w:t xml:space="preserve">Write chatInterface.test.js with mocked Apex calls, covering: initialization, send flow, error states, keyboard shortcuts</w:t>
      </w:r>
    </w:p>
    <w:p>
      <w:pPr>
        <w:pStyle w:val="ListParagraph"/>
        <w:numPr>
          <w:ilvl w:val="0"/>
          <w:numId w:val="2"/>
        </w:numPr>
        <w:spacing w:after="80"/>
      </w:pPr>
      <w:r>
        <w:rPr>
          <w:rFonts w:ascii="Arial" w:cs="Arial" w:eastAsia="Arial" w:hAnsi="Arial"/>
          <w:sz w:val="22"/>
          <w:szCs w:val="22"/>
        </w:rPr>
        <w:t xml:space="preserve">Eliminate Test.isRunningTest() branch by using Custom Metadata for product filtering</w:t>
      </w:r>
    </w:p>
    <w:p>
      <w:pPr>
        <w:pStyle w:val="ListParagraph"/>
        <w:numPr>
          <w:ilvl w:val="0"/>
          <w:numId w:val="2"/>
        </w:numPr>
        <w:spacing w:after="80"/>
      </w:pPr>
      <w:r>
        <w:rPr>
          <w:rFonts w:ascii="Arial" w:cs="Arial" w:eastAsia="Arial" w:hAnsi="Arial"/>
          <w:sz w:val="22"/>
          <w:szCs w:val="22"/>
        </w:rPr>
        <w:t xml:space="preserve">Standardize all metadata API versions to 65.0</w:t>
      </w:r>
    </w:p>
    <w:p>
      <w:pPr>
        <w:pStyle w:val="ListParagraph"/>
        <w:numPr>
          <w:ilvl w:val="0"/>
          <w:numId w:val="2"/>
        </w:numPr>
        <w:spacing w:after="80"/>
      </w:pPr>
      <w:r>
        <w:rPr>
          <w:rFonts w:ascii="Arial" w:cs="Arial" w:eastAsia="Arial" w:hAnsi="Arial"/>
          <w:sz w:val="22"/>
          <w:szCs w:val="22"/>
        </w:rPr>
        <w:t xml:space="preserve">Add integration-style test that covers the full Flow A → Email Handler → Flow B pipeline</w:t>
      </w:r>
    </w:p>
    <w:p>
      <w:pPr>
        <w:pStyle w:val="Heading2"/>
        <w:spacing w:after="160" w:before="240"/>
      </w:pPr>
      <w:r>
        <w:rPr>
          <w:rFonts w:ascii="Arial" w:cs="Arial" w:eastAsia="Arial" w:hAnsi="Arial"/>
        </w:rPr>
        <w:t xml:space="preserve">Phase 4: Resilience &amp; Observability (Week 4)</w:t>
      </w:r>
    </w:p>
    <w:p>
      <w:pPr>
        <w:pStyle w:val="ListParagraph"/>
        <w:numPr>
          <w:ilvl w:val="0"/>
          <w:numId w:val="2"/>
        </w:numPr>
        <w:spacing w:after="80"/>
      </w:pPr>
      <w:r>
        <w:rPr>
          <w:rFonts w:ascii="Arial" w:cs="Arial" w:eastAsia="Arial" w:hAnsi="Arial"/>
          <w:sz w:val="22"/>
          <w:szCs w:val="22"/>
        </w:rPr>
        <w:t xml:space="preserve">Add Gmail and Apple Mail reply separator patterns to preparePromptBody()</w:t>
      </w:r>
    </w:p>
    <w:p>
      <w:pPr>
        <w:pStyle w:val="ListParagraph"/>
        <w:numPr>
          <w:ilvl w:val="0"/>
          <w:numId w:val="2"/>
        </w:numPr>
        <w:spacing w:after="80"/>
      </w:pPr>
      <w:r>
        <w:rPr>
          <w:rFonts w:ascii="Arial" w:cs="Arial" w:eastAsia="Arial" w:hAnsi="Arial"/>
          <w:sz w:val="22"/>
          <w:szCs w:val="22"/>
        </w:rPr>
        <w:t xml:space="preserve">Tighten hasAttendeeSignals() to require 2+ signal matches</w:t>
      </w:r>
    </w:p>
    <w:p>
      <w:pPr>
        <w:pStyle w:val="ListParagraph"/>
        <w:numPr>
          <w:ilvl w:val="0"/>
          <w:numId w:val="2"/>
        </w:numPr>
        <w:spacing w:after="80"/>
      </w:pPr>
      <w:r>
        <w:rPr>
          <w:rFonts w:ascii="Arial" w:cs="Arial" w:eastAsia="Arial" w:hAnsi="Arial"/>
          <w:sz w:val="22"/>
          <w:szCs w:val="22"/>
        </w:rPr>
        <w:t xml:space="preserve">Create a custom Platform Event or Big Object for processing audit trail</w:t>
      </w:r>
    </w:p>
    <w:p>
      <w:pPr>
        <w:pStyle w:val="ListParagraph"/>
        <w:numPr>
          <w:ilvl w:val="0"/>
          <w:numId w:val="2"/>
        </w:numPr>
        <w:spacing w:after="80"/>
      </w:pPr>
      <w:r>
        <w:rPr>
          <w:rFonts w:ascii="Arial" w:cs="Arial" w:eastAsia="Arial" w:hAnsi="Arial"/>
          <w:sz w:val="22"/>
          <w:szCs w:val="22"/>
        </w:rPr>
        <w:t xml:space="preserve">Add monitoring for prompt template version changes</w:t>
      </w:r>
    </w:p>
    <w:p>
      <w:pPr>
        <w:pStyle w:val="ListParagraph"/>
        <w:numPr>
          <w:ilvl w:val="0"/>
          <w:numId w:val="2"/>
        </w:numPr>
        <w:spacing w:after="80"/>
      </w:pPr>
      <w:r>
        <w:rPr>
          <w:rFonts w:ascii="Arial" w:cs="Arial" w:eastAsia="Arial" w:hAnsi="Arial"/>
          <w:sz w:val="22"/>
          <w:szCs w:val="22"/>
        </w:rPr>
        <w:t xml:space="preserve">Document the end-to-end architecture in a README with sequence diagram</w:t>
      </w:r>
    </w:p>
    <w:p>
      <w:pPr>
        <w:pStyle w:val="Heading1"/>
        <w:spacing w:after="200" w:before="300"/>
      </w:pPr>
      <w:r>
        <w:rPr>
          <w:rFonts w:ascii="Arial" w:cs="Arial" w:eastAsia="Arial" w:hAnsi="Arial"/>
        </w:rPr>
        <w:t xml:space="preserve">6. Strengths &amp; Positive Observations</w:t>
      </w:r>
    </w:p>
    <w:p>
      <w:pPr>
        <w:pStyle w:val="ListParagraph"/>
        <w:numPr>
          <w:ilvl w:val="0"/>
          <w:numId w:val="2"/>
        </w:numPr>
        <w:spacing w:after="80"/>
      </w:pPr>
      <w:r>
        <w:rPr>
          <w:rFonts w:ascii="Arial" w:cs="Arial" w:eastAsia="Arial" w:hAnsi="Arial"/>
          <w:sz w:val="22"/>
          <w:szCs w:val="22"/>
        </w:rPr>
        <w:t xml:space="preserve">Well-documented code: Every class and method has clear Javadoc with @description, @param, and @return annotations</w:t>
      </w:r>
    </w:p>
    <w:p>
      <w:pPr>
        <w:pStyle w:val="ListParagraph"/>
        <w:numPr>
          <w:ilvl w:val="0"/>
          <w:numId w:val="2"/>
        </w:numPr>
        <w:spacing w:after="80"/>
      </w:pPr>
      <w:r>
        <w:rPr>
          <w:rFonts w:ascii="Arial" w:cs="Arial" w:eastAsia="Arial" w:hAnsi="Arial"/>
          <w:sz w:val="22"/>
          <w:szCs w:val="22"/>
        </w:rPr>
        <w:t xml:space="preserve">Thoughtful email parsing: The preparePromptBody() logic handles Outlook separators, 'see below' patterns, HTML entity decoding, and body length capping for prompt stability</w:t>
      </w:r>
    </w:p>
    <w:p>
      <w:pPr>
        <w:pStyle w:val="ListParagraph"/>
        <w:numPr>
          <w:ilvl w:val="0"/>
          <w:numId w:val="2"/>
        </w:numPr>
        <w:spacing w:after="80"/>
      </w:pPr>
      <w:r>
        <w:rPr>
          <w:rFonts w:ascii="Arial" w:cs="Arial" w:eastAsia="Arial" w:hAnsi="Arial"/>
          <w:sz w:val="22"/>
          <w:szCs w:val="22"/>
        </w:rPr>
        <w:t xml:space="preserve">Robust test scenarios: 8 test methods for the email handler and 9 for the processor, covering happy paths, edge cases, partial fills, and error conditions</w:t>
      </w:r>
    </w:p>
    <w:p>
      <w:pPr>
        <w:pStyle w:val="ListParagraph"/>
        <w:numPr>
          <w:ilvl w:val="0"/>
          <w:numId w:val="2"/>
        </w:numPr>
        <w:spacing w:after="80"/>
      </w:pPr>
      <w:r>
        <w:rPr>
          <w:rFonts w:ascii="Arial" w:cs="Arial" w:eastAsia="Arial" w:hAnsi="Arial"/>
          <w:sz w:val="22"/>
          <w:szCs w:val="22"/>
        </w:rPr>
        <w:t xml:space="preserve">Security-conscious design: USER_MODE queries enforce read security, token-based routing prevents mismatched replies, and @TestVisible annotations are used appropriately</w:t>
      </w:r>
    </w:p>
    <w:p>
      <w:pPr>
        <w:pStyle w:val="ListParagraph"/>
        <w:numPr>
          <w:ilvl w:val="0"/>
          <w:numId w:val="2"/>
        </w:numPr>
        <w:spacing w:after="80"/>
      </w:pPr>
      <w:r>
        <w:rPr>
          <w:rFonts w:ascii="Arial" w:cs="Arial" w:eastAsia="Arial" w:hAnsi="Arial"/>
          <w:sz w:val="22"/>
          <w:szCs w:val="22"/>
        </w:rPr>
        <w:t xml:space="preserve">Clean invocable pattern: The Request/Result wrapper pattern with status enums provides clear, structured output for Flow integration</w:t>
      </w:r>
    </w:p>
    <w:p>
      <w:pPr>
        <w:pStyle w:val="ListParagraph"/>
        <w:numPr>
          <w:ilvl w:val="0"/>
          <w:numId w:val="2"/>
        </w:numPr>
        <w:spacing w:after="80"/>
      </w:pPr>
      <w:r>
        <w:rPr>
          <w:rFonts w:ascii="Arial" w:cs="Arial" w:eastAsia="Arial" w:hAnsi="Arial"/>
          <w:sz w:val="22"/>
          <w:szCs w:val="22"/>
        </w:rPr>
        <w:t xml:space="preserve">Good use of pre-commit hooks: Husky + lint-staged ensure code quality on every commit with prettier formatting, ESLint, and LWC jest tests</w:t>
      </w:r>
    </w:p>
    <w:sectPr>
      <w:headerReference w:type="default" r:id="rId7"/>
      <w:footerReference w:type="default" r:id="rId8"/>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attendee-info-agent — Code Review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598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D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2026-03-09T17:02:07.664Z</dcterms:created>
  <dcterms:modified xsi:type="dcterms:W3CDTF">2026-03-09T17:02:07.664Z</dcterms:modified>
</cp:coreProperties>
</file>

<file path=docProps/custom.xml><?xml version="1.0" encoding="utf-8"?>
<Properties xmlns="http://schemas.openxmlformats.org/officeDocument/2006/custom-properties" xmlns:vt="http://schemas.openxmlformats.org/officeDocument/2006/docPropsVTypes"/>
</file>