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Geometric</w:t>
      </w:r>
      <w:r>
        <w:t xml:space="preserve"> </w:t>
      </w:r>
      <w:r>
        <w:t xml:space="preserve">Complexity</w:t>
      </w:r>
      <w:r>
        <w:t xml:space="preserve"> </w:t>
      </w:r>
      <w:r>
        <w:t xml:space="preserve">in</w:t>
      </w:r>
      <w:r>
        <w:t xml:space="preserve"> </w:t>
      </w:r>
      <w:r>
        <w:t xml:space="preserve">Cyclic</w:t>
      </w:r>
      <w:r>
        <w:t xml:space="preserve"> </w:t>
      </w:r>
      <w:r>
        <w:t xml:space="preserve">Regime</w:t>
      </w:r>
      <w:r>
        <w:t xml:space="preserve"> </w:t>
      </w:r>
      <w:r>
        <w:t xml:space="preserve">Changes</w:t>
      </w:r>
    </w:p>
    <w:p>
      <w:pPr>
        <w:pStyle w:val="Subtitle"/>
      </w:pPr>
      <w:r>
        <w:t xml:space="preserve">Full,</w:t>
      </w:r>
      <w:r>
        <w:t xml:space="preserve"> </w:t>
      </w:r>
      <w:r>
        <w:t xml:space="preserve">Fundamental-Subspace,</w:t>
      </w:r>
      <w:r>
        <w:t xml:space="preserve"> </w:t>
      </w:r>
      <w:r>
        <w:t xml:space="preserve">and</w:t>
      </w:r>
      <w:r>
        <w:t xml:space="preserve"> </w:t>
      </w:r>
      <w:r>
        <w:t xml:space="preserve">Shared-Orbit</w:t>
      </w:r>
      <w:r>
        <w:t xml:space="preserve"> </w:t>
      </w:r>
      <w:r>
        <w:t xml:space="preserve">Models</w:t>
      </w:r>
      <w:r>
        <w:t xml:space="preserve"> </w:t>
      </w:r>
      <w:r>
        <w:t xml:space="preserve">under</w:t>
      </w:r>
      <w:r>
        <w:t xml:space="preserve"> </w:t>
      </w:r>
      <w:r>
        <w:t xml:space="preserve">Minimum</w:t>
      </w:r>
      <w:r>
        <w:t xml:space="preserve"> </w:t>
      </w:r>
      <w:r>
        <w:t xml:space="preserve">Description</w:t>
      </w:r>
      <w:r>
        <w:t xml:space="preserve"> </w:t>
      </w:r>
      <w:r>
        <w:t xml:space="preserve">Length</w:t>
      </w:r>
    </w:p>
    <w:p>
      <w:pPr>
        <w:pStyle w:val="Author"/>
      </w:pPr>
      <w:r>
        <w:t xml:space="preserve">Mac</w:t>
      </w:r>
      <w:r>
        <w:t xml:space="preserve"> </w:t>
      </w:r>
      <w:r>
        <w:t xml:space="preserve">Mayo</w:t>
      </w:r>
    </w:p>
    <w:p>
      <w:pPr>
        <w:pStyle w:val="Date"/>
      </w:pPr>
      <w:r>
        <w:t xml:space="preserve">July</w:t>
      </w:r>
      <w:r>
        <w:t xml:space="preserve"> </w:t>
      </w:r>
      <w:r>
        <w:t xml:space="preserve">2026</w:t>
      </w:r>
    </w:p>
    <w:bookmarkStart w:id="20" w:name="abstract"/>
    <w:p>
      <w:pPr>
        <w:pStyle w:val="Heading1"/>
      </w:pPr>
      <w:r>
        <w:t xml:space="preserve">Abstract</w:t>
      </w:r>
    </w:p>
    <w:p>
      <w:pPr>
        <w:pStyle w:val="FirstParagraph"/>
      </w:pPr>
      <w:r>
        <w:t xml:space="preserve">A categorical regime change can be modeled at several levels of structural constraint. An unrestricted detector allows each segment to occupy the full parameter space. A representation-constrained detector restricts each segment independently to a selected invariant subspace. A shared-orbit detector imposes the stronger requirement that both segment distributions arise from one continuous state and differ only by a finite group action. These are different statistical hypotheses and have different minimum-description-length (MDL) complexity increments.</w:t>
      </w:r>
    </w:p>
    <w:p>
      <w:pPr>
        <w:pStyle w:val="BodyText"/>
      </w:pPr>
      <w:r>
        <w:t xml:space="preserve">For a known boundary and a regular full model of dimension</w:t>
      </w:r>
      <w:r>
        <w:t xml:space="preserve"> </w:t>
      </w:r>
      <m:oMath>
        <m:sSub>
          <m:e>
            <m:r>
              <m:t>d</m:t>
            </m:r>
          </m:e>
          <m:sub>
            <m:r>
              <m:rPr>
                <m:sty m:val="p"/>
              </m:rPr>
              <m:t>f</m:t>
            </m:r>
            <m:r>
              <m:rPr>
                <m:sty m:val="p"/>
              </m:rPr>
              <m:t>u</m:t>
            </m:r>
            <m:r>
              <m:rPr>
                <m:sty m:val="p"/>
              </m:rPr>
              <m:t>l</m:t>
            </m:r>
            <m:r>
              <m:rPr>
                <m:sty m:val="p"/>
              </m:rPr>
              <m:t>l</m:t>
            </m:r>
          </m:sub>
        </m:sSub>
      </m:oMath>
      <w:r>
        <w:t xml:space="preserve">, independently fitting both segments introduces the leading penalty</w:t>
      </w:r>
      <w:r>
        <w:t xml:space="preserve"> </w:t>
      </w:r>
      <m:oMath>
        <m:f>
          <m:fPr>
            <m:type m:val="bar"/>
          </m:fPr>
          <m:num>
            <m:sSub>
              <m:e>
                <m:r>
                  <m:t>d</m:t>
                </m:r>
              </m:e>
              <m:sub>
                <m:r>
                  <m:rPr>
                    <m:sty m:val="p"/>
                  </m:rPr>
                  <m:t>f</m:t>
                </m:r>
                <m:r>
                  <m:rPr>
                    <m:sty m:val="p"/>
                  </m:rPr>
                  <m:t>u</m:t>
                </m:r>
                <m:r>
                  <m:rPr>
                    <m:sty m:val="p"/>
                  </m:rPr>
                  <m:t>l</m:t>
                </m:r>
                <m:r>
                  <m:rPr>
                    <m:sty m:val="p"/>
                  </m:rPr>
                  <m:t>l</m:t>
                </m:r>
              </m:sub>
            </m:sSub>
          </m:num>
          <m:den>
            <m:r>
              <m:t>2</m:t>
            </m:r>
          </m:den>
        </m:f>
        <m:r>
          <m:rPr>
            <m:sty m:val="p"/>
          </m:rPr>
          <m:t>log</m:t>
        </m:r>
        <m:r>
          <m:t>L</m:t>
        </m:r>
      </m:oMath>
      <w:r>
        <w:t xml:space="preserve">. Restricting both segments independently to a</w:t>
      </w:r>
      <w:r>
        <w:t xml:space="preserve"> </w:t>
      </w:r>
      <m:oMath>
        <m:sSub>
          <m:e>
            <m:r>
              <m:t>d</m:t>
            </m:r>
          </m:e>
          <m:sub>
            <m:r>
              <m:rPr>
                <m:sty m:val="p"/>
              </m:rPr>
              <m:t>f</m:t>
            </m:r>
            <m:r>
              <m:rPr>
                <m:sty m:val="p"/>
              </m:rPr>
              <m:t>u</m:t>
            </m:r>
            <m:r>
              <m:rPr>
                <m:sty m:val="p"/>
              </m:rPr>
              <m:t>n</m:t>
            </m:r>
            <m:r>
              <m:rPr>
                <m:sty m:val="p"/>
              </m:rPr>
              <m:t>d</m:t>
            </m:r>
          </m:sub>
        </m:sSub>
      </m:oMath>
      <w:r>
        <w:t xml:space="preserve">-dimensional fundamental representation gives</w:t>
      </w:r>
      <w:r>
        <w:t xml:space="preserve"> </w:t>
      </w:r>
      <m:oMath>
        <m:f>
          <m:fPr>
            <m:type m:val="bar"/>
          </m:fPr>
          <m:num>
            <m:sSub>
              <m:e>
                <m:r>
                  <m:t>d</m:t>
                </m:r>
              </m:e>
              <m:sub>
                <m:r>
                  <m:rPr>
                    <m:sty m:val="p"/>
                  </m:rPr>
                  <m:t>f</m:t>
                </m:r>
                <m:r>
                  <m:rPr>
                    <m:sty m:val="p"/>
                  </m:rPr>
                  <m:t>u</m:t>
                </m:r>
                <m:r>
                  <m:rPr>
                    <m:sty m:val="p"/>
                  </m:rPr>
                  <m:t>n</m:t>
                </m:r>
                <m:r>
                  <m:rPr>
                    <m:sty m:val="p"/>
                  </m:rPr>
                  <m:t>d</m:t>
                </m:r>
              </m:sub>
            </m:sSub>
          </m:num>
          <m:den>
            <m:r>
              <m:t>2</m:t>
            </m:r>
          </m:den>
        </m:f>
        <m:r>
          <m:rPr>
            <m:sty m:val="p"/>
          </m:rPr>
          <m:t>log</m:t>
        </m:r>
        <m:r>
          <m:t>L</m:t>
        </m:r>
      </m:oMath>
      <w:r>
        <w:t xml:space="preserve">. If the segments share the same continuous orbit parameter and differ only by a relative element of a fixed cyclic group</w:t>
      </w:r>
      <w:r>
        <w:t xml:space="preserve"> </w:t>
      </w:r>
      <m:oMath>
        <m:sSub>
          <m:e>
            <m:r>
              <m:t>C</m:t>
            </m:r>
          </m:e>
          <m:sub>
            <m:r>
              <m:t>g</m:t>
            </m:r>
          </m:sub>
        </m:sSub>
      </m:oMath>
      <w:r>
        <w:t xml:space="preserve">, the continuous-dimension increment is zero; a two-part code pays only the discrete relative-label cost</w:t>
      </w:r>
      <w:r>
        <w:t xml:space="preserve"> </w:t>
      </w:r>
      <m:oMath>
        <m:r>
          <m:rPr>
            <m:sty m:val="p"/>
          </m:rPr>
          <m:t>log</m:t>
        </m:r>
        <m:d>
          <m:dPr>
            <m:begChr m:val="("/>
            <m:endChr m:val=")"/>
            <m:sepChr m:val=""/>
            <m:grow/>
          </m:dPr>
          <m:e>
            <m:r>
              <m:t>g</m:t>
            </m:r>
            <m:r>
              <m:rPr>
                <m:sty m:val="p"/>
              </m:rPr>
              <m:t>−</m:t>
            </m:r>
            <m:r>
              <m:t>1</m:t>
            </m:r>
          </m:e>
        </m:d>
      </m:oMath>
      <w:r>
        <w:t xml:space="preserve">, subject to finite-sample and singular corrections near orbit-collapse points.</w:t>
      </w:r>
    </w:p>
    <w:p>
      <w:pPr>
        <w:pStyle w:val="BodyText"/>
      </w:pPr>
      <w:r>
        <w:t xml:space="preserve">We derive these three laws, construct a Fisher-orthonormal Fourier family for direct cyclic categorical models, implement all three detectors, and evaluate them in a 468,000-dataset Monte Carlo study over</w:t>
      </w:r>
      <w:r>
        <w:t xml:space="preserve"> </w:t>
      </w:r>
      <m:oMath>
        <m:sSub>
          <m:e>
            <m:r>
              <m:t>C</m:t>
            </m:r>
          </m:e>
          <m:sub>
            <m:r>
              <m:t>2</m:t>
            </m:r>
          </m:sub>
        </m:sSub>
      </m:oMath>
      <w:r>
        <w:t xml:space="preserve"> </w:t>
      </w:r>
      <w:r>
        <w:t xml:space="preserve">through</w:t>
      </w:r>
      <w:r>
        <w:t xml:space="preserve"> </w:t>
      </w:r>
      <m:oMath>
        <m:sSub>
          <m:e>
            <m:r>
              <m:t>C</m:t>
            </m:r>
          </m:e>
          <m:sub>
            <m:r>
              <m:t>6</m:t>
            </m:r>
          </m:sub>
        </m:sSub>
      </m:oMath>
      <w:r>
        <w:t xml:space="preserve">. The empirical full-model penalty slopes were 1.515, 2.119, and 2.468 for</w:t>
      </w:r>
      <w:r>
        <w:t xml:space="preserve"> </w:t>
      </w:r>
      <m:oMath>
        <m:sSub>
          <m:e>
            <m:r>
              <m:t>C</m:t>
            </m:r>
          </m:e>
          <m:sub>
            <m:r>
              <m:t>4</m:t>
            </m:r>
          </m:sub>
        </m:sSub>
        <m:r>
          <m:rPr>
            <m:sty m:val="p"/>
          </m:rPr>
          <m:t>,</m:t>
        </m:r>
        <m:sSub>
          <m:e>
            <m:r>
              <m:t>C</m:t>
            </m:r>
          </m:e>
          <m:sub>
            <m:r>
              <m:t>5</m:t>
            </m:r>
          </m:sub>
        </m:sSub>
        <m:r>
          <m:rPr>
            <m:sty m:val="p"/>
          </m:rPr>
          <m:t>,</m:t>
        </m:r>
        <m:sSub>
          <m:e>
            <m:r>
              <m:t>C</m:t>
            </m:r>
          </m:e>
          <m:sub>
            <m:r>
              <m:t>6</m:t>
            </m:r>
          </m:sub>
        </m:sSub>
      </m:oMath>
      <w:r>
        <w:t xml:space="preserve">, compared with predictions 1.5, 2.0, and 2.5. Fundamental-subspace slopes were 0.457 for</w:t>
      </w:r>
      <w:r>
        <w:t xml:space="preserve"> </w:t>
      </w:r>
      <m:oMath>
        <m:sSub>
          <m:e>
            <m:r>
              <m:t>C</m:t>
            </m:r>
          </m:e>
          <m:sub>
            <m:r>
              <m:t>2</m:t>
            </m:r>
          </m:sub>
        </m:sSub>
      </m:oMath>
      <w:r>
        <w:t xml:space="preserve"> </w:t>
      </w:r>
      <w:r>
        <w:t xml:space="preserve">and 0.967–1.047 for</w:t>
      </w:r>
      <w:r>
        <w:t xml:space="preserve"> </w:t>
      </w:r>
      <m:oMath>
        <m:sSub>
          <m:e>
            <m:r>
              <m:t>C</m:t>
            </m:r>
          </m:e>
          <m:sub>
            <m:r>
              <m:t>3</m:t>
            </m:r>
          </m:sub>
        </m:sSub>
      </m:oMath>
      <w:r>
        <w:t xml:space="preserve"> </w:t>
      </w:r>
      <w:r>
        <w:t xml:space="preserve">through</w:t>
      </w:r>
      <w:r>
        <w:t xml:space="preserve"> </w:t>
      </w:r>
      <m:oMath>
        <m:sSub>
          <m:e>
            <m:r>
              <m:t>C</m:t>
            </m:r>
          </m:e>
          <m:sub>
            <m:r>
              <m:t>6</m:t>
            </m:r>
          </m:sub>
        </m:sSub>
      </m:oMath>
      <w:r>
        <w:t xml:space="preserve">, compared with predictions 0.5 and 1.0. Shared-orbit score regressions retained small residual slopes, while direct crossover regressions for</w:t>
      </w:r>
      <w:r>
        <w:t xml:space="preserve"> </w:t>
      </w:r>
      <m:oMath>
        <m:sSub>
          <m:e>
            <m:r>
              <m:t>C</m:t>
            </m:r>
          </m:e>
          <m:sub>
            <m:r>
              <m:t>5</m:t>
            </m:r>
          </m:sub>
        </m:sSub>
      </m:oMath>
      <w:r>
        <w:t xml:space="preserve"> </w:t>
      </w:r>
      <w:r>
        <w:t xml:space="preserve">and</w:t>
      </w:r>
      <w:r>
        <w:t xml:space="preserve"> </w:t>
      </w:r>
      <m:oMath>
        <m:sSub>
          <m:e>
            <m:r>
              <m:t>C</m:t>
            </m:r>
          </m:e>
          <m:sub>
            <m:r>
              <m:t>6</m:t>
            </m:r>
          </m:sub>
        </m:sSub>
      </m:oMath>
      <w:r>
        <w:t xml:space="preserve"> </w:t>
      </w:r>
      <w:r>
        <w:t xml:space="preserve">were 0.037 and 0.062, supporting a near-zero leading logarithmic coefficient rather than establishing exact finite-sample constancy. Under a common 5% null calibration, the shared-orbit detector required approximately 30%, 33%, and 39% fewer observations than the full detector on exact-orbit data for</w:t>
      </w:r>
      <w:r>
        <w:t xml:space="preserve"> </w:t>
      </w:r>
      <m:oMath>
        <m:sSub>
          <m:e>
            <m:r>
              <m:t>C</m:t>
            </m:r>
          </m:e>
          <m:sub>
            <m:r>
              <m:t>4</m:t>
            </m:r>
          </m:sub>
        </m:sSub>
        <m:r>
          <m:rPr>
            <m:sty m:val="p"/>
          </m:rPr>
          <m:t>,</m:t>
        </m:r>
        <m:sSub>
          <m:e>
            <m:r>
              <m:t>C</m:t>
            </m:r>
          </m:e>
          <m:sub>
            <m:r>
              <m:t>5</m:t>
            </m:r>
          </m:sub>
        </m:sSub>
        <m:r>
          <m:rPr>
            <m:sty m:val="p"/>
          </m:rPr>
          <m:t>,</m:t>
        </m:r>
        <m:sSub>
          <m:e>
            <m:r>
              <m:t>C</m:t>
            </m:r>
          </m:e>
          <m:sub>
            <m:r>
              <m:t>6</m:t>
            </m:r>
          </m:sub>
        </m:sSub>
      </m:oMath>
      <w:r>
        <w:t xml:space="preserve">. Under higher-mode misspecification, the full detector retained high power while the constrained detectors did not. The results confirm that full-space change, invariant-subspace change, and exact-orbit transition are statistically distinct regimes of geometric constraint.</w:t>
      </w:r>
    </w:p>
    <w:p>
      <w:pPr>
        <w:pStyle w:val="BodyText"/>
      </w:pPr>
      <w:r>
        <w:rPr>
          <w:b/>
          <w:bCs/>
        </w:rPr>
        <w:t xml:space="preserve">Keywords:</w:t>
      </w:r>
      <w:r>
        <w:t xml:space="preserve"> </w:t>
      </w:r>
      <w:r>
        <w:t xml:space="preserve">minimum description length; cyclic groups; changepoint models; representation theory; information geometry; categorical data; model selection; symmetry.</w:t>
      </w:r>
    </w:p>
    <w:bookmarkEnd w:id="20"/>
    <w:bookmarkStart w:id="21" w:name="introduction"/>
    <w:p>
      <w:pPr>
        <w:pStyle w:val="Heading1"/>
      </w:pPr>
      <w:r>
        <w:t xml:space="preserve">1. Introduction</w:t>
      </w:r>
    </w:p>
    <w:p>
      <w:pPr>
        <w:pStyle w:val="FirstParagraph"/>
      </w:pPr>
      <w:r>
        <w:t xml:space="preserve">A standard two-segment regime comparison asks whether one distribution explains an entire sample or whether separate distributions are needed on either side of a proposed boundary. In an unrestricted categorical model, the alternative assigns one probability vector to the left segment and another to the right. The additional complexity is governed by the dimension of the entire simplex.</w:t>
      </w:r>
    </w:p>
    <w:p>
      <w:pPr>
        <w:pStyle w:val="BodyText"/>
      </w:pPr>
      <w:r>
        <w:t xml:space="preserve">Many regime structures are not arbitrary. Physical phases, reading-frame states, rotational sectors, and cyclic operating modes may be related by symmetry. Once symmetry is admitted, however, there are at least two fundamentally different ways to use it.</w:t>
      </w:r>
    </w:p>
    <w:p>
      <w:pPr>
        <w:pStyle w:val="BodyText"/>
      </w:pPr>
      <w:r>
        <w:t xml:space="preserve">First, symmetry may identify a low-dimensional invariant subspace in which each regime is allowed to vary independently. This is an ordinary reduction of the admissible parameter space. Second, the regimes may be required to be exact group transforms of one shared state. This is a relational constraint: it removes the independent continuous parameter vector introduced by an ordinary split and replaces it with a discrete group label.</w:t>
      </w:r>
    </w:p>
    <w:p>
      <w:pPr>
        <w:pStyle w:val="BodyText"/>
      </w:pPr>
      <w:r>
        <w:t xml:space="preserve">These possibilities lead to three models:</w:t>
      </w:r>
    </w:p>
    <w:p>
      <w:pPr>
        <w:pStyle w:val="Compact"/>
        <w:numPr>
          <w:ilvl w:val="0"/>
          <w:numId w:val="1001"/>
        </w:numPr>
      </w:pPr>
      <w:r>
        <w:rPr>
          <w:b/>
          <w:bCs/>
        </w:rPr>
        <w:t xml:space="preserve">Full independent model.</w:t>
      </w:r>
      <w:r>
        <w:t xml:space="preserve"> </w:t>
      </w:r>
      <w:r>
        <w:t xml:space="preserve">Each segment receives an unrestricted parameter vector.</w:t>
      </w:r>
    </w:p>
    <w:p>
      <w:pPr>
        <w:pStyle w:val="Compact"/>
        <w:numPr>
          <w:ilvl w:val="0"/>
          <w:numId w:val="1001"/>
        </w:numPr>
      </w:pPr>
      <w:r>
        <w:rPr>
          <w:b/>
          <w:bCs/>
        </w:rPr>
        <w:t xml:space="preserve">Independent fundamental-subspace model.</w:t>
      </w:r>
      <w:r>
        <w:t xml:space="preserve"> </w:t>
      </w:r>
      <w:r>
        <w:t xml:space="preserve">Each segment receives its own parameter vector inside a selected invariant subspace.</w:t>
      </w:r>
    </w:p>
    <w:p>
      <w:pPr>
        <w:pStyle w:val="Compact"/>
        <w:numPr>
          <w:ilvl w:val="0"/>
          <w:numId w:val="1001"/>
        </w:numPr>
      </w:pPr>
      <w:r>
        <w:rPr>
          <w:b/>
          <w:bCs/>
        </w:rPr>
        <w:t xml:space="preserve">Shared exact-orbit model.</w:t>
      </w:r>
      <w:r>
        <w:t xml:space="preserve"> </w:t>
      </w:r>
      <w:r>
        <w:t xml:space="preserve">The segments share one continuous parameter vector and differ only by a relative group action.</w:t>
      </w:r>
    </w:p>
    <w:p>
      <w:pPr>
        <w:pStyle w:val="FirstParagraph"/>
      </w:pPr>
      <w:r>
        <w:t xml:space="preserve">The models have continuous-dimension increments</w:t>
      </w:r>
    </w:p>
    <w:p>
      <w:pPr>
        <w:pStyle w:val="BodyText"/>
      </w:pPr>
      <m:oMathPara>
        <m:oMathParaPr>
          <m:jc m:val="center"/>
        </m:oMathParaPr>
        <m:oMath>
          <m:r>
            <m:t>Δ</m:t>
          </m:r>
          <m:sSub>
            <m:e>
              <m:r>
                <m:t>d</m:t>
              </m:r>
            </m:e>
            <m:sub>
              <m:r>
                <m:t>A</m:t>
              </m:r>
            </m:sub>
          </m:sSub>
          <m:r>
            <m:rPr>
              <m:sty m:val="p"/>
            </m:rPr>
            <m:t>=</m:t>
          </m:r>
          <m:sSub>
            <m:e>
              <m:r>
                <m:t>d</m:t>
              </m:r>
            </m:e>
            <m:sub>
              <m:r>
                <m:rPr>
                  <m:sty m:val="p"/>
                </m:rPr>
                <m:t>f</m:t>
              </m:r>
              <m:r>
                <m:rPr>
                  <m:sty m:val="p"/>
                </m:rPr>
                <m:t>u</m:t>
              </m:r>
              <m:r>
                <m:rPr>
                  <m:sty m:val="p"/>
                </m:rPr>
                <m:t>l</m:t>
              </m:r>
              <m:r>
                <m:rPr>
                  <m:sty m:val="p"/>
                </m:rPr>
                <m:t>l</m:t>
              </m:r>
            </m:sub>
          </m:sSub>
          <m:r>
            <m:rPr>
              <m:sty m:val="p"/>
            </m:rPr>
            <m:t>,</m:t>
          </m:r>
          <m:r>
            <m:t>  </m:t>
          </m:r>
          <m:r>
            <m:t>Δ</m:t>
          </m:r>
          <m:sSub>
            <m:e>
              <m:r>
                <m:t>d</m:t>
              </m:r>
            </m:e>
            <m:sub>
              <m:r>
                <m:t>B</m:t>
              </m:r>
            </m:sub>
          </m:sSub>
          <m:r>
            <m:rPr>
              <m:sty m:val="p"/>
            </m:rPr>
            <m:t>=</m:t>
          </m:r>
          <m:sSub>
            <m:e>
              <m:r>
                <m:t>d</m:t>
              </m:r>
            </m:e>
            <m:sub>
              <m:r>
                <m:rPr>
                  <m:sty m:val="p"/>
                </m:rPr>
                <m:t>f</m:t>
              </m:r>
              <m:r>
                <m:rPr>
                  <m:sty m:val="p"/>
                </m:rPr>
                <m:t>u</m:t>
              </m:r>
              <m:r>
                <m:rPr>
                  <m:sty m:val="p"/>
                </m:rPr>
                <m:t>n</m:t>
              </m:r>
              <m:r>
                <m:rPr>
                  <m:sty m:val="p"/>
                </m:rPr>
                <m:t>d</m:t>
              </m:r>
            </m:sub>
          </m:sSub>
          <m:r>
            <m:rPr>
              <m:sty m:val="p"/>
            </m:rPr>
            <m:t>,</m:t>
          </m:r>
          <m:r>
            <m:t>  </m:t>
          </m:r>
          <m:r>
            <m:t>Δ</m:t>
          </m:r>
          <m:sSub>
            <m:e>
              <m:r>
                <m:t>d</m:t>
              </m:r>
            </m:e>
            <m:sub>
              <m:r>
                <m:t>C</m:t>
              </m:r>
            </m:sub>
          </m:sSub>
          <m:r>
            <m:rPr>
              <m:sty m:val="p"/>
            </m:rPr>
            <m:t>=</m:t>
          </m:r>
          <m:r>
            <m:t>0</m:t>
          </m:r>
          <m:r>
            <m:rPr>
              <m:sty m:val="p"/>
            </m:rPr>
            <m:t>.</m:t>
          </m:r>
        </m:oMath>
      </m:oMathPara>
    </w:p>
    <w:p>
      <w:pPr>
        <w:pStyle w:val="FirstParagraph"/>
      </w:pPr>
      <w:r>
        <w:t xml:space="preserve">The distinction is not semantic. It determines the leading MDL penalty and the sample length required for reliable detection. Earlier formulations of the present project conflated Models B and C: the prose described a shared orbit, while the proposed penalty corresponded to independently fitted subspace coordinates. The corrected framework treats the hypotheses separately and makes their different complexity laws the subject of the analysis.</w:t>
      </w:r>
    </w:p>
    <w:p>
      <w:pPr>
        <w:pStyle w:val="BodyText"/>
      </w:pPr>
      <w:r>
        <w:t xml:space="preserve">The contributions of this paper are fourfold.</w:t>
      </w:r>
    </w:p>
    <w:p>
      <w:pPr>
        <w:pStyle w:val="BodyText"/>
      </w:pPr>
      <w:r>
        <w:t xml:space="preserve">First, we derive the known-boundary MDL penalties for the three model classes. Second, we construct a correct Fisher-orthonormal Fourier parameterization for direct cyclic categorical families. Third, we implement the three detectors with consistent known-boundary penalties and detector-specific population gains. Fourth, we perform a large Monte Carlo comparison testing both asymptotic score behavior and calibrated practical power.</w:t>
      </w:r>
    </w:p>
    <w:p>
      <w:pPr>
        <w:pStyle w:val="BodyText"/>
      </w:pPr>
      <w:r>
        <w:t xml:space="preserve">The empirical study is designed to verify theoretically specified coefficients rather than infer the model dimensions from unconstrained slope fitting. For the full and fundamental models, the observed coefficients closely track their predicted dimensions. The shared-orbit model displays a much smaller logarithmic dependence, along with finite-sample residuals that are consistent with maximization over the relative shift and singular behavior near the uniform state. The misspecification experiments show that the constrained advantage is conditional on the relevant geometry being approximately correct.</w:t>
      </w:r>
    </w:p>
    <w:p>
      <w:pPr>
        <w:pStyle w:val="BodyText"/>
      </w:pPr>
      <w:r>
        <w:t xml:space="preserve">The analysis is explicitly an</w:t>
      </w:r>
      <w:r>
        <w:t xml:space="preserve"> </w:t>
      </w:r>
      <w:r>
        <w:rPr>
          <w:b/>
          <w:bCs/>
        </w:rPr>
        <w:t xml:space="preserve">offline known-boundary model comparison</w:t>
      </w:r>
      <w:r>
        <w:t xml:space="preserve">. It is not yet a sequential stopping-time procedure. Unknown-boundary scanning and online detection are discussed separately because they add a location or multiplicity cost to every detector.</w:t>
      </w:r>
    </w:p>
    <w:bookmarkEnd w:id="21"/>
    <w:bookmarkStart w:id="25" w:name="statistical-setup"/>
    <w:p>
      <w:pPr>
        <w:pStyle w:val="Heading1"/>
      </w:pPr>
      <w:r>
        <w:t xml:space="preserve">2. Statistical setup</w:t>
      </w:r>
    </w:p>
    <w:bookmarkStart w:id="22" w:name="known-boundary-two-segment-comparison"/>
    <w:p>
      <w:pPr>
        <w:pStyle w:val="Heading2"/>
      </w:pPr>
      <w:r>
        <w:t xml:space="preserve">2.1 Known-boundary two-segment comparison</w:t>
      </w:r>
    </w:p>
    <w:p>
      <w:pPr>
        <w:pStyle w:val="FirstParagraph"/>
      </w:pPr>
      <w:r>
        <w:t xml:space="preserve">Let</w:t>
      </w:r>
    </w:p>
    <w:p>
      <w:pPr>
        <w:pStyle w:val="BodyText"/>
      </w:pPr>
      <m:oMathPara>
        <m:oMathParaPr>
          <m:jc m:val="center"/>
        </m:oMathParaPr>
        <m:oMath>
          <m:sSub>
            <m:e>
              <m:r>
                <m:t>X</m:t>
              </m:r>
            </m:e>
            <m:sub>
              <m:r>
                <m:t>1</m:t>
              </m:r>
            </m:sub>
          </m:sSub>
          <m:r>
            <m:rPr>
              <m:sty m:val="p"/>
            </m:rPr>
            <m:t>,</m:t>
          </m:r>
          <m:r>
            <m:rPr>
              <m:sty m:val="p"/>
            </m:rPr>
            <m:t>…</m:t>
          </m:r>
          <m:r>
            <m:rPr>
              <m:sty m:val="p"/>
            </m:rPr>
            <m:t>,</m:t>
          </m:r>
          <m:sSub>
            <m:e>
              <m:r>
                <m:t>X</m:t>
              </m:r>
            </m:e>
            <m:sub>
              <m:r>
                <m:t>L</m:t>
              </m:r>
            </m:sub>
          </m:sSub>
        </m:oMath>
      </m:oMathPara>
    </w:p>
    <w:p>
      <w:pPr>
        <w:pStyle w:val="FirstParagraph"/>
      </w:pPr>
      <w:r>
        <w:t xml:space="preserve">be independent categorical observations with a proposed boundary after</w:t>
      </w:r>
      <w:r>
        <w:t xml:space="preserve"> </w:t>
      </w:r>
      <m:oMath>
        <m:sSub>
          <m:e>
            <m:r>
              <m:t>L</m:t>
            </m:r>
          </m:e>
          <m:sub>
            <m:r>
              <m:t>1</m:t>
            </m:r>
          </m:sub>
        </m:sSub>
      </m:oMath>
      <w:r>
        <w:t xml:space="preserve"> </w:t>
      </w:r>
      <w:r>
        <w:t xml:space="preserve">observations, where</w:t>
      </w:r>
    </w:p>
    <w:p>
      <w:pPr>
        <w:pStyle w:val="BodyText"/>
      </w:pPr>
      <m:oMathPara>
        <m:oMathParaPr>
          <m:jc m:val="center"/>
        </m:oMathParaPr>
        <m:oMath>
          <m:sSub>
            <m:e>
              <m:r>
                <m:t>L</m:t>
              </m:r>
            </m:e>
            <m:sub>
              <m:r>
                <m:t>1</m:t>
              </m:r>
            </m:sub>
          </m:sSub>
          <m:r>
            <m:rPr>
              <m:sty m:val="p"/>
            </m:rPr>
            <m:t>+</m:t>
          </m:r>
          <m:sSub>
            <m:e>
              <m:r>
                <m:t>L</m:t>
              </m:r>
            </m:e>
            <m:sub>
              <m:r>
                <m:t>2</m:t>
              </m:r>
            </m:sub>
          </m:sSub>
          <m:r>
            <m:rPr>
              <m:sty m:val="p"/>
            </m:rPr>
            <m:t>=</m:t>
          </m:r>
          <m:r>
            <m:t>L</m:t>
          </m:r>
          <m:r>
            <m:rPr>
              <m:sty m:val="p"/>
            </m:rPr>
            <m:t>,</m:t>
          </m:r>
          <m:r>
            <m:t>  </m:t>
          </m:r>
          <m:f>
            <m:fPr>
              <m:type m:val="bar"/>
            </m:fPr>
            <m:num>
              <m:sSub>
                <m:e>
                  <m:r>
                    <m:t>L</m:t>
                  </m:r>
                </m:e>
                <m:sub>
                  <m:r>
                    <m:t>1</m:t>
                  </m:r>
                </m:sub>
              </m:sSub>
            </m:num>
            <m:den>
              <m:r>
                <m:t>L</m:t>
              </m:r>
            </m:den>
          </m:f>
          <m:r>
            <m:rPr>
              <m:sty m:val="p"/>
            </m:rPr>
            <m:t>→</m:t>
          </m:r>
          <m:r>
            <m:t>ρ</m:t>
          </m:r>
          <m:r>
            <m:rPr>
              <m:sty m:val="p"/>
            </m:rPr>
            <m:t>∈</m:t>
          </m:r>
          <m:d>
            <m:dPr>
              <m:begChr m:val="("/>
              <m:endChr m:val=")"/>
              <m:sepChr m:val=""/>
              <m:grow/>
            </m:dPr>
            <m:e>
              <m:r>
                <m:t>0</m:t>
              </m:r>
              <m:r>
                <m:rPr>
                  <m:sty m:val="p"/>
                </m:rPr>
                <m:t>,</m:t>
              </m:r>
              <m:r>
                <m:t>1</m:t>
              </m:r>
            </m:e>
          </m:d>
          <m:r>
            <m:rPr>
              <m:sty m:val="p"/>
            </m:rPr>
            <m:t>.</m:t>
          </m:r>
        </m:oMath>
      </m:oMathPara>
    </w:p>
    <w:p>
      <w:pPr>
        <w:pStyle w:val="FirstParagraph"/>
      </w:pPr>
      <w:r>
        <w:t xml:space="preserve">The left and right segments are denoted</w:t>
      </w:r>
      <w:r>
        <w:t xml:space="preserve"> </w:t>
      </w:r>
      <m:oMath>
        <m:sSup>
          <m:e>
            <m:r>
              <m:t>X</m:t>
            </m:r>
          </m:e>
          <m:sup>
            <m:d>
              <m:dPr>
                <m:begChr m:val="("/>
                <m:endChr m:val=")"/>
                <m:sepChr m:val=""/>
                <m:grow/>
              </m:dPr>
              <m:e>
                <m:r>
                  <m:t>L</m:t>
                </m:r>
              </m:e>
            </m:d>
          </m:sup>
        </m:sSup>
      </m:oMath>
      <w:r>
        <w:t xml:space="preserve"> </w:t>
      </w:r>
      <w:r>
        <w:t xml:space="preserve">and</w:t>
      </w:r>
      <w:r>
        <w:t xml:space="preserve"> </w:t>
      </w:r>
      <m:oMath>
        <m:sSup>
          <m:e>
            <m:r>
              <m:t>X</m:t>
            </m:r>
          </m:e>
          <m:sup>
            <m:d>
              <m:dPr>
                <m:begChr m:val="("/>
                <m:endChr m:val=")"/>
                <m:sepChr m:val=""/>
                <m:grow/>
              </m:dPr>
              <m:e>
                <m:r>
                  <m:t>R</m:t>
                </m:r>
              </m:e>
            </m:d>
          </m:sup>
        </m:sSup>
      </m:oMath>
      <w:r>
        <w:t xml:space="preserve">. The boundary is supplied to the detector. No search over candidate locations is performed in the principal analysis.</w:t>
      </w:r>
    </w:p>
    <w:p>
      <w:pPr>
        <w:pStyle w:val="BodyText"/>
      </w:pPr>
      <w:r>
        <w:t xml:space="preserve">For model class</w:t>
      </w:r>
      <w:r>
        <w:t xml:space="preserve"> </w:t>
      </w:r>
      <m:oMath>
        <m:r>
          <m:t>M</m:t>
        </m:r>
        <m:r>
          <m:rPr>
            <m:sty m:val="p"/>
          </m:rPr>
          <m:t>∈</m:t>
        </m:r>
        <m:r>
          <m:rPr>
            <m:sty m:val="p"/>
          </m:rPr>
          <m:t>{</m:t>
        </m:r>
        <m:r>
          <m:t>A</m:t>
        </m:r>
        <m:r>
          <m:rPr>
            <m:sty m:val="p"/>
          </m:rPr>
          <m:t>,</m:t>
        </m:r>
        <m:r>
          <m:t>B</m:t>
        </m:r>
        <m:r>
          <m:rPr>
            <m:sty m:val="p"/>
          </m:rPr>
          <m:t>,</m:t>
        </m:r>
        <m:r>
          <m:t>C</m:t>
        </m:r>
        <m:r>
          <m:rPr>
            <m:sty m:val="p"/>
          </m:rPr>
          <m:t>}</m:t>
        </m:r>
      </m:oMath>
      <w:r>
        <w:t xml:space="preserve">, write</w:t>
      </w:r>
      <w:r>
        <w:t xml:space="preserve"> </w:t>
      </w:r>
      <m:oMath>
        <m:sSub>
          <m:e>
            <m:r>
              <m:t>H</m:t>
            </m:r>
          </m:e>
          <m:sub>
            <m:r>
              <m:t>0</m:t>
            </m:r>
            <m:r>
              <m:rPr>
                <m:sty m:val="p"/>
              </m:rPr>
              <m:t>,</m:t>
            </m:r>
            <m:r>
              <m:t>M</m:t>
            </m:r>
          </m:sub>
        </m:sSub>
      </m:oMath>
      <w:r>
        <w:t xml:space="preserve"> </w:t>
      </w:r>
      <w:r>
        <w:t xml:space="preserve">for the one-regime null and</w:t>
      </w:r>
      <w:r>
        <w:t xml:space="preserve"> </w:t>
      </w:r>
      <m:oMath>
        <m:sSub>
          <m:e>
            <m:r>
              <m:t>H</m:t>
            </m:r>
          </m:e>
          <m:sub>
            <m:r>
              <m:t>1</m:t>
            </m:r>
            <m:r>
              <m:rPr>
                <m:sty m:val="p"/>
              </m:rPr>
              <m:t>,</m:t>
            </m:r>
            <m:r>
              <m:t>M</m:t>
            </m:r>
          </m:sub>
        </m:sSub>
      </m:oMath>
      <w:r>
        <w:t xml:space="preserve"> </w:t>
      </w:r>
      <w:r>
        <w:t xml:space="preserve">for the two-regime alternative. The detector score is</w:t>
      </w:r>
    </w:p>
    <w:p>
      <w:pPr>
        <w:pStyle w:val="BodyText"/>
      </w:pPr>
      <m:oMathPara>
        <m:oMathParaPr>
          <m:jc m:val="center"/>
        </m:oMathParaPr>
        <m:oMath>
          <m:sSub>
            <m:e>
              <m:r>
                <m:t>S</m:t>
              </m:r>
            </m:e>
            <m:sub>
              <m:r>
                <m:t>M</m:t>
              </m:r>
            </m:sub>
          </m:sSub>
          <m:r>
            <m:rPr>
              <m:sty m:val="p"/>
            </m:rPr>
            <m:t>=</m:t>
          </m:r>
          <m:sSub>
            <m:e>
              <m:r>
                <m:rPr>
                  <m:sty m:val="p"/>
                </m:rPr>
                <m:t>ℓ</m:t>
              </m:r>
            </m:e>
            <m:sub>
              <m:r>
                <m:t>1</m:t>
              </m:r>
              <m:r>
                <m:rPr>
                  <m:sty m:val="p"/>
                </m:rPr>
                <m:t>,</m:t>
              </m:r>
              <m:r>
                <m:t>M</m:t>
              </m:r>
            </m:sub>
          </m:sSub>
          <m:d>
            <m:dPr>
              <m:begChr m:val="("/>
              <m:endChr m:val=")"/>
              <m:sepChr m:val=""/>
              <m:grow/>
            </m:dPr>
            <m:e>
              <m:sSub>
                <m:e>
                  <m:acc>
                    <m:accPr>
                      <m:chr m:val="̂"/>
                    </m:accPr>
                    <m:e>
                      <m:r>
                        <m:t>θ</m:t>
                      </m:r>
                    </m:e>
                  </m:acc>
                </m:e>
                <m:sub>
                  <m:r>
                    <m:t>1</m:t>
                  </m:r>
                </m:sub>
              </m:sSub>
            </m:e>
          </m:d>
          <m:r>
            <m:rPr>
              <m:sty m:val="p"/>
            </m:rPr>
            <m:t>−</m:t>
          </m:r>
          <m:sSub>
            <m:e>
              <m:r>
                <m:rPr>
                  <m:sty m:val="p"/>
                </m:rPr>
                <m:t>ℓ</m:t>
              </m:r>
            </m:e>
            <m:sub>
              <m:r>
                <m:t>0</m:t>
              </m:r>
              <m:r>
                <m:rPr>
                  <m:sty m:val="p"/>
                </m:rPr>
                <m:t>,</m:t>
              </m:r>
              <m:r>
                <m:t>M</m:t>
              </m:r>
            </m:sub>
          </m:sSub>
          <m:d>
            <m:dPr>
              <m:begChr m:val="("/>
              <m:endChr m:val=")"/>
              <m:sepChr m:val=""/>
              <m:grow/>
            </m:dPr>
            <m:e>
              <m:sSub>
                <m:e>
                  <m:acc>
                    <m:accPr>
                      <m:chr m:val="̂"/>
                    </m:accPr>
                    <m:e>
                      <m:r>
                        <m:t>θ</m:t>
                      </m:r>
                    </m:e>
                  </m:acc>
                </m:e>
                <m:sub>
                  <m:r>
                    <m:t>0</m:t>
                  </m:r>
                </m:sub>
              </m:sSub>
            </m:e>
          </m:d>
          <m:r>
            <m:rPr>
              <m:sty m:val="p"/>
            </m:rPr>
            <m:t>−</m:t>
          </m:r>
          <m:sSub>
            <m:e>
              <m:r>
                <m:rPr>
                  <m:sty m:val="p"/>
                </m:rPr>
                <m:t>pen</m:t>
              </m:r>
            </m:e>
            <m:sub>
              <m:r>
                <m:t>M</m:t>
              </m:r>
            </m:sub>
          </m:sSub>
          <m:d>
            <m:dPr>
              <m:begChr m:val="("/>
              <m:endChr m:val=")"/>
              <m:sepChr m:val=""/>
              <m:grow/>
            </m:dPr>
            <m:e>
              <m:sSub>
                <m:e>
                  <m:r>
                    <m:t>L</m:t>
                  </m:r>
                </m:e>
                <m:sub>
                  <m:r>
                    <m:t>1</m:t>
                  </m:r>
                </m:sub>
              </m:sSub>
              <m:r>
                <m:rPr>
                  <m:sty m:val="p"/>
                </m:rPr>
                <m:t>,</m:t>
              </m:r>
              <m:sSub>
                <m:e>
                  <m:r>
                    <m:t>L</m:t>
                  </m:r>
                </m:e>
                <m:sub>
                  <m:r>
                    <m:t>2</m:t>
                  </m:r>
                </m:sub>
              </m:sSub>
            </m:e>
          </m:d>
          <m:r>
            <m:rPr>
              <m:sty m:val="p"/>
            </m:rPr>
            <m:t>,</m:t>
          </m:r>
        </m:oMath>
      </m:oMathPara>
    </w:p>
    <w:p>
      <w:pPr>
        <w:pStyle w:val="FirstParagraph"/>
      </w:pPr>
      <w:r>
        <w:t xml:space="preserve">where</w:t>
      </w:r>
      <w:r>
        <w:t xml:space="preserve"> </w:t>
      </w:r>
      <m:oMath>
        <m:sSub>
          <m:e>
            <m:r>
              <m:rPr>
                <m:sty m:val="p"/>
              </m:rPr>
              <m:t>ℓ</m:t>
            </m:r>
          </m:e>
          <m:sub>
            <m:r>
              <m:t>0</m:t>
            </m:r>
            <m:r>
              <m:rPr>
                <m:sty m:val="p"/>
              </m:rPr>
              <m:t>,</m:t>
            </m:r>
            <m:r>
              <m:t>M</m:t>
            </m:r>
          </m:sub>
        </m:sSub>
      </m:oMath>
      <w:r>
        <w:t xml:space="preserve"> </w:t>
      </w:r>
      <w:r>
        <w:t xml:space="preserve">and</w:t>
      </w:r>
      <w:r>
        <w:t xml:space="preserve"> </w:t>
      </w:r>
      <m:oMath>
        <m:sSub>
          <m:e>
            <m:r>
              <m:rPr>
                <m:sty m:val="p"/>
              </m:rPr>
              <m:t>ℓ</m:t>
            </m:r>
          </m:e>
          <m:sub>
            <m:r>
              <m:t>1</m:t>
            </m:r>
            <m:r>
              <m:rPr>
                <m:sty m:val="p"/>
              </m:rPr>
              <m:t>,</m:t>
            </m:r>
            <m:r>
              <m:t>M</m:t>
            </m:r>
          </m:sub>
        </m:sSub>
      </m:oMath>
      <w:r>
        <w:t xml:space="preserve"> </w:t>
      </w:r>
      <w:r>
        <w:t xml:space="preserve">are maximized log likelihoods in nats. The raw MDL rule declares a change when</w:t>
      </w:r>
      <w:r>
        <w:t xml:space="preserve"> </w:t>
      </w:r>
      <m:oMath>
        <m:sSub>
          <m:e>
            <m:r>
              <m:t>S</m:t>
            </m:r>
          </m:e>
          <m:sub>
            <m:r>
              <m:t>M</m:t>
            </m:r>
          </m:sub>
        </m:sSub>
        <m:r>
          <m:rPr>
            <m:sty m:val="p"/>
          </m:rPr>
          <m:t>&gt;</m:t>
        </m:r>
        <m:r>
          <m:t>0</m:t>
        </m:r>
      </m:oMath>
      <w:r>
        <w:t xml:space="preserve">.</w:t>
      </w:r>
    </w:p>
    <w:bookmarkEnd w:id="22"/>
    <w:bookmarkStart w:id="23" w:name="full-parameter-family"/>
    <w:p>
      <w:pPr>
        <w:pStyle w:val="Heading2"/>
      </w:pPr>
      <w:r>
        <w:t xml:space="preserve">2.2 Full parameter family</w:t>
      </w:r>
    </w:p>
    <w:p>
      <w:pPr>
        <w:pStyle w:val="FirstParagraph"/>
      </w:pPr>
      <w:r>
        <w:t xml:space="preserve">Let</w:t>
      </w:r>
    </w:p>
    <w:p>
      <w:pPr>
        <w:pStyle w:val="BodyText"/>
      </w:pPr>
      <m:oMathPara>
        <m:oMathParaPr>
          <m:jc m:val="center"/>
        </m:oMathParaPr>
        <m:oMath>
          <m:r>
            <m:rPr>
              <m:sty m:val="p"/>
              <m:scr m:val="script"/>
            </m:rPr>
            <m:t>P</m:t>
          </m:r>
          <m:r>
            <m:rPr>
              <m:sty m:val="p"/>
            </m:rPr>
            <m:t>=</m:t>
          </m:r>
          <m:r>
            <m:rPr>
              <m:sty m:val="p"/>
            </m:rPr>
            <m:t>{</m:t>
          </m:r>
          <m:sSub>
            <m:e>
              <m:r>
                <m:t>p</m:t>
              </m:r>
            </m:e>
            <m:sub>
              <m:r>
                <m:t>θ</m:t>
              </m:r>
            </m:sub>
          </m:sSub>
          <m:r>
            <m:rPr>
              <m:sty m:val="p"/>
            </m:rPr>
            <m:t>:</m:t>
          </m:r>
          <m:r>
            <m:t>θ</m:t>
          </m:r>
          <m:r>
            <m:rPr>
              <m:sty m:val="p"/>
            </m:rPr>
            <m:t>∈</m:t>
          </m:r>
          <m:r>
            <m:t>Θ</m:t>
          </m:r>
          <m:r>
            <m:rPr>
              <m:sty m:val="p"/>
            </m:rPr>
            <m:t>}</m:t>
          </m:r>
        </m:oMath>
      </m:oMathPara>
    </w:p>
    <w:p>
      <w:pPr>
        <w:pStyle w:val="FirstParagraph"/>
      </w:pPr>
      <w:r>
        <w:t xml:space="preserve">be a regular parametric family of continuous dimension</w:t>
      </w:r>
    </w:p>
    <w:p>
      <w:pPr>
        <w:pStyle w:val="BodyText"/>
      </w:pPr>
      <m:oMathPara>
        <m:oMathParaPr>
          <m:jc m:val="center"/>
        </m:oMathParaPr>
        <m:oMath>
          <m:sSub>
            <m:e>
              <m:r>
                <m:t>d</m:t>
              </m:r>
            </m:e>
            <m:sub>
              <m:r>
                <m:rPr>
                  <m:sty m:val="p"/>
                </m:rPr>
                <m:t>f</m:t>
              </m:r>
              <m:r>
                <m:rPr>
                  <m:sty m:val="p"/>
                </m:rPr>
                <m:t>u</m:t>
              </m:r>
              <m:r>
                <m:rPr>
                  <m:sty m:val="p"/>
                </m:rPr>
                <m:t>l</m:t>
              </m:r>
              <m:r>
                <m:rPr>
                  <m:sty m:val="p"/>
                </m:rPr>
                <m:t>l</m:t>
              </m:r>
            </m:sub>
          </m:sSub>
          <m:r>
            <m:rPr>
              <m:sty m:val="p"/>
            </m:rPr>
            <m:t>=</m:t>
          </m:r>
          <m:r>
            <m:rPr>
              <m:sty m:val="p"/>
            </m:rPr>
            <m:t>dim</m:t>
          </m:r>
          <m:r>
            <m:t>Θ</m:t>
          </m:r>
          <m:r>
            <m:rPr>
              <m:sty m:val="p"/>
            </m:rPr>
            <m:t>.</m:t>
          </m:r>
        </m:oMath>
      </m:oMathPara>
    </w:p>
    <w:p>
      <w:pPr>
        <w:pStyle w:val="FirstParagraph"/>
      </w:pPr>
      <w:r>
        <w:t xml:space="preserve">For an</w:t>
      </w:r>
      <w:r>
        <w:t xml:space="preserve"> </w:t>
      </w:r>
      <m:oMath>
        <m:r>
          <m:t>m</m:t>
        </m:r>
      </m:oMath>
      <w:r>
        <w:t xml:space="preserve">-category multinomial model,</w:t>
      </w:r>
    </w:p>
    <w:p>
      <w:pPr>
        <w:pStyle w:val="BodyText"/>
      </w:pPr>
      <m:oMathPara>
        <m:oMathParaPr>
          <m:jc m:val="center"/>
        </m:oMathParaPr>
        <m:oMath>
          <m:r>
            <m:rPr>
              <m:sty m:val="p"/>
              <m:scr m:val="script"/>
            </m:rPr>
            <m:t>P</m:t>
          </m:r>
          <m:r>
            <m:rPr>
              <m:sty m:val="p"/>
            </m:rPr>
            <m:t>=</m:t>
          </m:r>
          <m:sSub>
            <m:e>
              <m:r>
                <m:t>Δ</m:t>
              </m:r>
            </m:e>
            <m:sub>
              <m:r>
                <m:t>m</m:t>
              </m:r>
              <m:r>
                <m:rPr>
                  <m:sty m:val="p"/>
                </m:rPr>
                <m:t>−</m:t>
              </m:r>
              <m:r>
                <m:t>1</m:t>
              </m:r>
            </m:sub>
          </m:sSub>
          <m:r>
            <m:rPr>
              <m:sty m:val="p"/>
            </m:rPr>
            <m:t>,</m:t>
          </m:r>
          <m:r>
            <m:t>  </m:t>
          </m:r>
          <m:sSub>
            <m:e>
              <m:r>
                <m:t>d</m:t>
              </m:r>
            </m:e>
            <m:sub>
              <m:r>
                <m:rPr>
                  <m:sty m:val="p"/>
                </m:rPr>
                <m:t>f</m:t>
              </m:r>
              <m:r>
                <m:rPr>
                  <m:sty m:val="p"/>
                </m:rPr>
                <m:t>u</m:t>
              </m:r>
              <m:r>
                <m:rPr>
                  <m:sty m:val="p"/>
                </m:rPr>
                <m:t>l</m:t>
              </m:r>
              <m:r>
                <m:rPr>
                  <m:sty m:val="p"/>
                </m:rPr>
                <m:t>l</m:t>
              </m:r>
            </m:sub>
          </m:sSub>
          <m:r>
            <m:rPr>
              <m:sty m:val="p"/>
            </m:rPr>
            <m:t>=</m:t>
          </m:r>
          <m:r>
            <m:t>m</m:t>
          </m:r>
          <m:r>
            <m:rPr>
              <m:sty m:val="p"/>
            </m:rPr>
            <m:t>−</m:t>
          </m:r>
          <m:r>
            <m:t>1</m:t>
          </m:r>
          <m:r>
            <m:rPr>
              <m:sty m:val="p"/>
            </m:rPr>
            <m:t>.</m:t>
          </m:r>
        </m:oMath>
      </m:oMathPara>
    </w:p>
    <w:p>
      <w:pPr>
        <w:pStyle w:val="FirstParagraph"/>
      </w:pPr>
      <w:r>
        <w:t xml:space="preserve">The notation</w:t>
      </w:r>
      <w:r>
        <w:t xml:space="preserve"> </w:t>
      </w:r>
      <m:oMath>
        <m:sSub>
          <m:e>
            <m:r>
              <m:t>d</m:t>
            </m:r>
          </m:e>
          <m:sub>
            <m:r>
              <m:rPr>
                <m:sty m:val="p"/>
              </m:rPr>
              <m:t>f</m:t>
            </m:r>
            <m:r>
              <m:rPr>
                <m:sty m:val="p"/>
              </m:rPr>
              <m:t>u</m:t>
            </m:r>
            <m:r>
              <m:rPr>
                <m:sty m:val="p"/>
              </m:rPr>
              <m:t>l</m:t>
            </m:r>
            <m:r>
              <m:rPr>
                <m:sty m:val="p"/>
              </m:rPr>
              <m:t>l</m:t>
            </m:r>
          </m:sub>
        </m:sSub>
      </m:oMath>
      <w:r>
        <w:t xml:space="preserve"> </w:t>
      </w:r>
      <w:r>
        <w:t xml:space="preserve">is retained because applications with several categorical blocks can have dimensions larger than</w:t>
      </w:r>
      <w:r>
        <w:t xml:space="preserve"> </w:t>
      </w:r>
      <m:oMath>
        <m:r>
          <m:t>m</m:t>
        </m:r>
        <m:r>
          <m:rPr>
            <m:sty m:val="p"/>
          </m:rPr>
          <m:t>−</m:t>
        </m:r>
        <m:r>
          <m:t>1</m:t>
        </m:r>
      </m:oMath>
      <w:r>
        <w:t xml:space="preserve">.</w:t>
      </w:r>
    </w:p>
    <w:bookmarkEnd w:id="23"/>
    <w:bookmarkStart w:id="24" w:name="cyclic-group-action"/>
    <w:p>
      <w:pPr>
        <w:pStyle w:val="Heading2"/>
      </w:pPr>
      <w:r>
        <w:t xml:space="preserve">2.3 Cyclic group action</w:t>
      </w:r>
    </w:p>
    <w:p>
      <w:pPr>
        <w:pStyle w:val="FirstParagraph"/>
      </w:pPr>
      <w:r>
        <w:t xml:space="preserve">Let</w:t>
      </w:r>
    </w:p>
    <w:p>
      <w:pPr>
        <w:pStyle w:val="BodyText"/>
      </w:pPr>
      <m:oMathPara>
        <m:oMathParaPr>
          <m:jc m:val="center"/>
        </m:oMathParaPr>
        <m:oMath>
          <m:sSub>
            <m:e>
              <m:r>
                <m:t>C</m:t>
              </m:r>
            </m:e>
            <m:sub>
              <m:r>
                <m:t>g</m:t>
              </m:r>
            </m:sub>
          </m:sSub>
          <m:r>
            <m:rPr>
              <m:sty m:val="p"/>
            </m:rPr>
            <m:t>=</m:t>
          </m:r>
          <m:r>
            <m:rPr>
              <m:sty m:val="p"/>
            </m:rPr>
            <m:t>{</m:t>
          </m:r>
          <m:r>
            <m:t>e</m:t>
          </m:r>
          <m:r>
            <m:rPr>
              <m:sty m:val="p"/>
            </m:rPr>
            <m:t>,</m:t>
          </m:r>
          <m:r>
            <m:t>τ</m:t>
          </m:r>
          <m:r>
            <m:rPr>
              <m:sty m:val="p"/>
            </m:rPr>
            <m:t>,</m:t>
          </m:r>
          <m:sSup>
            <m:e>
              <m:r>
                <m:t>τ</m:t>
              </m:r>
            </m:e>
            <m:sup>
              <m:r>
                <m:t>2</m:t>
              </m:r>
            </m:sup>
          </m:sSup>
          <m:r>
            <m:rPr>
              <m:sty m:val="p"/>
            </m:rPr>
            <m:t>,</m:t>
          </m:r>
          <m:r>
            <m:rPr>
              <m:sty m:val="p"/>
            </m:rPr>
            <m:t>…</m:t>
          </m:r>
          <m:r>
            <m:rPr>
              <m:sty m:val="p"/>
            </m:rPr>
            <m:t>,</m:t>
          </m:r>
          <m:sSup>
            <m:e>
              <m:r>
                <m:t>τ</m:t>
              </m:r>
            </m:e>
            <m:sup>
              <m:r>
                <m:t>g</m:t>
              </m:r>
              <m:r>
                <m:rPr>
                  <m:sty m:val="p"/>
                </m:rPr>
                <m:t>−</m:t>
              </m:r>
              <m:r>
                <m:t>1</m:t>
              </m:r>
            </m:sup>
          </m:sSup>
          <m:r>
            <m:rPr>
              <m:sty m:val="p"/>
            </m:rPr>
            <m:t>}</m:t>
          </m:r>
        </m:oMath>
      </m:oMathPara>
    </w:p>
    <w:p>
      <w:pPr>
        <w:pStyle w:val="FirstParagraph"/>
      </w:pPr>
      <w:r>
        <w:t xml:space="preserve">act on the family through transformations</w:t>
      </w:r>
      <w:r>
        <w:t xml:space="preserve"> </w:t>
      </w:r>
      <m:oMath>
        <m:sSub>
          <m:e>
            <m:r>
              <m:t>T</m:t>
            </m:r>
          </m:e>
          <m:sub>
            <m:r>
              <m:t>k</m:t>
            </m:r>
          </m:sub>
        </m:sSub>
        <m:r>
          <m:rPr>
            <m:sty m:val="p"/>
          </m:rPr>
          <m:t>:</m:t>
        </m:r>
        <m:r>
          <m:rPr>
            <m:sty m:val="p"/>
            <m:scr m:val="script"/>
          </m:rPr>
          <m:t>P</m:t>
        </m:r>
        <m:r>
          <m:rPr>
            <m:sty m:val="p"/>
          </m:rPr>
          <m:t>→</m:t>
        </m:r>
        <m:r>
          <m:rPr>
            <m:sty m:val="p"/>
            <m:scr m:val="script"/>
          </m:rPr>
          <m:t>P</m:t>
        </m:r>
      </m:oMath>
      <w:r>
        <w:t xml:space="preserve">. In the direct categorical model used for the simulations, the alphabet size equals the group order and</w:t>
      </w:r>
      <w:r>
        <w:t xml:space="preserve"> </w:t>
      </w:r>
      <m:oMath>
        <m:sSub>
          <m:e>
            <m:r>
              <m:t>T</m:t>
            </m:r>
          </m:e>
          <m:sub>
            <m:r>
              <m:t>k</m:t>
            </m:r>
          </m:sub>
        </m:sSub>
      </m:oMath>
      <w:r>
        <w:t xml:space="preserve"> </w:t>
      </w:r>
      <w:r>
        <w:t xml:space="preserve">cyclically permutes the category coordinates. In block models, the group may instead permute phase blocks while leaving the within-block alphabet unchanged.</w:t>
      </w:r>
    </w:p>
    <w:p>
      <w:pPr>
        <w:pStyle w:val="BodyText"/>
      </w:pPr>
      <w:r>
        <w:t xml:space="preserve">At a symmetric reference distribution</w:t>
      </w:r>
      <w:r>
        <w:t xml:space="preserve"> </w:t>
      </w:r>
      <m:oMath>
        <m:sSub>
          <m:e>
            <m:r>
              <m:t>p</m:t>
            </m:r>
          </m:e>
          <m:sub>
            <m:r>
              <m:t>0</m:t>
            </m:r>
          </m:sub>
        </m:sSub>
      </m:oMath>
      <w:r>
        <w:t xml:space="preserve">, the tangent space carries an induced real representation of</w:t>
      </w:r>
      <w:r>
        <w:t xml:space="preserve"> </w:t>
      </w:r>
      <m:oMath>
        <m:sSub>
          <m:e>
            <m:r>
              <m:t>C</m:t>
            </m:r>
          </m:e>
          <m:sub>
            <m:r>
              <m:t>g</m:t>
            </m:r>
          </m:sub>
        </m:sSub>
      </m:oMath>
      <w:r>
        <w:t xml:space="preserve">. Let</w:t>
      </w:r>
    </w:p>
    <w:p>
      <w:pPr>
        <w:pStyle w:val="BodyText"/>
      </w:pPr>
      <m:oMathPara>
        <m:oMathParaPr>
          <m:jc m:val="center"/>
        </m:oMathParaPr>
        <m:oMath>
          <m:sSub>
            <m:e>
              <m:r>
                <m:t>V</m:t>
              </m:r>
            </m:e>
            <m:sub>
              <m:r>
                <m:rPr>
                  <m:sty m:val="p"/>
                </m:rPr>
                <m:t>f</m:t>
              </m:r>
              <m:r>
                <m:rPr>
                  <m:sty m:val="p"/>
                </m:rPr>
                <m:t>u</m:t>
              </m:r>
              <m:r>
                <m:rPr>
                  <m:sty m:val="p"/>
                </m:rPr>
                <m:t>n</m:t>
              </m:r>
              <m:r>
                <m:rPr>
                  <m:sty m:val="p"/>
                </m:rPr>
                <m:t>d</m:t>
              </m:r>
            </m:sub>
          </m:sSub>
          <m:r>
            <m:rPr>
              <m:sty m:val="p"/>
            </m:rPr>
            <m:t>⊆</m:t>
          </m:r>
          <m:sSub>
            <m:e>
              <m:r>
                <m:t>T</m:t>
              </m:r>
            </m:e>
            <m:sub>
              <m:sSub>
                <m:e>
                  <m:r>
                    <m:t>p</m:t>
                  </m:r>
                </m:e>
                <m:sub>
                  <m:r>
                    <m:t>0</m:t>
                  </m:r>
                </m:sub>
              </m:sSub>
            </m:sub>
          </m:sSub>
          <m:r>
            <m:rPr>
              <m:sty m:val="p"/>
              <m:scr m:val="script"/>
            </m:rPr>
            <m:t>P</m:t>
          </m:r>
        </m:oMath>
      </m:oMathPara>
    </w:p>
    <w:p>
      <w:pPr>
        <w:pStyle w:val="FirstParagraph"/>
      </w:pPr>
      <w:r>
        <w:t xml:space="preserve">be the selected fundamental invariant component, with real dimension</w:t>
      </w:r>
      <w:r>
        <w:t xml:space="preserve"> </w:t>
      </w:r>
      <m:oMath>
        <m:sSub>
          <m:e>
            <m:r>
              <m:t>d</m:t>
            </m:r>
          </m:e>
          <m:sub>
            <m:r>
              <m:rPr>
                <m:sty m:val="p"/>
              </m:rPr>
              <m:t>f</m:t>
            </m:r>
            <m:r>
              <m:rPr>
                <m:sty m:val="p"/>
              </m:rPr>
              <m:t>u</m:t>
            </m:r>
            <m:r>
              <m:rPr>
                <m:sty m:val="p"/>
              </m:rPr>
              <m:t>n</m:t>
            </m:r>
            <m:r>
              <m:rPr>
                <m:sty m:val="p"/>
              </m:rPr>
              <m:t>d</m:t>
            </m:r>
          </m:sub>
        </m:sSub>
      </m:oMath>
      <w:r>
        <w:t xml:space="preserve">. For a direct cyclic categorical model,</w:t>
      </w:r>
    </w:p>
    <w:p>
      <w:pPr>
        <w:pStyle w:val="BodyText"/>
      </w:pPr>
      <m:oMathPara>
        <m:oMathParaPr>
          <m:jc m:val="center"/>
        </m:oMathParaPr>
        <m:oMath>
          <m:sSub>
            <m:e>
              <m:r>
                <m:t>d</m:t>
              </m:r>
            </m:e>
            <m:sub>
              <m:r>
                <m:rPr>
                  <m:sty m:val="p"/>
                </m:rPr>
                <m:t>f</m:t>
              </m:r>
              <m:r>
                <m:rPr>
                  <m:sty m:val="p"/>
                </m:rPr>
                <m:t>u</m:t>
              </m:r>
              <m:r>
                <m:rPr>
                  <m:sty m:val="p"/>
                </m:rPr>
                <m:t>n</m:t>
              </m:r>
              <m:r>
                <m:rPr>
                  <m:sty m:val="p"/>
                </m:rPr>
                <m:t>d</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r>
                      <m:t>g</m:t>
                    </m:r>
                    <m:r>
                      <m:rPr>
                        <m:sty m:val="p"/>
                      </m:rPr>
                      <m:t>=</m:t>
                    </m:r>
                    <m:r>
                      <m:t>2</m:t>
                    </m:r>
                    <m:r>
                      <m:rPr>
                        <m:sty m:val="p"/>
                      </m:rPr>
                      <m:t>,</m:t>
                    </m:r>
                  </m:e>
                </m:mr>
                <m:mr>
                  <m:e>
                    <m:r>
                      <m:t>2</m:t>
                    </m:r>
                    <m:r>
                      <m:rPr>
                        <m:sty m:val="p"/>
                      </m:rPr>
                      <m:t>,</m:t>
                    </m:r>
                  </m:e>
                  <m:e>
                    <m:r>
                      <m:t>g</m:t>
                    </m:r>
                    <m:r>
                      <m:rPr>
                        <m:sty m:val="p"/>
                      </m:rPr>
                      <m:t>≥</m:t>
                    </m:r>
                    <m:r>
                      <m:t>3</m:t>
                    </m:r>
                    <m:r>
                      <m:rPr>
                        <m:sty m:val="p"/>
                      </m:rPr>
                      <m:t>.</m:t>
                    </m:r>
                  </m:e>
                </m:mr>
              </m:m>
            </m:e>
          </m:d>
        </m:oMath>
      </m:oMathPara>
    </w:p>
    <w:bookmarkEnd w:id="24"/>
    <w:bookmarkEnd w:id="25"/>
    <w:bookmarkStart w:id="29" w:name="three-model-classes"/>
    <w:p>
      <w:pPr>
        <w:pStyle w:val="Heading1"/>
      </w:pPr>
      <w:r>
        <w:t xml:space="preserve">3. Three model classes</w:t>
      </w:r>
    </w:p>
    <w:bookmarkStart w:id="26" w:name="model-a-full-independent-change"/>
    <w:p>
      <w:pPr>
        <w:pStyle w:val="Heading2"/>
      </w:pPr>
      <w:r>
        <w:t xml:space="preserve">3.1 Model A: full independent change</w:t>
      </w:r>
    </w:p>
    <w:p>
      <w:pPr>
        <w:pStyle w:val="FirstParagraph"/>
      </w:pPr>
      <w:r>
        <w:t xml:space="preserve">Under the null, both segments share one unrestricted parameter:</w:t>
      </w:r>
    </w:p>
    <w:p>
      <w:pPr>
        <w:pStyle w:val="BodyText"/>
      </w:pPr>
      <m:oMathPara>
        <m:oMathParaPr>
          <m:jc m:val="center"/>
        </m:oMathParaPr>
        <m:oMath>
          <m:sSub>
            <m:e>
              <m:r>
                <m:t>H</m:t>
              </m:r>
            </m:e>
            <m:sub>
              <m:r>
                <m:t>0</m:t>
              </m:r>
              <m:r>
                <m:rPr>
                  <m:sty m:val="p"/>
                </m:rPr>
                <m:t>,</m:t>
              </m:r>
              <m:r>
                <m:t>A</m:t>
              </m:r>
            </m:sub>
          </m:sSub>
          <m:r>
            <m:rPr>
              <m:sty m:val="p"/>
            </m:rPr>
            <m:t>:</m:t>
          </m:r>
          <m:r>
            <m:t> </m:t>
          </m:r>
          <m:sSup>
            <m:e>
              <m:r>
                <m:t>X</m:t>
              </m:r>
            </m:e>
            <m:sup>
              <m:d>
                <m:dPr>
                  <m:begChr m:val="("/>
                  <m:endChr m:val=")"/>
                  <m:sepChr m:val=""/>
                  <m:grow/>
                </m:dPr>
                <m:e>
                  <m:r>
                    <m:t>L</m:t>
                  </m:r>
                </m:e>
              </m:d>
            </m:sup>
          </m:sSup>
          <m:r>
            <m:rPr>
              <m:sty m:val="p"/>
            </m:rPr>
            <m:t>,</m:t>
          </m:r>
          <m:sSup>
            <m:e>
              <m:r>
                <m:t>X</m:t>
              </m:r>
            </m:e>
            <m:sup>
              <m:d>
                <m:dPr>
                  <m:begChr m:val="("/>
                  <m:endChr m:val=")"/>
                  <m:sepChr m:val=""/>
                  <m:grow/>
                </m:dPr>
                <m:e>
                  <m:r>
                    <m:t>R</m:t>
                  </m:r>
                </m:e>
              </m:d>
            </m:sup>
          </m:sSup>
          <m:r>
            <m:rPr>
              <m:sty m:val="p"/>
            </m:rPr>
            <m:t>∼</m:t>
          </m:r>
          <m:sSub>
            <m:e>
              <m:r>
                <m:t>p</m:t>
              </m:r>
            </m:e>
            <m:sub>
              <m:r>
                <m:t>θ</m:t>
              </m:r>
            </m:sub>
          </m:sSub>
          <m:r>
            <m:rPr>
              <m:sty m:val="p"/>
            </m:rPr>
            <m:t>.</m:t>
          </m:r>
        </m:oMath>
      </m:oMathPara>
    </w:p>
    <w:p>
      <w:pPr>
        <w:pStyle w:val="FirstParagraph"/>
      </w:pPr>
      <w:r>
        <w:t xml:space="preserve">Under the alternative,</w:t>
      </w:r>
    </w:p>
    <w:p>
      <w:pPr>
        <w:pStyle w:val="BodyText"/>
      </w:pPr>
      <m:oMathPara>
        <m:oMathParaPr>
          <m:jc m:val="center"/>
        </m:oMathParaPr>
        <m:oMath>
          <m:sSub>
            <m:e>
              <m:r>
                <m:t>H</m:t>
              </m:r>
            </m:e>
            <m:sub>
              <m:r>
                <m:t>1</m:t>
              </m:r>
              <m:r>
                <m:rPr>
                  <m:sty m:val="p"/>
                </m:rPr>
                <m:t>,</m:t>
              </m:r>
              <m:r>
                <m:t>A</m:t>
              </m:r>
            </m:sub>
          </m:sSub>
          <m:r>
            <m:rPr>
              <m:sty m:val="p"/>
            </m:rPr>
            <m:t>:</m:t>
          </m:r>
          <m:r>
            <m:t> </m:t>
          </m:r>
          <m:sSup>
            <m:e>
              <m:r>
                <m:t>X</m:t>
              </m:r>
            </m:e>
            <m:sup>
              <m:d>
                <m:dPr>
                  <m:begChr m:val="("/>
                  <m:endChr m:val=")"/>
                  <m:sepChr m:val=""/>
                  <m:grow/>
                </m:dPr>
                <m:e>
                  <m:r>
                    <m:t>L</m:t>
                  </m:r>
                </m:e>
              </m:d>
            </m:sup>
          </m:sSup>
          <m:r>
            <m:rPr>
              <m:sty m:val="p"/>
            </m:rPr>
            <m:t>∼</m:t>
          </m:r>
          <m:sSub>
            <m:e>
              <m:r>
                <m:t>p</m:t>
              </m:r>
            </m:e>
            <m:sub>
              <m:sSub>
                <m:e>
                  <m:r>
                    <m:t>θ</m:t>
                  </m:r>
                </m:e>
                <m:sub>
                  <m:r>
                    <m:t>L</m:t>
                  </m:r>
                </m:sub>
              </m:sSub>
            </m:sub>
          </m:sSub>
          <m:r>
            <m:rPr>
              <m:sty m:val="p"/>
            </m:rPr>
            <m:t>,</m:t>
          </m:r>
          <m:r>
            <m:t>  </m:t>
          </m:r>
          <m:sSup>
            <m:e>
              <m:r>
                <m:t>X</m:t>
              </m:r>
            </m:e>
            <m:sup>
              <m:d>
                <m:dPr>
                  <m:begChr m:val="("/>
                  <m:endChr m:val=")"/>
                  <m:sepChr m:val=""/>
                  <m:grow/>
                </m:dPr>
                <m:e>
                  <m:r>
                    <m:t>R</m:t>
                  </m:r>
                </m:e>
              </m:d>
            </m:sup>
          </m:sSup>
          <m:r>
            <m:rPr>
              <m:sty m:val="p"/>
            </m:rPr>
            <m:t>∼</m:t>
          </m:r>
          <m:sSub>
            <m:e>
              <m:r>
                <m:t>p</m:t>
              </m:r>
            </m:e>
            <m:sub>
              <m:sSub>
                <m:e>
                  <m:r>
                    <m:t>θ</m:t>
                  </m:r>
                </m:e>
                <m:sub>
                  <m:r>
                    <m:t>R</m:t>
                  </m:r>
                </m:sub>
              </m:sSub>
            </m:sub>
          </m:sSub>
          <m:r>
            <m:rPr>
              <m:sty m:val="p"/>
            </m:rPr>
            <m:t>,</m:t>
          </m:r>
        </m:oMath>
      </m:oMathPara>
    </w:p>
    <w:p>
      <w:pPr>
        <w:pStyle w:val="FirstParagraph"/>
      </w:pPr>
      <w:r>
        <w:t xml:space="preserve">where</w:t>
      </w:r>
      <w:r>
        <w:t xml:space="preserve"> </w:t>
      </w:r>
      <m:oMath>
        <m:sSub>
          <m:e>
            <m:r>
              <m:t>θ</m:t>
            </m:r>
          </m:e>
          <m:sub>
            <m:r>
              <m:t>L</m:t>
            </m:r>
          </m:sub>
        </m:sSub>
      </m:oMath>
      <w:r>
        <w:t xml:space="preserve"> </w:t>
      </w:r>
      <w:r>
        <w:t xml:space="preserve">and</w:t>
      </w:r>
      <w:r>
        <w:t xml:space="preserve"> </w:t>
      </w:r>
      <m:oMath>
        <m:sSub>
          <m:e>
            <m:r>
              <m:t>θ</m:t>
            </m:r>
          </m:e>
          <m:sub>
            <m:r>
              <m:t>R</m:t>
            </m:r>
          </m:sub>
        </m:sSub>
      </m:oMath>
      <w:r>
        <w:t xml:space="preserve"> </w:t>
      </w:r>
      <w:r>
        <w:t xml:space="preserve">are independently fitted. Hence</w:t>
      </w:r>
    </w:p>
    <w:p>
      <w:pPr>
        <w:pStyle w:val="BodyText"/>
      </w:pPr>
      <m:oMathPara>
        <m:oMathParaPr>
          <m:jc m:val="center"/>
        </m:oMathParaPr>
        <m:oMath>
          <m:sSub>
            <m:e>
              <m:r>
                <m:t>d</m:t>
              </m:r>
            </m:e>
            <m:sub>
              <m:r>
                <m:t>0</m:t>
              </m:r>
              <m:r>
                <m:rPr>
                  <m:sty m:val="p"/>
                </m:rPr>
                <m:t>,</m:t>
              </m:r>
              <m:r>
                <m:t>A</m:t>
              </m:r>
            </m:sub>
          </m:sSub>
          <m:r>
            <m:rPr>
              <m:sty m:val="p"/>
            </m:rPr>
            <m:t>=</m:t>
          </m:r>
          <m:sSub>
            <m:e>
              <m:r>
                <m:t>d</m:t>
              </m:r>
            </m:e>
            <m:sub>
              <m:r>
                <m:rPr>
                  <m:sty m:val="p"/>
                </m:rPr>
                <m:t>f</m:t>
              </m:r>
              <m:r>
                <m:rPr>
                  <m:sty m:val="p"/>
                </m:rPr>
                <m:t>u</m:t>
              </m:r>
              <m:r>
                <m:rPr>
                  <m:sty m:val="p"/>
                </m:rPr>
                <m:t>l</m:t>
              </m:r>
              <m:r>
                <m:rPr>
                  <m:sty m:val="p"/>
                </m:rPr>
                <m:t>l</m:t>
              </m:r>
            </m:sub>
          </m:sSub>
          <m:r>
            <m:rPr>
              <m:sty m:val="p"/>
            </m:rPr>
            <m:t>,</m:t>
          </m:r>
          <m:r>
            <m:t>  </m:t>
          </m:r>
          <m:sSub>
            <m:e>
              <m:r>
                <m:t>d</m:t>
              </m:r>
            </m:e>
            <m:sub>
              <m:r>
                <m:t>1</m:t>
              </m:r>
              <m:r>
                <m:rPr>
                  <m:sty m:val="p"/>
                </m:rPr>
                <m:t>,</m:t>
              </m:r>
              <m:r>
                <m:t>A</m:t>
              </m:r>
            </m:sub>
          </m:sSub>
          <m:r>
            <m:rPr>
              <m:sty m:val="p"/>
            </m:rPr>
            <m:t>=</m:t>
          </m:r>
          <m:r>
            <m:t>2</m:t>
          </m:r>
          <m:sSub>
            <m:e>
              <m:r>
                <m:t>d</m:t>
              </m:r>
            </m:e>
            <m:sub>
              <m:r>
                <m:rPr>
                  <m:sty m:val="p"/>
                </m:rPr>
                <m:t>f</m:t>
              </m:r>
              <m:r>
                <m:rPr>
                  <m:sty m:val="p"/>
                </m:rPr>
                <m:t>u</m:t>
              </m:r>
              <m:r>
                <m:rPr>
                  <m:sty m:val="p"/>
                </m:rPr>
                <m:t>l</m:t>
              </m:r>
              <m:r>
                <m:rPr>
                  <m:sty m:val="p"/>
                </m:rPr>
                <m:t>l</m:t>
              </m:r>
            </m:sub>
          </m:sSub>
          <m:r>
            <m:rPr>
              <m:sty m:val="p"/>
            </m:rPr>
            <m:t>,</m:t>
          </m:r>
        </m:oMath>
      </m:oMathPara>
    </w:p>
    <w:p>
      <w:pPr>
        <w:pStyle w:val="FirstParagraph"/>
      </w:pPr>
      <w:r>
        <w:t xml:space="preserve">and</w:t>
      </w:r>
    </w:p>
    <w:p>
      <w:pPr>
        <w:pStyle w:val="BodyText"/>
      </w:pPr>
      <m:oMathPara>
        <m:oMathParaPr>
          <m:jc m:val="center"/>
        </m:oMathParaPr>
        <m:oMath>
          <m:borderBox>
            <m:e>
              <m:r>
                <m:t>Δ</m:t>
              </m:r>
              <m:sSub>
                <m:e>
                  <m:r>
                    <m:t>d</m:t>
                  </m:r>
                </m:e>
                <m:sub>
                  <m:r>
                    <m:t>A</m:t>
                  </m:r>
                </m:sub>
              </m:sSub>
              <m:r>
                <m:rPr>
                  <m:sty m:val="p"/>
                </m:rPr>
                <m:t>=</m:t>
              </m:r>
              <m:sSub>
                <m:e>
                  <m:r>
                    <m:t>d</m:t>
                  </m:r>
                </m:e>
                <m:sub>
                  <m:r>
                    <m:rPr>
                      <m:sty m:val="p"/>
                    </m:rPr>
                    <m:t>f</m:t>
                  </m:r>
                  <m:r>
                    <m:rPr>
                      <m:sty m:val="p"/>
                    </m:rPr>
                    <m:t>u</m:t>
                  </m:r>
                  <m:r>
                    <m:rPr>
                      <m:sty m:val="p"/>
                    </m:rPr>
                    <m:t>l</m:t>
                  </m:r>
                  <m:r>
                    <m:rPr>
                      <m:sty m:val="p"/>
                    </m:rPr>
                    <m:t>l</m:t>
                  </m:r>
                </m:sub>
              </m:sSub>
              <m:r>
                <m:rPr>
                  <m:sty m:val="p"/>
                </m:rPr>
                <m:t>.</m:t>
              </m:r>
            </m:e>
          </m:borderBox>
        </m:oMath>
      </m:oMathPara>
    </w:p>
    <w:p>
      <w:pPr>
        <w:pStyle w:val="FirstParagraph"/>
      </w:pPr>
      <w:r>
        <w:t xml:space="preserve">For a direct</w:t>
      </w:r>
      <w:r>
        <w:t xml:space="preserve"> </w:t>
      </w:r>
      <m:oMath>
        <m:r>
          <m:t>g</m:t>
        </m:r>
      </m:oMath>
      <w:r>
        <w:t xml:space="preserve">-category model,</w:t>
      </w:r>
      <w:r>
        <w:t xml:space="preserve"> </w:t>
      </w:r>
      <m:oMath>
        <m:sSub>
          <m:e>
            <m:r>
              <m:t>d</m:t>
            </m:r>
          </m:e>
          <m:sub>
            <m:r>
              <m:rPr>
                <m:sty m:val="p"/>
              </m:rPr>
              <m:t>f</m:t>
            </m:r>
            <m:r>
              <m:rPr>
                <m:sty m:val="p"/>
              </m:rPr>
              <m:t>u</m:t>
            </m:r>
            <m:r>
              <m:rPr>
                <m:sty m:val="p"/>
              </m:rPr>
              <m:t>l</m:t>
            </m:r>
            <m:r>
              <m:rPr>
                <m:sty m:val="p"/>
              </m:rPr>
              <m:t>l</m:t>
            </m:r>
          </m:sub>
        </m:sSub>
        <m:r>
          <m:rPr>
            <m:sty m:val="p"/>
          </m:rPr>
          <m:t>=</m:t>
        </m:r>
        <m:r>
          <m:t>g</m:t>
        </m:r>
        <m:r>
          <m:rPr>
            <m:sty m:val="p"/>
          </m:rPr>
          <m:t>−</m:t>
        </m:r>
        <m:r>
          <m:t>1</m:t>
        </m:r>
      </m:oMath>
      <w:r>
        <w:t xml:space="preserve">.</w:t>
      </w:r>
    </w:p>
    <w:bookmarkEnd w:id="26"/>
    <w:bookmarkStart w:id="27" w:name="Xd99e793d30f2be50d59467f66669ff1eaa594e9"/>
    <w:p>
      <w:pPr>
        <w:pStyle w:val="Heading2"/>
      </w:pPr>
      <w:r>
        <w:t xml:space="preserve">3.2 Model B: independent fundamental-subspace change</w:t>
      </w:r>
    </w:p>
    <w:p>
      <w:pPr>
        <w:pStyle w:val="FirstParagraph"/>
      </w:pPr>
      <w:r>
        <w:t xml:space="preserve">Let</w:t>
      </w:r>
      <w:r>
        <w:t xml:space="preserve"> </w:t>
      </w:r>
      <m:oMath>
        <m:r>
          <m:t>η</m:t>
        </m:r>
        <m:r>
          <m:rPr>
            <m:sty m:val="p"/>
          </m:rPr>
          <m:t>∈</m:t>
        </m:r>
        <m:sSup>
          <m:e>
            <m:r>
              <m:rPr>
                <m:sty m:val="p"/>
                <m:scr m:val="double-struck"/>
              </m:rPr>
              <m:t>R</m:t>
            </m:r>
          </m:e>
          <m:sup>
            <m:sSub>
              <m:e>
                <m:r>
                  <m:t>d</m:t>
                </m:r>
              </m:e>
              <m:sub>
                <m:r>
                  <m:rPr>
                    <m:sty m:val="p"/>
                  </m:rPr>
                  <m:t>f</m:t>
                </m:r>
                <m:r>
                  <m:rPr>
                    <m:sty m:val="p"/>
                  </m:rPr>
                  <m:t>u</m:t>
                </m:r>
                <m:r>
                  <m:rPr>
                    <m:sty m:val="p"/>
                  </m:rPr>
                  <m:t>n</m:t>
                </m:r>
                <m:r>
                  <m:rPr>
                    <m:sty m:val="p"/>
                  </m:rPr>
                  <m:t>d</m:t>
                </m:r>
              </m:sub>
            </m:sSub>
          </m:sup>
        </m:sSup>
      </m:oMath>
      <w:r>
        <w:t xml:space="preserve"> </w:t>
      </w:r>
      <w:r>
        <w:t xml:space="preserve">parameterize a smooth exponential-family chart inside the selected invariant subspace. A convenient form is</w:t>
      </w:r>
    </w:p>
    <w:p>
      <w:pPr>
        <w:pStyle w:val="BodyText"/>
      </w:pPr>
      <m:oMathPara>
        <m:oMathParaPr>
          <m:jc m:val="center"/>
        </m:oMathParaPr>
        <m:oMath>
          <m:sSub>
            <m:e>
              <m:r>
                <m:t>q</m:t>
              </m:r>
            </m:e>
            <m:sub>
              <m:r>
                <m:t>η</m:t>
              </m:r>
            </m:sub>
          </m:sSub>
          <m:d>
            <m:dPr>
              <m:begChr m:val="("/>
              <m:endChr m:val=")"/>
              <m:sepChr m:val=""/>
              <m:grow/>
            </m:dPr>
            <m:e>
              <m:r>
                <m:t>j</m:t>
              </m:r>
            </m:e>
          </m:d>
          <m:r>
            <m:rPr>
              <m:sty m:val="p"/>
            </m:rPr>
            <m:t>=</m:t>
          </m:r>
          <m:f>
            <m:fPr>
              <m:type m:val="bar"/>
            </m:fPr>
            <m:num>
              <m:r>
                <m:rPr>
                  <m:sty m:val="p"/>
                </m:rPr>
                <m:t>exp</m:t>
              </m:r>
              <m:r>
                <m:rPr>
                  <m:sty m:val="p"/>
                </m:rPr>
                <m:t>{</m:t>
              </m:r>
              <m:sSub>
                <m:e>
                  <m:d>
                    <m:dPr>
                      <m:begChr m:val="("/>
                      <m:endChr m:val=")"/>
                      <m:sepChr m:val=""/>
                      <m:grow/>
                    </m:dPr>
                    <m:e>
                      <m:r>
                        <m:t>Z</m:t>
                      </m:r>
                      <m:r>
                        <m:t>η</m:t>
                      </m:r>
                    </m:e>
                  </m:d>
                </m:e>
                <m:sub>
                  <m:r>
                    <m:t>j</m:t>
                  </m:r>
                </m:sub>
              </m:sSub>
              <m:r>
                <m:rPr>
                  <m:sty m:val="p"/>
                </m:rPr>
                <m:t>}</m:t>
              </m:r>
            </m:num>
            <m:den>
              <m:nary>
                <m:naryPr>
                  <m:chr m:val="∑"/>
                  <m:limLoc m:val="undOvr"/>
                  <m:subHide m:val="off"/>
                  <m:supHide m:val="on"/>
                </m:naryPr>
                <m:sub>
                  <m:r>
                    <m:t>r</m:t>
                  </m:r>
                </m:sub>
                <m:sup>
                  <m:r>
                    <m:t>​</m:t>
                  </m:r>
                </m:sup>
                <m:e>
                  <m:r>
                    <m:rPr>
                      <m:sty m:val="p"/>
                    </m:rPr>
                    <m:t>exp</m:t>
                  </m:r>
                </m:e>
              </m:nary>
              <m:r>
                <m:rPr>
                  <m:sty m:val="p"/>
                </m:rPr>
                <m:t>{</m:t>
              </m:r>
              <m:sSub>
                <m:e>
                  <m:d>
                    <m:dPr>
                      <m:begChr m:val="("/>
                      <m:endChr m:val=")"/>
                      <m:sepChr m:val=""/>
                      <m:grow/>
                    </m:dPr>
                    <m:e>
                      <m:r>
                        <m:t>Z</m:t>
                      </m:r>
                      <m:r>
                        <m:t>η</m:t>
                      </m:r>
                    </m:e>
                  </m:d>
                </m:e>
                <m:sub>
                  <m:r>
                    <m:t>r</m:t>
                  </m:r>
                </m:sub>
              </m:sSub>
              <m:r>
                <m:rPr>
                  <m:sty m:val="p"/>
                </m:rPr>
                <m:t>}</m:t>
              </m:r>
            </m:den>
          </m:f>
          <m:r>
            <m:rPr>
              <m:sty m:val="p"/>
            </m:rPr>
            <m:t>,</m:t>
          </m:r>
        </m:oMath>
      </m:oMathPara>
    </w:p>
    <w:p>
      <w:pPr>
        <w:pStyle w:val="FirstParagraph"/>
      </w:pPr>
      <w:r>
        <w:t xml:space="preserve">where the columns of</w:t>
      </w:r>
      <w:r>
        <w:t xml:space="preserve"> </w:t>
      </w:r>
      <m:oMath>
        <m:r>
          <m:t>Z</m:t>
        </m:r>
      </m:oMath>
      <w:r>
        <w:t xml:space="preserve"> </w:t>
      </w:r>
      <w:r>
        <w:t xml:space="preserve">span the fundamental component in logit coordinates.</w:t>
      </w:r>
    </w:p>
    <w:p>
      <w:pPr>
        <w:pStyle w:val="BodyText"/>
      </w:pPr>
      <w:r>
        <w:t xml:space="preserve">Under the null,</w:t>
      </w:r>
    </w:p>
    <w:p>
      <w:pPr>
        <w:pStyle w:val="BodyText"/>
      </w:pPr>
      <m:oMathPara>
        <m:oMathParaPr>
          <m:jc m:val="center"/>
        </m:oMathParaPr>
        <m:oMath>
          <m:sSub>
            <m:e>
              <m:r>
                <m:t>H</m:t>
              </m:r>
            </m:e>
            <m:sub>
              <m:r>
                <m:t>0</m:t>
              </m:r>
              <m:r>
                <m:rPr>
                  <m:sty m:val="p"/>
                </m:rPr>
                <m:t>,</m:t>
              </m:r>
              <m:r>
                <m:t>B</m:t>
              </m:r>
            </m:sub>
          </m:sSub>
          <m:r>
            <m:rPr>
              <m:sty m:val="p"/>
            </m:rPr>
            <m:t>:</m:t>
          </m:r>
          <m:r>
            <m:t> </m:t>
          </m:r>
          <m:sSup>
            <m:e>
              <m:r>
                <m:t>X</m:t>
              </m:r>
            </m:e>
            <m:sup>
              <m:d>
                <m:dPr>
                  <m:begChr m:val="("/>
                  <m:endChr m:val=")"/>
                  <m:sepChr m:val=""/>
                  <m:grow/>
                </m:dPr>
                <m:e>
                  <m:r>
                    <m:t>L</m:t>
                  </m:r>
                </m:e>
              </m:d>
            </m:sup>
          </m:sSup>
          <m:r>
            <m:rPr>
              <m:sty m:val="p"/>
            </m:rPr>
            <m:t>,</m:t>
          </m:r>
          <m:sSup>
            <m:e>
              <m:r>
                <m:t>X</m:t>
              </m:r>
            </m:e>
            <m:sup>
              <m:d>
                <m:dPr>
                  <m:begChr m:val="("/>
                  <m:endChr m:val=")"/>
                  <m:sepChr m:val=""/>
                  <m:grow/>
                </m:dPr>
                <m:e>
                  <m:r>
                    <m:t>R</m:t>
                  </m:r>
                </m:e>
              </m:d>
            </m:sup>
          </m:sSup>
          <m:r>
            <m:rPr>
              <m:sty m:val="p"/>
            </m:rPr>
            <m:t>∼</m:t>
          </m:r>
          <m:sSub>
            <m:e>
              <m:r>
                <m:t>q</m:t>
              </m:r>
            </m:e>
            <m:sub>
              <m:r>
                <m:t>η</m:t>
              </m:r>
            </m:sub>
          </m:sSub>
          <m:r>
            <m:rPr>
              <m:sty m:val="p"/>
            </m:rPr>
            <m:t>.</m:t>
          </m:r>
        </m:oMath>
      </m:oMathPara>
    </w:p>
    <w:p>
      <w:pPr>
        <w:pStyle w:val="FirstParagraph"/>
      </w:pPr>
      <w:r>
        <w:t xml:space="preserve">Under the alternative,</w:t>
      </w:r>
    </w:p>
    <w:p>
      <w:pPr>
        <w:pStyle w:val="BodyText"/>
      </w:pPr>
      <m:oMathPara>
        <m:oMathParaPr>
          <m:jc m:val="center"/>
        </m:oMathParaPr>
        <m:oMath>
          <m:sSub>
            <m:e>
              <m:r>
                <m:t>H</m:t>
              </m:r>
            </m:e>
            <m:sub>
              <m:r>
                <m:t>1</m:t>
              </m:r>
              <m:r>
                <m:rPr>
                  <m:sty m:val="p"/>
                </m:rPr>
                <m:t>,</m:t>
              </m:r>
              <m:r>
                <m:t>B</m:t>
              </m:r>
            </m:sub>
          </m:sSub>
          <m:r>
            <m:rPr>
              <m:sty m:val="p"/>
            </m:rPr>
            <m:t>:</m:t>
          </m:r>
          <m:r>
            <m:t> </m:t>
          </m:r>
          <m:sSup>
            <m:e>
              <m:r>
                <m:t>X</m:t>
              </m:r>
            </m:e>
            <m:sup>
              <m:d>
                <m:dPr>
                  <m:begChr m:val="("/>
                  <m:endChr m:val=")"/>
                  <m:sepChr m:val=""/>
                  <m:grow/>
                </m:dPr>
                <m:e>
                  <m:r>
                    <m:t>L</m:t>
                  </m:r>
                </m:e>
              </m:d>
            </m:sup>
          </m:sSup>
          <m:r>
            <m:rPr>
              <m:sty m:val="p"/>
            </m:rPr>
            <m:t>∼</m:t>
          </m:r>
          <m:sSub>
            <m:e>
              <m:r>
                <m:t>q</m:t>
              </m:r>
            </m:e>
            <m:sub>
              <m:sSub>
                <m:e>
                  <m:r>
                    <m:t>η</m:t>
                  </m:r>
                </m:e>
                <m:sub>
                  <m:r>
                    <m:t>L</m:t>
                  </m:r>
                </m:sub>
              </m:sSub>
            </m:sub>
          </m:sSub>
          <m:r>
            <m:rPr>
              <m:sty m:val="p"/>
            </m:rPr>
            <m:t>,</m:t>
          </m:r>
          <m:r>
            <m:t>  </m:t>
          </m:r>
          <m:sSup>
            <m:e>
              <m:r>
                <m:t>X</m:t>
              </m:r>
            </m:e>
            <m:sup>
              <m:d>
                <m:dPr>
                  <m:begChr m:val="("/>
                  <m:endChr m:val=")"/>
                  <m:sepChr m:val=""/>
                  <m:grow/>
                </m:dPr>
                <m:e>
                  <m:r>
                    <m:t>R</m:t>
                  </m:r>
                </m:e>
              </m:d>
            </m:sup>
          </m:sSup>
          <m:r>
            <m:rPr>
              <m:sty m:val="p"/>
            </m:rPr>
            <m:t>∼</m:t>
          </m:r>
          <m:sSub>
            <m:e>
              <m:r>
                <m:t>q</m:t>
              </m:r>
            </m:e>
            <m:sub>
              <m:sSub>
                <m:e>
                  <m:r>
                    <m:t>η</m:t>
                  </m:r>
                </m:e>
                <m:sub>
                  <m:r>
                    <m:t>R</m:t>
                  </m:r>
                </m:sub>
              </m:sSub>
            </m:sub>
          </m:sSub>
          <m:r>
            <m:rPr>
              <m:sty m:val="p"/>
            </m:rPr>
            <m:t>,</m:t>
          </m:r>
        </m:oMath>
      </m:oMathPara>
    </w:p>
    <w:p>
      <w:pPr>
        <w:pStyle w:val="FirstParagraph"/>
      </w:pPr>
      <w:r>
        <w:t xml:space="preserve">where</w:t>
      </w:r>
      <w:r>
        <w:t xml:space="preserve"> </w:t>
      </w:r>
      <m:oMath>
        <m:sSub>
          <m:e>
            <m:r>
              <m:t>η</m:t>
            </m:r>
          </m:e>
          <m:sub>
            <m:r>
              <m:t>L</m:t>
            </m:r>
          </m:sub>
        </m:sSub>
      </m:oMath>
      <w:r>
        <w:t xml:space="preserve"> </w:t>
      </w:r>
      <w:r>
        <w:t xml:space="preserve">and</w:t>
      </w:r>
      <w:r>
        <w:t xml:space="preserve"> </w:t>
      </w:r>
      <m:oMath>
        <m:sSub>
          <m:e>
            <m:r>
              <m:t>η</m:t>
            </m:r>
          </m:e>
          <m:sub>
            <m:r>
              <m:t>R</m:t>
            </m:r>
          </m:sub>
        </m:sSub>
      </m:oMath>
      <w:r>
        <w:t xml:space="preserve"> </w:t>
      </w:r>
      <w:r>
        <w:t xml:space="preserve">are independent. Therefore,</w:t>
      </w:r>
    </w:p>
    <w:p>
      <w:pPr>
        <w:pStyle w:val="BodyText"/>
      </w:pPr>
      <m:oMathPara>
        <m:oMathParaPr>
          <m:jc m:val="center"/>
        </m:oMathParaPr>
        <m:oMath>
          <m:borderBox>
            <m:e>
              <m:r>
                <m:t>Δ</m:t>
              </m:r>
              <m:sSub>
                <m:e>
                  <m:r>
                    <m:t>d</m:t>
                  </m:r>
                </m:e>
                <m:sub>
                  <m:r>
                    <m:t>B</m:t>
                  </m:r>
                </m:sub>
              </m:sSub>
              <m:r>
                <m:rPr>
                  <m:sty m:val="p"/>
                </m:rPr>
                <m:t>=</m:t>
              </m:r>
              <m:sSub>
                <m:e>
                  <m:r>
                    <m:t>d</m:t>
                  </m:r>
                </m:e>
                <m:sub>
                  <m:r>
                    <m:rPr>
                      <m:sty m:val="p"/>
                    </m:rPr>
                    <m:t>f</m:t>
                  </m:r>
                  <m:r>
                    <m:rPr>
                      <m:sty m:val="p"/>
                    </m:rPr>
                    <m:t>u</m:t>
                  </m:r>
                  <m:r>
                    <m:rPr>
                      <m:sty m:val="p"/>
                    </m:rPr>
                    <m:t>n</m:t>
                  </m:r>
                  <m:r>
                    <m:rPr>
                      <m:sty m:val="p"/>
                    </m:rPr>
                    <m:t>d</m:t>
                  </m:r>
                </m:sub>
              </m:sSub>
              <m:r>
                <m:rPr>
                  <m:sty m:val="p"/>
                </m:rPr>
                <m:t>.</m:t>
              </m:r>
            </m:e>
          </m:borderBox>
        </m:oMath>
      </m:oMathPara>
    </w:p>
    <w:p>
      <w:pPr>
        <w:pStyle w:val="FirstParagraph"/>
      </w:pPr>
      <w:r>
        <w:t xml:space="preserve">Model B states that both regimes lie in the same invariant subspace. It does not require the right regime to be a group transform of the left.</w:t>
      </w:r>
    </w:p>
    <w:bookmarkEnd w:id="27"/>
    <w:bookmarkStart w:id="28" w:name="model-c-shared-exact-orbit-transition"/>
    <w:p>
      <w:pPr>
        <w:pStyle w:val="Heading2"/>
      </w:pPr>
      <w:r>
        <w:t xml:space="preserve">3.3 Model C: shared exact-orbit transition</w:t>
      </w:r>
    </w:p>
    <w:p>
      <w:pPr>
        <w:pStyle w:val="FirstParagraph"/>
      </w:pPr>
      <w:r>
        <w:t xml:space="preserve">Let</w:t>
      </w:r>
    </w:p>
    <w:p>
      <w:pPr>
        <w:pStyle w:val="BodyText"/>
      </w:pPr>
      <m:oMathPara>
        <m:oMathParaPr>
          <m:jc m:val="center"/>
        </m:oMathParaPr>
        <m:oMath>
          <m:sSub>
            <m:e>
              <m:r>
                <m:t>q</m:t>
              </m:r>
            </m:e>
            <m:sub>
              <m:r>
                <m:t>k</m:t>
              </m:r>
            </m:sub>
          </m:sSub>
          <m:d>
            <m:dPr>
              <m:begChr m:val="("/>
              <m:endChr m:val=")"/>
              <m:sepChr m:val=""/>
              <m:grow/>
            </m:dPr>
            <m:e>
              <m:r>
                <m:t>η</m:t>
              </m:r>
            </m:e>
          </m:d>
          <m:r>
            <m:rPr>
              <m:sty m:val="p"/>
            </m:rPr>
            <m:t>=</m:t>
          </m:r>
          <m:sSub>
            <m:e>
              <m:r>
                <m:t>T</m:t>
              </m:r>
            </m:e>
            <m:sub>
              <m:r>
                <m:t>k</m:t>
              </m:r>
            </m:sub>
          </m:sSub>
          <m:sSub>
            <m:e>
              <m:r>
                <m:t>q</m:t>
              </m:r>
            </m:e>
            <m:sub>
              <m:r>
                <m:t>0</m:t>
              </m:r>
            </m:sub>
          </m:sSub>
          <m:d>
            <m:dPr>
              <m:begChr m:val="("/>
              <m:endChr m:val=")"/>
              <m:sepChr m:val=""/>
              <m:grow/>
            </m:dPr>
            <m:e>
              <m:r>
                <m:t>η</m:t>
              </m:r>
            </m:e>
          </m:d>
          <m:r>
            <m:rPr>
              <m:sty m:val="p"/>
            </m:rPr>
            <m:t>.</m:t>
          </m:r>
        </m:oMath>
      </m:oMathPara>
    </w:p>
    <w:p>
      <w:pPr>
        <w:pStyle w:val="FirstParagraph"/>
      </w:pPr>
      <w:r>
        <w:t xml:space="preserve">A simultaneous shift of both labels is observationally redundant, so the left label can be fixed as a gauge. Under the null,</w:t>
      </w:r>
    </w:p>
    <w:p>
      <w:pPr>
        <w:pStyle w:val="BodyText"/>
      </w:pPr>
      <m:oMathPara>
        <m:oMathParaPr>
          <m:jc m:val="center"/>
        </m:oMathParaPr>
        <m:oMath>
          <m:sSub>
            <m:e>
              <m:r>
                <m:t>H</m:t>
              </m:r>
            </m:e>
            <m:sub>
              <m:r>
                <m:t>0</m:t>
              </m:r>
              <m:r>
                <m:rPr>
                  <m:sty m:val="p"/>
                </m:rPr>
                <m:t>,</m:t>
              </m:r>
              <m:r>
                <m:t>C</m:t>
              </m:r>
            </m:sub>
          </m:sSub>
          <m:r>
            <m:rPr>
              <m:sty m:val="p"/>
            </m:rPr>
            <m:t>:</m:t>
          </m:r>
          <m:r>
            <m:t> </m:t>
          </m:r>
          <m:sSup>
            <m:e>
              <m:r>
                <m:t>X</m:t>
              </m:r>
            </m:e>
            <m:sup>
              <m:d>
                <m:dPr>
                  <m:begChr m:val="("/>
                  <m:endChr m:val=")"/>
                  <m:sepChr m:val=""/>
                  <m:grow/>
                </m:dPr>
                <m:e>
                  <m:r>
                    <m:t>L</m:t>
                  </m:r>
                </m:e>
              </m:d>
            </m:sup>
          </m:sSup>
          <m:r>
            <m:rPr>
              <m:sty m:val="p"/>
            </m:rPr>
            <m:t>,</m:t>
          </m:r>
          <m:sSup>
            <m:e>
              <m:r>
                <m:t>X</m:t>
              </m:r>
            </m:e>
            <m:sup>
              <m:d>
                <m:dPr>
                  <m:begChr m:val="("/>
                  <m:endChr m:val=")"/>
                  <m:sepChr m:val=""/>
                  <m:grow/>
                </m:dPr>
                <m:e>
                  <m:r>
                    <m:t>R</m:t>
                  </m:r>
                </m:e>
              </m:d>
            </m:sup>
          </m:sSup>
          <m:r>
            <m:rPr>
              <m:sty m:val="p"/>
            </m:rPr>
            <m:t>∼</m:t>
          </m:r>
          <m:sSub>
            <m:e>
              <m:r>
                <m:t>q</m:t>
              </m:r>
            </m:e>
            <m:sub>
              <m:r>
                <m:t>0</m:t>
              </m:r>
            </m:sub>
          </m:sSub>
          <m:d>
            <m:dPr>
              <m:begChr m:val="("/>
              <m:endChr m:val=")"/>
              <m:sepChr m:val=""/>
              <m:grow/>
            </m:dPr>
            <m:e>
              <m:r>
                <m:t>η</m:t>
              </m:r>
            </m:e>
          </m:d>
          <m:r>
            <m:rPr>
              <m:sty m:val="p"/>
            </m:rPr>
            <m:t>.</m:t>
          </m:r>
        </m:oMath>
      </m:oMathPara>
    </w:p>
    <w:p>
      <w:pPr>
        <w:pStyle w:val="FirstParagraph"/>
      </w:pPr>
      <w:r>
        <w:t xml:space="preserve">Under the alternative,</w:t>
      </w:r>
    </w:p>
    <w:p>
      <w:pPr>
        <w:pStyle w:val="BodyText"/>
      </w:pPr>
      <m:oMathPara>
        <m:oMathParaPr>
          <m:jc m:val="center"/>
        </m:oMathParaPr>
        <m:oMath>
          <m:sSub>
            <m:e>
              <m:r>
                <m:t>H</m:t>
              </m:r>
            </m:e>
            <m:sub>
              <m:r>
                <m:t>1</m:t>
              </m:r>
              <m:r>
                <m:rPr>
                  <m:sty m:val="p"/>
                </m:rPr>
                <m:t>,</m:t>
              </m:r>
              <m:r>
                <m:t>C</m:t>
              </m:r>
            </m:sub>
          </m:sSub>
          <m:r>
            <m:rPr>
              <m:sty m:val="p"/>
            </m:rPr>
            <m:t>:</m:t>
          </m:r>
          <m:r>
            <m:t> </m:t>
          </m:r>
          <m:sSup>
            <m:e>
              <m:r>
                <m:t>X</m:t>
              </m:r>
            </m:e>
            <m:sup>
              <m:d>
                <m:dPr>
                  <m:begChr m:val="("/>
                  <m:endChr m:val=")"/>
                  <m:sepChr m:val=""/>
                  <m:grow/>
                </m:dPr>
                <m:e>
                  <m:r>
                    <m:t>L</m:t>
                  </m:r>
                </m:e>
              </m:d>
            </m:sup>
          </m:sSup>
          <m:r>
            <m:rPr>
              <m:sty m:val="p"/>
            </m:rPr>
            <m:t>∼</m:t>
          </m:r>
          <m:sSub>
            <m:e>
              <m:r>
                <m:t>q</m:t>
              </m:r>
            </m:e>
            <m:sub>
              <m:r>
                <m:t>0</m:t>
              </m:r>
            </m:sub>
          </m:sSub>
          <m:d>
            <m:dPr>
              <m:begChr m:val="("/>
              <m:endChr m:val=")"/>
              <m:sepChr m:val=""/>
              <m:grow/>
            </m:dPr>
            <m:e>
              <m:r>
                <m:t>η</m:t>
              </m:r>
            </m:e>
          </m:d>
          <m:r>
            <m:rPr>
              <m:sty m:val="p"/>
            </m:rPr>
            <m:t>,</m:t>
          </m:r>
          <m:r>
            <m:t>  </m:t>
          </m:r>
          <m:sSup>
            <m:e>
              <m:r>
                <m:t>X</m:t>
              </m:r>
            </m:e>
            <m:sup>
              <m:d>
                <m:dPr>
                  <m:begChr m:val="("/>
                  <m:endChr m:val=")"/>
                  <m:sepChr m:val=""/>
                  <m:grow/>
                </m:dPr>
                <m:e>
                  <m:r>
                    <m:t>R</m:t>
                  </m:r>
                </m:e>
              </m:d>
            </m:sup>
          </m:sSup>
          <m:r>
            <m:rPr>
              <m:sty m:val="p"/>
            </m:rPr>
            <m:t>∼</m:t>
          </m:r>
          <m:sSub>
            <m:e>
              <m:r>
                <m:t>q</m:t>
              </m:r>
            </m:e>
            <m:sub>
              <m:r>
                <m:t>r</m:t>
              </m:r>
            </m:sub>
          </m:sSub>
          <m:d>
            <m:dPr>
              <m:begChr m:val="("/>
              <m:endChr m:val=")"/>
              <m:sepChr m:val=""/>
              <m:grow/>
            </m:dPr>
            <m:e>
              <m:r>
                <m:t>η</m:t>
              </m:r>
            </m:e>
          </m:d>
          <m:r>
            <m:rPr>
              <m:sty m:val="p"/>
            </m:rPr>
            <m:t>,</m:t>
          </m:r>
        </m:oMath>
      </m:oMathPara>
    </w:p>
    <w:p>
      <w:pPr>
        <w:pStyle w:val="FirstParagraph"/>
      </w:pPr>
      <w:r>
        <w:t xml:space="preserve">where the relative shift satisfies</w:t>
      </w:r>
    </w:p>
    <w:p>
      <w:pPr>
        <w:pStyle w:val="BodyText"/>
      </w:pPr>
      <m:oMathPara>
        <m:oMathParaPr>
          <m:jc m:val="center"/>
        </m:oMathParaPr>
        <m:oMath>
          <m:r>
            <m:t>r</m:t>
          </m:r>
          <m:r>
            <m:rPr>
              <m:sty m:val="p"/>
            </m:rPr>
            <m:t>∈</m:t>
          </m:r>
          <m:r>
            <m:rPr>
              <m:sty m:val="p"/>
            </m:rPr>
            <m:t>{</m:t>
          </m:r>
          <m:r>
            <m:t>1</m:t>
          </m:r>
          <m:r>
            <m:rPr>
              <m:sty m:val="p"/>
            </m:rPr>
            <m:t>,</m:t>
          </m:r>
          <m:r>
            <m:rPr>
              <m:sty m:val="p"/>
            </m:rPr>
            <m:t>…</m:t>
          </m:r>
          <m:r>
            <m:rPr>
              <m:sty m:val="p"/>
            </m:rPr>
            <m:t>,</m:t>
          </m:r>
          <m:r>
            <m:t>g</m:t>
          </m:r>
          <m:r>
            <m:rPr>
              <m:sty m:val="p"/>
            </m:rPr>
            <m:t>−</m:t>
          </m:r>
          <m:r>
            <m:t>1</m:t>
          </m:r>
          <m:r>
            <m:rPr>
              <m:sty m:val="p"/>
            </m:rPr>
            <m:t>}</m:t>
          </m:r>
          <m:r>
            <m:rPr>
              <m:sty m:val="p"/>
            </m:rPr>
            <m:t>.</m:t>
          </m:r>
        </m:oMath>
      </m:oMathPara>
    </w:p>
    <w:p>
      <w:pPr>
        <w:pStyle w:val="FirstParagraph"/>
      </w:pPr>
      <w:r>
        <w:t xml:space="preserve">The same continuous vector</w:t>
      </w:r>
      <w:r>
        <w:t xml:space="preserve"> </w:t>
      </w:r>
      <m:oMath>
        <m:r>
          <m:t>η</m:t>
        </m:r>
      </m:oMath>
      <w:r>
        <w:t xml:space="preserve"> </w:t>
      </w:r>
      <w:r>
        <w:t xml:space="preserve">appears on both sides. Therefore,</w:t>
      </w:r>
    </w:p>
    <w:p>
      <w:pPr>
        <w:pStyle w:val="BodyText"/>
      </w:pPr>
      <m:oMathPara>
        <m:oMathParaPr>
          <m:jc m:val="center"/>
        </m:oMathParaPr>
        <m:oMath>
          <m:borderBox>
            <m:e>
              <m:r>
                <m:t>Δ</m:t>
              </m:r>
              <m:sSub>
                <m:e>
                  <m:r>
                    <m:t>d</m:t>
                  </m:r>
                </m:e>
                <m:sub>
                  <m:r>
                    <m:t>C</m:t>
                  </m:r>
                </m:sub>
              </m:sSub>
              <m:r>
                <m:rPr>
                  <m:sty m:val="p"/>
                </m:rPr>
                <m:t>=</m:t>
              </m:r>
              <m:r>
                <m:t>0</m:t>
              </m:r>
              <m:r>
                <m:rPr>
                  <m:sty m:val="p"/>
                </m:rPr>
                <m:t>.</m:t>
              </m:r>
            </m:e>
          </m:borderBox>
        </m:oMath>
      </m:oMathPara>
    </w:p>
    <w:p>
      <w:pPr>
        <w:pStyle w:val="FirstParagraph"/>
      </w:pPr>
      <w:r>
        <w:t xml:space="preserve">The alternative introduces only the discrete relative shift. Under a uniform two-part label code, its cost is</w:t>
      </w:r>
      <w:r>
        <w:t xml:space="preserve"> </w:t>
      </w:r>
      <m:oMath>
        <m:r>
          <m:rPr>
            <m:sty m:val="p"/>
          </m:rPr>
          <m:t>log</m:t>
        </m:r>
        <m:d>
          <m:dPr>
            <m:begChr m:val="("/>
            <m:endChr m:val=")"/>
            <m:sepChr m:val=""/>
            <m:grow/>
          </m:dPr>
          <m:e>
            <m:r>
              <m:t>g</m:t>
            </m:r>
            <m:r>
              <m:rPr>
                <m:sty m:val="p"/>
              </m:rPr>
              <m:t>−</m:t>
            </m:r>
            <m:r>
              <m:t>1</m:t>
            </m:r>
          </m:e>
        </m:d>
      </m:oMath>
      <w:r>
        <w:t xml:space="preserve"> </w:t>
      </w:r>
      <w:r>
        <w:t xml:space="preserve">nats. For fixed</w:t>
      </w:r>
      <w:r>
        <w:t xml:space="preserve"> </w:t>
      </w:r>
      <m:oMath>
        <m:r>
          <m:t>g</m:t>
        </m:r>
      </m:oMath>
      <w:r>
        <w:t xml:space="preserve">, this is constant in</w:t>
      </w:r>
      <w:r>
        <w:t xml:space="preserve"> </w:t>
      </w:r>
      <m:oMath>
        <m:r>
          <m:t>L</m:t>
        </m:r>
      </m:oMath>
      <w:r>
        <w:t xml:space="preserve">.</w:t>
      </w:r>
    </w:p>
    <w:p>
      <w:pPr>
        <w:pStyle w:val="BodyText"/>
      </w:pPr>
      <w:r>
        <w:rPr>
          <w:b/>
          <w:bCs/>
        </w:rPr>
        <w:t xml:space="preserve">Table 1. Three levels of geometric constraint for a known boundary.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Alternative relation between segments</w:t>
            </w:r>
          </w:p>
        </w:tc>
        <w:tc>
          <w:tcPr/>
          <w:p>
            <w:pPr>
              <w:pStyle w:val="Compact"/>
              <w:jc w:val="right"/>
            </w:pPr>
            <m:oMath>
              <m:r>
                <m:t>Δ</m:t>
              </m:r>
              <m:r>
                <m:t>d</m:t>
              </m:r>
            </m:oMath>
          </w:p>
        </w:tc>
        <w:tc>
          <w:tcPr/>
          <w:p>
            <w:pPr>
              <w:pStyle w:val="Compact"/>
              <w:jc w:val="left"/>
            </w:pPr>
            <w:r>
              <w:t xml:space="preserve">Leading incremental penalty</w:t>
            </w:r>
          </w:p>
        </w:tc>
      </w:tr>
      <w:tr>
        <w:tc>
          <w:tcPr/>
          <w:p>
            <w:pPr>
              <w:pStyle w:val="Compact"/>
              <w:jc w:val="left"/>
            </w:pPr>
            <w:r>
              <w:t xml:space="preserve">A. Full independent</w:t>
            </w:r>
          </w:p>
        </w:tc>
        <w:tc>
          <w:tcPr/>
          <w:p>
            <w:pPr>
              <w:pStyle w:val="Compact"/>
              <w:jc w:val="left"/>
            </w:pPr>
            <w:r>
              <w:t xml:space="preserve">Arbitrary separate parameters</w:t>
            </w:r>
          </w:p>
        </w:tc>
        <w:tc>
          <w:tcPr/>
          <w:p>
            <w:pPr>
              <w:pStyle w:val="Compact"/>
              <w:jc w:val="right"/>
            </w:pPr>
            <m:oMath>
              <m:sSub>
                <m:e>
                  <m:r>
                    <m:t>d</m:t>
                  </m:r>
                </m:e>
                <m:sub>
                  <m:r>
                    <m:rPr>
                      <m:sty m:val="p"/>
                    </m:rPr>
                    <m:t>f</m:t>
                  </m:r>
                  <m:r>
                    <m:rPr>
                      <m:sty m:val="p"/>
                    </m:rPr>
                    <m:t>u</m:t>
                  </m:r>
                  <m:r>
                    <m:rPr>
                      <m:sty m:val="p"/>
                    </m:rPr>
                    <m:t>l</m:t>
                  </m:r>
                  <m:r>
                    <m:rPr>
                      <m:sty m:val="p"/>
                    </m:rPr>
                    <m:t>l</m:t>
                  </m:r>
                </m:sub>
              </m:sSub>
            </m:oMath>
          </w:p>
        </w:tc>
        <w:tc>
          <w:tcPr/>
          <w:p>
            <w:pPr>
              <w:pStyle w:val="Compact"/>
              <w:jc w:val="left"/>
            </w:pPr>
            <m:oMath>
              <m:f>
                <m:fPr>
                  <m:type m:val="bar"/>
                </m:fPr>
                <m:num>
                  <m:sSub>
                    <m:e>
                      <m:r>
                        <m:t>d</m:t>
                      </m:r>
                    </m:e>
                    <m:sub>
                      <m:r>
                        <m:rPr>
                          <m:sty m:val="p"/>
                        </m:rPr>
                        <m:t>f</m:t>
                      </m:r>
                      <m:r>
                        <m:rPr>
                          <m:sty m:val="p"/>
                        </m:rPr>
                        <m:t>u</m:t>
                      </m:r>
                      <m:r>
                        <m:rPr>
                          <m:sty m:val="p"/>
                        </m:rPr>
                        <m:t>l</m:t>
                      </m:r>
                      <m:r>
                        <m:rPr>
                          <m:sty m:val="p"/>
                        </m:rPr>
                        <m:t>l</m:t>
                      </m:r>
                    </m:sub>
                  </m:sSub>
                </m:num>
                <m:den>
                  <m:r>
                    <m:t>2</m:t>
                  </m:r>
                </m:den>
              </m:f>
              <m:r>
                <m:rPr>
                  <m:sty m:val="p"/>
                </m:rPr>
                <m:t>log</m:t>
              </m:r>
              <m:r>
                <m:t>L</m:t>
              </m:r>
              <m:r>
                <m:rPr>
                  <m:sty m:val="p"/>
                </m:rPr>
                <m:t>+</m:t>
              </m:r>
              <m:r>
                <m:t>O</m:t>
              </m:r>
              <m:d>
                <m:dPr>
                  <m:begChr m:val="("/>
                  <m:endChr m:val=")"/>
                  <m:sepChr m:val=""/>
                  <m:grow/>
                </m:dPr>
                <m:e>
                  <m:r>
                    <m:t>1</m:t>
                  </m:r>
                </m:e>
              </m:d>
            </m:oMath>
          </w:p>
        </w:tc>
      </w:tr>
      <w:tr>
        <w:tc>
          <w:tcPr/>
          <w:p>
            <w:pPr>
              <w:pStyle w:val="Compact"/>
              <w:jc w:val="left"/>
            </w:pPr>
            <w:r>
              <w:t xml:space="preserve">B. Independent fundamental</w:t>
            </w:r>
          </w:p>
        </w:tc>
        <w:tc>
          <w:tcPr/>
          <w:p>
            <w:pPr>
              <w:pStyle w:val="Compact"/>
              <w:jc w:val="left"/>
            </w:pPr>
            <w:r>
              <w:t xml:space="preserve">Separate parameters in</w:t>
            </w:r>
            <w:r>
              <w:t xml:space="preserve"> </w:t>
            </w:r>
            <m:oMath>
              <m:sSub>
                <m:e>
                  <m:r>
                    <m:t>V</m:t>
                  </m:r>
                </m:e>
                <m:sub>
                  <m:r>
                    <m:rPr>
                      <m:sty m:val="p"/>
                    </m:rPr>
                    <m:t>f</m:t>
                  </m:r>
                  <m:r>
                    <m:rPr>
                      <m:sty m:val="p"/>
                    </m:rPr>
                    <m:t>u</m:t>
                  </m:r>
                  <m:r>
                    <m:rPr>
                      <m:sty m:val="p"/>
                    </m:rPr>
                    <m:t>n</m:t>
                  </m:r>
                  <m:r>
                    <m:rPr>
                      <m:sty m:val="p"/>
                    </m:rPr>
                    <m:t>d</m:t>
                  </m:r>
                </m:sub>
              </m:sSub>
            </m:oMath>
          </w:p>
        </w:tc>
        <w:tc>
          <w:tcPr/>
          <w:p>
            <w:pPr>
              <w:pStyle w:val="Compact"/>
              <w:jc w:val="right"/>
            </w:pPr>
            <m:oMath>
              <m:sSub>
                <m:e>
                  <m:r>
                    <m:t>d</m:t>
                  </m:r>
                </m:e>
                <m:sub>
                  <m:r>
                    <m:rPr>
                      <m:sty m:val="p"/>
                    </m:rPr>
                    <m:t>f</m:t>
                  </m:r>
                  <m:r>
                    <m:rPr>
                      <m:sty m:val="p"/>
                    </m:rPr>
                    <m:t>u</m:t>
                  </m:r>
                  <m:r>
                    <m:rPr>
                      <m:sty m:val="p"/>
                    </m:rPr>
                    <m:t>n</m:t>
                  </m:r>
                  <m:r>
                    <m:rPr>
                      <m:sty m:val="p"/>
                    </m:rPr>
                    <m:t>d</m:t>
                  </m:r>
                </m:sub>
              </m:sSub>
            </m:oMath>
          </w:p>
        </w:tc>
        <w:tc>
          <w:tcPr/>
          <w:p>
            <w:pPr>
              <w:pStyle w:val="Compact"/>
              <w:jc w:val="left"/>
            </w:pPr>
            <m:oMath>
              <m:f>
                <m:fPr>
                  <m:type m:val="bar"/>
                </m:fPr>
                <m:num>
                  <m:sSub>
                    <m:e>
                      <m:r>
                        <m:t>d</m:t>
                      </m:r>
                    </m:e>
                    <m:sub>
                      <m:r>
                        <m:rPr>
                          <m:sty m:val="p"/>
                        </m:rPr>
                        <m:t>f</m:t>
                      </m:r>
                      <m:r>
                        <m:rPr>
                          <m:sty m:val="p"/>
                        </m:rPr>
                        <m:t>u</m:t>
                      </m:r>
                      <m:r>
                        <m:rPr>
                          <m:sty m:val="p"/>
                        </m:rPr>
                        <m:t>n</m:t>
                      </m:r>
                      <m:r>
                        <m:rPr>
                          <m:sty m:val="p"/>
                        </m:rPr>
                        <m:t>d</m:t>
                      </m:r>
                    </m:sub>
                  </m:sSub>
                </m:num>
                <m:den>
                  <m:r>
                    <m:t>2</m:t>
                  </m:r>
                </m:den>
              </m:f>
              <m:r>
                <m:rPr>
                  <m:sty m:val="p"/>
                </m:rPr>
                <m:t>log</m:t>
              </m:r>
              <m:r>
                <m:t>L</m:t>
              </m:r>
              <m:r>
                <m:rPr>
                  <m:sty m:val="p"/>
                </m:rPr>
                <m:t>+</m:t>
              </m:r>
              <m:r>
                <m:t>O</m:t>
              </m:r>
              <m:d>
                <m:dPr>
                  <m:begChr m:val="("/>
                  <m:endChr m:val=")"/>
                  <m:sepChr m:val=""/>
                  <m:grow/>
                </m:dPr>
                <m:e>
                  <m:r>
                    <m:t>1</m:t>
                  </m:r>
                </m:e>
              </m:d>
            </m:oMath>
          </w:p>
        </w:tc>
      </w:tr>
      <w:tr>
        <w:tc>
          <w:tcPr/>
          <w:p>
            <w:pPr>
              <w:pStyle w:val="Compact"/>
              <w:jc w:val="left"/>
            </w:pPr>
            <w:r>
              <w:t xml:space="preserve">C. Shared exact orbit</w:t>
            </w:r>
          </w:p>
        </w:tc>
        <w:tc>
          <w:tcPr/>
          <w:p>
            <w:pPr>
              <w:pStyle w:val="Compact"/>
              <w:jc w:val="left"/>
            </w:pPr>
            <w:r>
              <w:t xml:space="preserve">One shared state plus relative</w:t>
            </w:r>
            <w:r>
              <w:t xml:space="preserve"> </w:t>
            </w:r>
            <m:oMath>
              <m:r>
                <m:t>r</m:t>
              </m:r>
              <m:r>
                <m:rPr>
                  <m:sty m:val="p"/>
                </m:rPr>
                <m:t>∈</m:t>
              </m:r>
              <m:sSub>
                <m:e>
                  <m:r>
                    <m:t>C</m:t>
                  </m:r>
                </m:e>
                <m:sub>
                  <m:r>
                    <m:t>g</m:t>
                  </m:r>
                </m:sub>
              </m:sSub>
            </m:oMath>
          </w:p>
        </w:tc>
        <w:tc>
          <w:tcPr/>
          <w:p>
            <w:pPr>
              <w:pStyle w:val="Compact"/>
              <w:jc w:val="right"/>
            </w:pPr>
            <m:oMath>
              <m:r>
                <m:t>0</m:t>
              </m:r>
            </m:oMath>
          </w:p>
        </w:tc>
        <w:tc>
          <w:tcPr/>
          <w:p>
            <w:pPr>
              <w:pStyle w:val="Compact"/>
              <w:jc w:val="left"/>
            </w:pPr>
            <m:oMath>
              <m:r>
                <m:rPr>
                  <m:sty m:val="p"/>
                </m:rPr>
                <m:t>log</m:t>
              </m:r>
              <m:d>
                <m:dPr>
                  <m:begChr m:val="("/>
                  <m:endChr m:val=")"/>
                  <m:sepChr m:val=""/>
                  <m:grow/>
                </m:dPr>
                <m:e>
                  <m:r>
                    <m:t>g</m:t>
                  </m:r>
                  <m:r>
                    <m:rPr>
                      <m:sty m:val="p"/>
                    </m:rPr>
                    <m:t>−</m:t>
                  </m:r>
                  <m:r>
                    <m:t>1</m:t>
                  </m:r>
                </m:e>
              </m:d>
              <m:r>
                <m:rPr>
                  <m:sty m:val="p"/>
                </m:rPr>
                <m:t>+</m:t>
              </m:r>
              <m:r>
                <m:t>O</m:t>
              </m:r>
              <m:d>
                <m:dPr>
                  <m:begChr m:val="("/>
                  <m:endChr m:val=")"/>
                  <m:sepChr m:val=""/>
                  <m:grow/>
                </m:dPr>
                <m:e>
                  <m:r>
                    <m:t>1</m:t>
                  </m:r>
                </m:e>
              </m:d>
            </m:oMath>
          </w:p>
        </w:tc>
      </w:tr>
    </w:tbl>
    <w:bookmarkEnd w:id="28"/>
    <w:bookmarkEnd w:id="29"/>
    <w:bookmarkStart w:id="34" w:name="mdl-complexity-laws"/>
    <w:p>
      <w:pPr>
        <w:pStyle w:val="Heading1"/>
      </w:pPr>
      <w:r>
        <w:t xml:space="preserve">4. MDL complexity laws</w:t>
      </w:r>
    </w:p>
    <w:bookmarkStart w:id="30" w:name="regular-codelength-expansion"/>
    <w:p>
      <w:pPr>
        <w:pStyle w:val="Heading2"/>
      </w:pPr>
      <w:r>
        <w:t xml:space="preserve">4.1 Regular codelength expansion</w:t>
      </w:r>
    </w:p>
    <w:p>
      <w:pPr>
        <w:pStyle w:val="FirstParagraph"/>
      </w:pPr>
      <w:r>
        <w:t xml:space="preserve">For a regular</w:t>
      </w:r>
      <w:r>
        <w:t xml:space="preserve"> </w:t>
      </w:r>
      <m:oMath>
        <m:r>
          <m:t>d</m:t>
        </m:r>
      </m:oMath>
      <w:r>
        <w:t xml:space="preserve">-dimensional family fitted to</w:t>
      </w:r>
      <w:r>
        <w:t xml:space="preserve"> </w:t>
      </w:r>
      <m:oMath>
        <m:r>
          <m:t>N</m:t>
        </m:r>
      </m:oMath>
      <w:r>
        <w:t xml:space="preserve"> </w:t>
      </w:r>
      <w:r>
        <w:t xml:space="preserve">observations, BIC, regular Laplace marginal likelihood, and standard parametric-complexity expansions share the leading form [1–5]</w:t>
      </w:r>
    </w:p>
    <w:p>
      <w:pPr>
        <w:pStyle w:val="BodyText"/>
      </w:pPr>
      <m:oMathPara>
        <m:oMathParaPr>
          <m:jc m:val="center"/>
        </m:oMathParaPr>
        <m:oMath>
          <m:r>
            <m:rPr>
              <m:sty m:val="p"/>
            </m:rPr>
            <m:t>−</m:t>
          </m:r>
          <m:r>
            <m:rPr>
              <m:sty m:val="p"/>
            </m:rPr>
            <m:t>log</m:t>
          </m:r>
          <m:r>
            <m:t>p</m:t>
          </m:r>
          <m:d>
            <m:dPr>
              <m:begChr m:val="("/>
              <m:endChr m:val=")"/>
              <m:sepChr m:val=""/>
              <m:grow/>
            </m:dPr>
            <m:e>
              <m:sSup>
                <m:e>
                  <m:r>
                    <m:t>x</m:t>
                  </m:r>
                </m:e>
                <m:sup>
                  <m:r>
                    <m:t>N</m:t>
                  </m:r>
                </m:sup>
              </m:sSup>
            </m:e>
          </m:d>
          <m:r>
            <m:rPr>
              <m:sty m:val="p"/>
            </m:rPr>
            <m:t>=</m:t>
          </m:r>
          <m:r>
            <m:rPr>
              <m:sty m:val="p"/>
            </m:rPr>
            <m:t>−</m:t>
          </m:r>
          <m:sSub>
            <m:e>
              <m:r>
                <m:rPr>
                  <m:sty m:val="p"/>
                </m:rPr>
                <m:t>ℓ</m:t>
              </m:r>
            </m:e>
            <m:sub>
              <m:r>
                <m:t>N</m:t>
              </m:r>
            </m:sub>
          </m:sSub>
          <m:d>
            <m:dPr>
              <m:begChr m:val="("/>
              <m:endChr m:val=")"/>
              <m:sepChr m:val=""/>
              <m:grow/>
            </m:dPr>
            <m:e>
              <m:acc>
                <m:accPr>
                  <m:chr m:val="̂"/>
                </m:accPr>
                <m:e>
                  <m:r>
                    <m:t>θ</m:t>
                  </m:r>
                </m:e>
              </m:acc>
            </m:e>
          </m:d>
          <m:r>
            <m:rPr>
              <m:sty m:val="p"/>
            </m:rPr>
            <m:t>+</m:t>
          </m:r>
          <m:f>
            <m:fPr>
              <m:type m:val="bar"/>
            </m:fPr>
            <m:num>
              <m:r>
                <m:t>d</m:t>
              </m:r>
            </m:num>
            <m:den>
              <m:r>
                <m:t>2</m:t>
              </m:r>
            </m:den>
          </m:f>
          <m:r>
            <m:rPr>
              <m:sty m:val="p"/>
            </m:rPr>
            <m:t>log</m:t>
          </m:r>
          <m:r>
            <m:t>N</m:t>
          </m:r>
          <m:r>
            <m:rPr>
              <m:sty m:val="p"/>
            </m:rPr>
            <m:t>+</m:t>
          </m:r>
          <m:r>
            <m:t>O</m:t>
          </m:r>
          <m:d>
            <m:dPr>
              <m:begChr m:val="("/>
              <m:endChr m:val=")"/>
              <m:sepChr m:val=""/>
              <m:grow/>
            </m:dPr>
            <m:e>
              <m:r>
                <m:t>1</m:t>
              </m:r>
            </m:e>
          </m:d>
          <m:r>
            <m:rPr>
              <m:sty m:val="p"/>
            </m:rPr>
            <m:t>.</m:t>
          </m:r>
        </m:oMath>
      </m:oMathPara>
    </w:p>
    <w:p>
      <w:pPr>
        <w:pStyle w:val="FirstParagraph"/>
      </w:pPr>
      <w:r>
        <w:t xml:space="preserve">The</w:t>
      </w:r>
      <w:r>
        <w:t xml:space="preserve"> </w:t>
      </w:r>
      <m:oMath>
        <m:r>
          <m:t>O</m:t>
        </m:r>
        <m:d>
          <m:dPr>
            <m:begChr m:val="("/>
            <m:endChr m:val=")"/>
            <m:sepChr m:val=""/>
            <m:grow/>
          </m:dPr>
          <m:e>
            <m:r>
              <m:t>1</m:t>
            </m:r>
          </m:e>
        </m:d>
      </m:oMath>
      <w:r>
        <w:t xml:space="preserve"> </w:t>
      </w:r>
      <w:r>
        <w:t xml:space="preserve">term depends on the coding convention, prior, Fisher information, and parameter-space geometry.</w:t>
      </w:r>
    </w:p>
    <w:bookmarkEnd w:id="30"/>
    <w:bookmarkStart w:id="31" w:name="exact-split-increment"/>
    <w:p>
      <w:pPr>
        <w:pStyle w:val="Heading2"/>
      </w:pPr>
      <w:r>
        <w:t xml:space="preserve">4.2 Exact split increment</w:t>
      </w:r>
    </w:p>
    <w:p>
      <w:pPr>
        <w:pStyle w:val="FirstParagraph"/>
      </w:pPr>
      <w:r>
        <w:t xml:space="preserve">For a known split, the incremental regular complexity produced by replacing one</w:t>
      </w:r>
      <w:r>
        <w:t xml:space="preserve"> </w:t>
      </w:r>
      <m:oMath>
        <m:r>
          <m:t>d</m:t>
        </m:r>
      </m:oMath>
      <w:r>
        <w:t xml:space="preserve">-dimensional fit with two is</w:t>
      </w:r>
    </w:p>
    <w:p>
      <w:pPr>
        <w:pStyle w:val="BodyText"/>
      </w:pPr>
      <m:oMathPara>
        <m:oMathParaPr>
          <m:jc m:val="center"/>
        </m:oMathParaPr>
        <m:oMath>
          <m:sSub>
            <m:e>
              <m:r>
                <m:rPr>
                  <m:sty m:val="p"/>
                </m:rPr>
                <m:t>pen</m:t>
              </m:r>
            </m:e>
            <m:sub>
              <m:r>
                <m:rPr>
                  <m:sty m:val="p"/>
                </m:rPr>
                <m:t>s</m:t>
              </m:r>
              <m:r>
                <m:rPr>
                  <m:sty m:val="p"/>
                </m:rPr>
                <m:t>p</m:t>
              </m:r>
              <m:r>
                <m:rPr>
                  <m:sty m:val="p"/>
                </m:rPr>
                <m:t>l</m:t>
              </m:r>
              <m:r>
                <m:rPr>
                  <m:sty m:val="p"/>
                </m:rPr>
                <m:t>i</m:t>
              </m:r>
              <m:r>
                <m:rPr>
                  <m:sty m:val="p"/>
                </m:rPr>
                <m:t>t</m:t>
              </m:r>
            </m:sub>
          </m:sSub>
          <m:d>
            <m:dPr>
              <m:begChr m:val="("/>
              <m:endChr m:val=")"/>
              <m:sepChr m:val=""/>
              <m:grow/>
            </m:dPr>
            <m:e>
              <m:r>
                <m:t>d</m:t>
              </m:r>
              <m:r>
                <m:rPr>
                  <m:sty m:val="p"/>
                </m:rPr>
                <m:t>;</m:t>
              </m:r>
              <m:sSub>
                <m:e>
                  <m:r>
                    <m:t>L</m:t>
                  </m:r>
                </m:e>
                <m:sub>
                  <m:r>
                    <m:t>1</m:t>
                  </m:r>
                </m:sub>
              </m:sSub>
              <m:r>
                <m:rPr>
                  <m:sty m:val="p"/>
                </m:rPr>
                <m:t>,</m:t>
              </m:r>
              <m:sSub>
                <m:e>
                  <m:r>
                    <m:t>L</m:t>
                  </m:r>
                </m:e>
                <m:sub>
                  <m:r>
                    <m:t>2</m:t>
                  </m:r>
                </m:sub>
              </m:sSub>
            </m:e>
          </m:d>
          <m:r>
            <m:rPr>
              <m:sty m:val="p"/>
            </m:rPr>
            <m:t>=</m:t>
          </m:r>
          <m:f>
            <m:fPr>
              <m:type m:val="bar"/>
            </m:fPr>
            <m:num>
              <m:r>
                <m:t>d</m:t>
              </m:r>
            </m:num>
            <m:den>
              <m:r>
                <m:t>2</m:t>
              </m:r>
            </m:den>
          </m:f>
          <m:d>
            <m:dPr>
              <m:begChr m:val="["/>
              <m:endChr m:val="]"/>
              <m:sepChr m:val=""/>
              <m:grow/>
            </m:dPr>
            <m:e>
              <m:r>
                <m:rPr>
                  <m:sty m:val="p"/>
                </m:rPr>
                <m:t>log</m:t>
              </m:r>
              <m:sSub>
                <m:e>
                  <m:r>
                    <m:t>L</m:t>
                  </m:r>
                </m:e>
                <m:sub>
                  <m:r>
                    <m:t>1</m:t>
                  </m:r>
                </m:sub>
              </m:sSub>
              <m:r>
                <m:rPr>
                  <m:sty m:val="p"/>
                </m:rPr>
                <m:t>+</m:t>
              </m:r>
              <m:r>
                <m:rPr>
                  <m:sty m:val="p"/>
                </m:rPr>
                <m:t>log</m:t>
              </m:r>
              <m:sSub>
                <m:e>
                  <m:r>
                    <m:t>L</m:t>
                  </m:r>
                </m:e>
                <m:sub>
                  <m:r>
                    <m:t>2</m:t>
                  </m:r>
                </m:sub>
              </m:sSub>
              <m:r>
                <m:rPr>
                  <m:sty m:val="p"/>
                </m:rPr>
                <m:t>−</m:t>
              </m:r>
              <m:r>
                <m:rPr>
                  <m:sty m:val="p"/>
                </m:rPr>
                <m:t>log</m:t>
              </m:r>
              <m:d>
                <m:dPr>
                  <m:begChr m:val="("/>
                  <m:endChr m:val=")"/>
                  <m:sepChr m:val=""/>
                  <m:grow/>
                </m:dPr>
                <m:e>
                  <m:sSub>
                    <m:e>
                      <m:r>
                        <m:t>L</m:t>
                      </m:r>
                    </m:e>
                    <m:sub>
                      <m:r>
                        <m:t>1</m:t>
                      </m:r>
                    </m:sub>
                  </m:sSub>
                  <m:r>
                    <m:rPr>
                      <m:sty m:val="p"/>
                    </m:rPr>
                    <m:t>+</m:t>
                  </m:r>
                  <m:sSub>
                    <m:e>
                      <m:r>
                        <m:t>L</m:t>
                      </m:r>
                    </m:e>
                    <m:sub>
                      <m:r>
                        <m:t>2</m:t>
                      </m:r>
                    </m:sub>
                  </m:sSub>
                </m:e>
              </m:d>
            </m:e>
          </m:d>
          <m:r>
            <m:rPr>
              <m:sty m:val="p"/>
            </m:rPr>
            <m:t>.</m:t>
          </m:r>
        </m:oMath>
      </m:oMathPara>
    </w:p>
    <w:p>
      <w:pPr>
        <w:pStyle w:val="FirstParagraph"/>
      </w:pPr>
      <w:r>
        <w:t xml:space="preserve">When</w:t>
      </w:r>
      <w:r>
        <w:t xml:space="preserve"> </w:t>
      </w:r>
      <m:oMath>
        <m:sSub>
          <m:e>
            <m:r>
              <m:t>L</m:t>
            </m:r>
          </m:e>
          <m:sub>
            <m:r>
              <m:t>1</m:t>
            </m:r>
          </m:sub>
        </m:sSub>
        <m:r>
          <m:rPr>
            <m:sty m:val="p"/>
          </m:rPr>
          <m:t>/</m:t>
        </m:r>
        <m:r>
          <m:t>L</m:t>
        </m:r>
        <m:r>
          <m:rPr>
            <m:sty m:val="p"/>
          </m:rPr>
          <m:t>→</m:t>
        </m:r>
        <m:r>
          <m:t>ρ</m:t>
        </m:r>
      </m:oMath>
      <w:r>
        <w:t xml:space="preserve">,</w:t>
      </w:r>
    </w:p>
    <w:p>
      <w:pPr>
        <w:pStyle w:val="BodyText"/>
      </w:pPr>
      <m:oMathPara>
        <m:oMathParaPr>
          <m:jc m:val="center"/>
        </m:oMathParaPr>
        <m:oMath>
          <m:sSub>
            <m:e>
              <m:r>
                <m:rPr>
                  <m:sty m:val="p"/>
                </m:rPr>
                <m:t>pen</m:t>
              </m:r>
            </m:e>
            <m:sub>
              <m:r>
                <m:rPr>
                  <m:sty m:val="p"/>
                </m:rPr>
                <m:t>s</m:t>
              </m:r>
              <m:r>
                <m:rPr>
                  <m:sty m:val="p"/>
                </m:rPr>
                <m:t>p</m:t>
              </m:r>
              <m:r>
                <m:rPr>
                  <m:sty m:val="p"/>
                </m:rPr>
                <m:t>l</m:t>
              </m:r>
              <m:r>
                <m:rPr>
                  <m:sty m:val="p"/>
                </m:rPr>
                <m:t>i</m:t>
              </m:r>
              <m:r>
                <m:rPr>
                  <m:sty m:val="p"/>
                </m:rPr>
                <m:t>t</m:t>
              </m:r>
            </m:sub>
          </m:sSub>
          <m:r>
            <m:rPr>
              <m:sty m:val="p"/>
            </m:rPr>
            <m:t>=</m:t>
          </m:r>
          <m:f>
            <m:fPr>
              <m:type m:val="bar"/>
            </m:fPr>
            <m:num>
              <m:r>
                <m:t>d</m:t>
              </m:r>
            </m:num>
            <m:den>
              <m:r>
                <m:t>2</m:t>
              </m:r>
            </m:den>
          </m:f>
          <m:r>
            <m:rPr>
              <m:sty m:val="p"/>
            </m:rPr>
            <m:t>log</m:t>
          </m:r>
          <m:r>
            <m:t>L</m:t>
          </m:r>
          <m:r>
            <m:rPr>
              <m:sty m:val="p"/>
            </m:rPr>
            <m:t>+</m:t>
          </m:r>
          <m:f>
            <m:fPr>
              <m:type m:val="bar"/>
            </m:fPr>
            <m:num>
              <m:r>
                <m:t>d</m:t>
              </m:r>
            </m:num>
            <m:den>
              <m:r>
                <m:t>2</m:t>
              </m:r>
            </m:den>
          </m:f>
          <m:r>
            <m:rPr>
              <m:sty m:val="p"/>
            </m:rPr>
            <m:t>log</m:t>
          </m:r>
          <m:r>
            <m:rPr>
              <m:sty m:val="p"/>
            </m:rPr>
            <m:t>{</m:t>
          </m:r>
          <m:r>
            <m:t>ρ</m:t>
          </m:r>
          <m:d>
            <m:dPr>
              <m:begChr m:val="("/>
              <m:endChr m:val=")"/>
              <m:sepChr m:val=""/>
              <m:grow/>
            </m:dPr>
            <m:e>
              <m:r>
                <m:t>1</m:t>
              </m:r>
              <m:r>
                <m:rPr>
                  <m:sty m:val="p"/>
                </m:rPr>
                <m:t>−</m:t>
              </m:r>
              <m:r>
                <m:t>ρ</m:t>
              </m:r>
            </m:e>
          </m:d>
          <m:r>
            <m:rPr>
              <m:sty m:val="p"/>
            </m:rPr>
            <m:t>}</m:t>
          </m:r>
          <m:r>
            <m:rPr>
              <m:sty m:val="p"/>
            </m:rPr>
            <m:t>+</m:t>
          </m:r>
          <m:r>
            <m:t>O</m:t>
          </m:r>
          <m:d>
            <m:dPr>
              <m:begChr m:val="("/>
              <m:endChr m:val=")"/>
              <m:sepChr m:val=""/>
              <m:grow/>
            </m:dPr>
            <m:e>
              <m:r>
                <m:t>1</m:t>
              </m:r>
            </m:e>
          </m:d>
          <m:r>
            <m:rPr>
              <m:sty m:val="p"/>
            </m:rPr>
            <m:t>.</m:t>
          </m:r>
        </m:oMath>
      </m:oMathPara>
    </w:p>
    <w:p>
      <w:pPr>
        <w:pStyle w:val="FirstParagraph"/>
      </w:pPr>
      <w:r>
        <w:t xml:space="preserve">Thus the coefficient of</w:t>
      </w:r>
      <w:r>
        <w:t xml:space="preserve"> </w:t>
      </w:r>
      <m:oMath>
        <m:r>
          <m:rPr>
            <m:sty m:val="p"/>
          </m:rPr>
          <m:t>log</m:t>
        </m:r>
        <m:r>
          <m:t>L</m:t>
        </m:r>
      </m:oMath>
      <w:r>
        <w:t xml:space="preserve"> </w:t>
      </w:r>
      <w:r>
        <w:t xml:space="preserve">is</w:t>
      </w:r>
      <w:r>
        <w:t xml:space="preserve"> </w:t>
      </w:r>
      <m:oMath>
        <m:r>
          <m:t>d</m:t>
        </m:r>
        <m:r>
          <m:rPr>
            <m:sty m:val="p"/>
          </m:rPr>
          <m:t>/</m:t>
        </m:r>
        <m:r>
          <m:t>2</m:t>
        </m:r>
      </m:oMath>
      <w:r>
        <w:t xml:space="preserve">, while the split fraction affects only the bounded term.</w:t>
      </w:r>
    </w:p>
    <w:p>
      <w:pPr>
        <w:pStyle w:val="BodyText"/>
      </w:pPr>
      <w:r>
        <w:t xml:space="preserve">For the three models,</w:t>
      </w:r>
    </w:p>
    <w:p>
      <w:pPr>
        <w:pStyle w:val="BodyText"/>
      </w:pPr>
      <m:oMathPara>
        <m:oMathParaPr>
          <m:jc m:val="center"/>
        </m:oMathParaPr>
        <m:oMath>
          <m:sSub>
            <m:e>
              <m:r>
                <m:rPr>
                  <m:sty m:val="p"/>
                </m:rPr>
                <m:t>pen</m:t>
              </m:r>
            </m:e>
            <m:sub>
              <m:r>
                <m:t>A</m:t>
              </m:r>
            </m:sub>
          </m:sSub>
          <m:r>
            <m:rPr>
              <m:sty m:val="p"/>
            </m:rPr>
            <m:t>=</m:t>
          </m:r>
          <m:f>
            <m:fPr>
              <m:type m:val="bar"/>
            </m:fPr>
            <m:num>
              <m:sSub>
                <m:e>
                  <m:r>
                    <m:t>d</m:t>
                  </m:r>
                </m:e>
                <m:sub>
                  <m:r>
                    <m:rPr>
                      <m:sty m:val="p"/>
                    </m:rPr>
                    <m:t>f</m:t>
                  </m:r>
                  <m:r>
                    <m:rPr>
                      <m:sty m:val="p"/>
                    </m:rPr>
                    <m:t>u</m:t>
                  </m:r>
                  <m:r>
                    <m:rPr>
                      <m:sty m:val="p"/>
                    </m:rPr>
                    <m:t>l</m:t>
                  </m:r>
                  <m:r>
                    <m:rPr>
                      <m:sty m:val="p"/>
                    </m:rPr>
                    <m:t>l</m:t>
                  </m:r>
                </m:sub>
              </m:sSub>
            </m:num>
            <m:den>
              <m:r>
                <m:t>2</m:t>
              </m:r>
            </m:den>
          </m:f>
          <m:r>
            <m:rPr>
              <m:sty m:val="p"/>
            </m:rPr>
            <m:t>log</m:t>
          </m:r>
          <m:r>
            <m:t>L</m:t>
          </m:r>
          <m:r>
            <m:rPr>
              <m:sty m:val="p"/>
            </m:rPr>
            <m:t>+</m:t>
          </m:r>
          <m:r>
            <m:t>O</m:t>
          </m:r>
          <m:d>
            <m:dPr>
              <m:begChr m:val="("/>
              <m:endChr m:val=")"/>
              <m:sepChr m:val=""/>
              <m:grow/>
            </m:dPr>
            <m:e>
              <m:r>
                <m:t>1</m:t>
              </m:r>
            </m:e>
          </m:d>
          <m:r>
            <m:rPr>
              <m:sty m:val="p"/>
            </m:rPr>
            <m:t>,</m:t>
          </m:r>
        </m:oMath>
      </m:oMathPara>
    </w:p>
    <w:p>
      <w:pPr>
        <w:pStyle w:val="FirstParagraph"/>
      </w:pPr>
      <m:oMathPara>
        <m:oMathParaPr>
          <m:jc m:val="center"/>
        </m:oMathParaPr>
        <m:oMath>
          <m:sSub>
            <m:e>
              <m:r>
                <m:rPr>
                  <m:sty m:val="p"/>
                </m:rPr>
                <m:t>pen</m:t>
              </m:r>
            </m:e>
            <m:sub>
              <m:r>
                <m:t>B</m:t>
              </m:r>
            </m:sub>
          </m:sSub>
          <m:r>
            <m:rPr>
              <m:sty m:val="p"/>
            </m:rPr>
            <m:t>=</m:t>
          </m:r>
          <m:f>
            <m:fPr>
              <m:type m:val="bar"/>
            </m:fPr>
            <m:num>
              <m:sSub>
                <m:e>
                  <m:r>
                    <m:t>d</m:t>
                  </m:r>
                </m:e>
                <m:sub>
                  <m:r>
                    <m:rPr>
                      <m:sty m:val="p"/>
                    </m:rPr>
                    <m:t>f</m:t>
                  </m:r>
                  <m:r>
                    <m:rPr>
                      <m:sty m:val="p"/>
                    </m:rPr>
                    <m:t>u</m:t>
                  </m:r>
                  <m:r>
                    <m:rPr>
                      <m:sty m:val="p"/>
                    </m:rPr>
                    <m:t>n</m:t>
                  </m:r>
                  <m:r>
                    <m:rPr>
                      <m:sty m:val="p"/>
                    </m:rPr>
                    <m:t>d</m:t>
                  </m:r>
                </m:sub>
              </m:sSub>
            </m:num>
            <m:den>
              <m:r>
                <m:t>2</m:t>
              </m:r>
            </m:den>
          </m:f>
          <m:r>
            <m:rPr>
              <m:sty m:val="p"/>
            </m:rPr>
            <m:t>log</m:t>
          </m:r>
          <m:r>
            <m:t>L</m:t>
          </m:r>
          <m:r>
            <m:rPr>
              <m:sty m:val="p"/>
            </m:rPr>
            <m:t>+</m:t>
          </m:r>
          <m:r>
            <m:t>O</m:t>
          </m:r>
          <m:d>
            <m:dPr>
              <m:begChr m:val="("/>
              <m:endChr m:val=")"/>
              <m:sepChr m:val=""/>
              <m:grow/>
            </m:dPr>
            <m:e>
              <m:r>
                <m:t>1</m:t>
              </m:r>
            </m:e>
          </m:d>
          <m:r>
            <m:rPr>
              <m:sty m:val="p"/>
            </m:rPr>
            <m:t>,</m:t>
          </m:r>
        </m:oMath>
      </m:oMathPara>
    </w:p>
    <w:p>
      <w:pPr>
        <w:pStyle w:val="FirstParagraph"/>
      </w:pPr>
      <w:r>
        <w:t xml:space="preserve">and</w:t>
      </w:r>
    </w:p>
    <w:p>
      <w:pPr>
        <w:pStyle w:val="BodyText"/>
      </w:pPr>
      <m:oMathPara>
        <m:oMathParaPr>
          <m:jc m:val="center"/>
        </m:oMathParaPr>
        <m:oMath>
          <m:sSub>
            <m:e>
              <m:r>
                <m:rPr>
                  <m:sty m:val="p"/>
                </m:rPr>
                <m:t>pen</m:t>
              </m:r>
            </m:e>
            <m:sub>
              <m:r>
                <m:t>C</m:t>
              </m:r>
            </m:sub>
          </m:sSub>
          <m:r>
            <m:rPr>
              <m:sty m:val="p"/>
            </m:rPr>
            <m:t>=</m:t>
          </m:r>
          <m:r>
            <m:rPr>
              <m:sty m:val="p"/>
            </m:rPr>
            <m:t>log</m:t>
          </m:r>
          <m:d>
            <m:dPr>
              <m:begChr m:val="("/>
              <m:endChr m:val=")"/>
              <m:sepChr m:val=""/>
              <m:grow/>
            </m:dPr>
            <m:e>
              <m:r>
                <m:t>g</m:t>
              </m:r>
              <m:r>
                <m:rPr>
                  <m:sty m:val="p"/>
                </m:rPr>
                <m:t>−</m:t>
              </m:r>
              <m:r>
                <m:t>1</m:t>
              </m:r>
            </m:e>
          </m:d>
          <m:r>
            <m:rPr>
              <m:sty m:val="p"/>
            </m:rPr>
            <m:t>+</m:t>
          </m:r>
          <m:r>
            <m:t>O</m:t>
          </m:r>
          <m:d>
            <m:dPr>
              <m:begChr m:val="("/>
              <m:endChr m:val=")"/>
              <m:sepChr m:val=""/>
              <m:grow/>
            </m:dPr>
            <m:e>
              <m:r>
                <m:t>1</m:t>
              </m:r>
            </m:e>
          </m:d>
          <m:r>
            <m:rPr>
              <m:sty m:val="p"/>
            </m:rPr>
            <m:t>.</m:t>
          </m:r>
        </m:oMath>
      </m:oMathPara>
    </w:p>
    <w:bookmarkEnd w:id="31"/>
    <w:bookmarkStart w:id="32" w:name="unknown-boundaries"/>
    <w:p>
      <w:pPr>
        <w:pStyle w:val="Heading2"/>
      </w:pPr>
      <w:r>
        <w:t xml:space="preserve">4.3 Unknown boundaries</w:t>
      </w:r>
    </w:p>
    <w:p>
      <w:pPr>
        <w:pStyle w:val="FirstParagraph"/>
      </w:pPr>
      <w:r>
        <w:t xml:space="preserve">If the boundary is unknown, a detector must encode or search over approximately</w:t>
      </w:r>
      <w:r>
        <w:t xml:space="preserve"> </w:t>
      </w:r>
      <m:oMath>
        <m:r>
          <m:t>L</m:t>
        </m:r>
        <m:r>
          <m:rPr>
            <m:sty m:val="p"/>
          </m:rPr>
          <m:t>−</m:t>
        </m:r>
        <m:r>
          <m:t>1</m:t>
        </m:r>
      </m:oMath>
      <w:r>
        <w:t xml:space="preserve"> </w:t>
      </w:r>
      <w:r>
        <w:t xml:space="preserve">candidate locations. A simple two-part location code adds</w:t>
      </w:r>
    </w:p>
    <w:p>
      <w:pPr>
        <w:pStyle w:val="BodyText"/>
      </w:pPr>
      <m:oMathPara>
        <m:oMathParaPr>
          <m:jc m:val="center"/>
        </m:oMathParaPr>
        <m:oMath>
          <m:r>
            <m:rPr>
              <m:sty m:val="p"/>
            </m:rPr>
            <m:t>log</m:t>
          </m:r>
          <m:d>
            <m:dPr>
              <m:begChr m:val="("/>
              <m:endChr m:val=")"/>
              <m:sepChr m:val=""/>
              <m:grow/>
            </m:dPr>
            <m:e>
              <m:r>
                <m:t>L</m:t>
              </m:r>
              <m:r>
                <m:rPr>
                  <m:sty m:val="p"/>
                </m:rPr>
                <m:t>−</m:t>
              </m:r>
              <m:r>
                <m:t>1</m:t>
              </m:r>
            </m:e>
          </m:d>
          <m:r>
            <m:rPr>
              <m:sty m:val="p"/>
            </m:rPr>
            <m:t>=</m:t>
          </m:r>
          <m:r>
            <m:rPr>
              <m:sty m:val="p"/>
            </m:rPr>
            <m:t>log</m:t>
          </m:r>
          <m:r>
            <m:t>L</m:t>
          </m:r>
          <m:r>
            <m:rPr>
              <m:sty m:val="p"/>
            </m:rPr>
            <m:t>+</m:t>
          </m:r>
          <m:r>
            <m:t>O</m:t>
          </m:r>
          <m:d>
            <m:dPr>
              <m:begChr m:val="("/>
              <m:endChr m:val=")"/>
              <m:sepChr m:val=""/>
              <m:grow/>
            </m:dPr>
            <m:e>
              <m:r>
                <m:t>1</m:t>
              </m:r>
            </m:e>
          </m:d>
        </m:oMath>
      </m:oMathPara>
    </w:p>
    <w:p>
      <w:pPr>
        <w:pStyle w:val="FirstParagraph"/>
      </w:pPr>
      <w:r>
        <w:t xml:space="preserve">to every model. The corresponding leading coefficients become</w:t>
      </w:r>
    </w:p>
    <w:p>
      <w:pPr>
        <w:pStyle w:val="BodyText"/>
      </w:pPr>
      <m:oMathPara>
        <m:oMathParaPr>
          <m:jc m:val="center"/>
        </m:oMathParaPr>
        <m:oMath>
          <m:f>
            <m:fPr>
              <m:type m:val="bar"/>
            </m:fPr>
            <m:num>
              <m:sSub>
                <m:e>
                  <m:r>
                    <m:t>d</m:t>
                  </m:r>
                </m:e>
                <m:sub>
                  <m:r>
                    <m:rPr>
                      <m:sty m:val="p"/>
                    </m:rPr>
                    <m:t>f</m:t>
                  </m:r>
                  <m:r>
                    <m:rPr>
                      <m:sty m:val="p"/>
                    </m:rPr>
                    <m:t>u</m:t>
                  </m:r>
                  <m:r>
                    <m:rPr>
                      <m:sty m:val="p"/>
                    </m:rPr>
                    <m:t>l</m:t>
                  </m:r>
                  <m:r>
                    <m:rPr>
                      <m:sty m:val="p"/>
                    </m:rPr>
                    <m:t>l</m:t>
                  </m:r>
                </m:sub>
              </m:sSub>
            </m:num>
            <m:den>
              <m:r>
                <m:t>2</m:t>
              </m:r>
            </m:den>
          </m:f>
          <m:r>
            <m:rPr>
              <m:sty m:val="p"/>
            </m:rPr>
            <m:t>+</m:t>
          </m:r>
          <m:r>
            <m:t>1</m:t>
          </m:r>
          <m:r>
            <m:rPr>
              <m:sty m:val="p"/>
            </m:rPr>
            <m:t>,</m:t>
          </m:r>
          <m:r>
            <m:t>  </m:t>
          </m:r>
          <m:f>
            <m:fPr>
              <m:type m:val="bar"/>
            </m:fPr>
            <m:num>
              <m:sSub>
                <m:e>
                  <m:r>
                    <m:t>d</m:t>
                  </m:r>
                </m:e>
                <m:sub>
                  <m:r>
                    <m:rPr>
                      <m:sty m:val="p"/>
                    </m:rPr>
                    <m:t>f</m:t>
                  </m:r>
                  <m:r>
                    <m:rPr>
                      <m:sty m:val="p"/>
                    </m:rPr>
                    <m:t>u</m:t>
                  </m:r>
                  <m:r>
                    <m:rPr>
                      <m:sty m:val="p"/>
                    </m:rPr>
                    <m:t>n</m:t>
                  </m:r>
                  <m:r>
                    <m:rPr>
                      <m:sty m:val="p"/>
                    </m:rPr>
                    <m:t>d</m:t>
                  </m:r>
                </m:sub>
              </m:sSub>
            </m:num>
            <m:den>
              <m:r>
                <m:t>2</m:t>
              </m:r>
            </m:den>
          </m:f>
          <m:r>
            <m:rPr>
              <m:sty m:val="p"/>
            </m:rPr>
            <m:t>+</m:t>
          </m:r>
          <m:r>
            <m:t>1</m:t>
          </m:r>
          <m:r>
            <m:rPr>
              <m:sty m:val="p"/>
            </m:rPr>
            <m:t>,</m:t>
          </m:r>
          <m:r>
            <m:t>  </m:t>
          </m:r>
          <m:r>
            <m:t>1</m:t>
          </m:r>
          <m:r>
            <m:rPr>
              <m:sty m:val="p"/>
            </m:rPr>
            <m:t>.</m:t>
          </m:r>
        </m:oMath>
      </m:oMathPara>
    </w:p>
    <w:p>
      <w:pPr>
        <w:pStyle w:val="FirstParagraph"/>
      </w:pPr>
      <w:r>
        <w:t xml:space="preserve">A location cost cannot be applied to only one detector in a known-boundary comparison. Doing so confounds changepoint multiplicity with model dimension.</w:t>
      </w:r>
    </w:p>
    <w:bookmarkEnd w:id="32"/>
    <w:bookmarkStart w:id="33" w:name="units"/>
    <w:p>
      <w:pPr>
        <w:pStyle w:val="Heading2"/>
      </w:pPr>
      <w:r>
        <w:t xml:space="preserve">4.4 Units</w:t>
      </w:r>
    </w:p>
    <w:p>
      <w:pPr>
        <w:pStyle w:val="FirstParagraph"/>
      </w:pPr>
      <w:r>
        <w:t xml:space="preserve">In bits, a regular penalty is</w:t>
      </w:r>
    </w:p>
    <w:p>
      <w:pPr>
        <w:pStyle w:val="BodyText"/>
      </w:pPr>
      <m:oMathPara>
        <m:oMathParaPr>
          <m:jc m:val="center"/>
        </m:oMathParaPr>
        <m:oMath>
          <m:f>
            <m:fPr>
              <m:type m:val="bar"/>
            </m:fPr>
            <m:num>
              <m:r>
                <m:t>Δ</m:t>
              </m:r>
              <m:r>
                <m:t>d</m:t>
              </m:r>
            </m:num>
            <m:den>
              <m:r>
                <m:t>2</m:t>
              </m:r>
            </m:den>
          </m:f>
          <m:sSub>
            <m:e>
              <m:r>
                <m:rPr>
                  <m:sty m:val="p"/>
                </m:rPr>
                <m:t>log</m:t>
              </m:r>
            </m:e>
            <m:sub>
              <m:r>
                <m:t>2</m:t>
              </m:r>
            </m:sub>
          </m:sSub>
          <m:r>
            <m:t>L</m:t>
          </m:r>
          <m:r>
            <m:rPr>
              <m:sty m:val="p"/>
            </m:rPr>
            <m:t>=</m:t>
          </m:r>
          <m:f>
            <m:fPr>
              <m:type m:val="bar"/>
            </m:fPr>
            <m:num>
              <m:r>
                <m:t>Δ</m:t>
              </m:r>
              <m:r>
                <m:t>d</m:t>
              </m:r>
            </m:num>
            <m:den>
              <m:r>
                <m:t>2</m:t>
              </m:r>
              <m:r>
                <m:rPr>
                  <m:sty m:val="p"/>
                </m:rPr>
                <m:t>ln</m:t>
              </m:r>
              <m:r>
                <m:t>2</m:t>
              </m:r>
            </m:den>
          </m:f>
          <m:r>
            <m:rPr>
              <m:sty m:val="p"/>
            </m:rPr>
            <m:t>ln</m:t>
          </m:r>
          <m:r>
            <m:t>L</m:t>
          </m:r>
          <m:r>
            <m:rPr>
              <m:sty m:val="p"/>
            </m:rPr>
            <m:t>.</m:t>
          </m:r>
        </m:oMath>
      </m:oMathPara>
    </w:p>
    <w:p>
      <w:pPr>
        <w:pStyle w:val="FirstParagraph"/>
      </w:pPr>
      <w:r>
        <w:t xml:space="preserve">The quantity</w:t>
      </w:r>
      <w:r>
        <w:t xml:space="preserve"> </w:t>
      </w:r>
      <m:oMath>
        <m:r>
          <m:t>Δ</m:t>
        </m:r>
        <m:r>
          <m:t>d</m:t>
        </m:r>
        <m:r>
          <m:rPr>
            <m:sty m:val="p"/>
          </m:rPr>
          <m:t>/</m:t>
        </m:r>
        <m:d>
          <m:dPr>
            <m:begChr m:val="("/>
            <m:endChr m:val=")"/>
            <m:sepChr m:val=""/>
            <m:grow/>
          </m:dPr>
          <m:e>
            <m:r>
              <m:t>2</m:t>
            </m:r>
            <m:r>
              <m:rPr>
                <m:sty m:val="p"/>
              </m:rPr>
              <m:t>ln</m:t>
            </m:r>
            <m:r>
              <m:t>2</m:t>
            </m:r>
          </m:e>
        </m:d>
      </m:oMath>
      <w:r>
        <w:t xml:space="preserve"> </w:t>
      </w:r>
      <w:r>
        <w:t xml:space="preserve">is therefore a coefficient multiplying</w:t>
      </w:r>
      <w:r>
        <w:t xml:space="preserve"> </w:t>
      </w:r>
      <m:oMath>
        <m:r>
          <m:rPr>
            <m:sty m:val="p"/>
          </m:rPr>
          <m:t>ln</m:t>
        </m:r>
        <m:r>
          <m:t>L</m:t>
        </m:r>
      </m:oMath>
      <w:r>
        <w:t xml:space="preserve"> </w:t>
      </w:r>
      <w:r>
        <w:t xml:space="preserve">after conversion to bits. It is not a fixed rate in bits per observation. The per-observation penalty,</w:t>
      </w:r>
    </w:p>
    <w:p>
      <w:pPr>
        <w:pStyle w:val="BodyText"/>
      </w:pPr>
      <m:oMathPara>
        <m:oMathParaPr>
          <m:jc m:val="center"/>
        </m:oMathParaPr>
        <m:oMath>
          <m:f>
            <m:fPr>
              <m:type m:val="bar"/>
            </m:fPr>
            <m:num>
              <m:r>
                <m:t>Δ</m:t>
              </m:r>
              <m:r>
                <m:t>d</m:t>
              </m:r>
            </m:num>
            <m:den>
              <m:r>
                <m:t>2</m:t>
              </m:r>
              <m:r>
                <m:t>L</m:t>
              </m:r>
            </m:den>
          </m:f>
          <m:sSub>
            <m:e>
              <m:r>
                <m:rPr>
                  <m:sty m:val="p"/>
                </m:rPr>
                <m:t>log</m:t>
              </m:r>
            </m:e>
            <m:sub>
              <m:r>
                <m:t>2</m:t>
              </m:r>
            </m:sub>
          </m:sSub>
          <m:r>
            <m:t>L</m:t>
          </m:r>
          <m:r>
            <m:rPr>
              <m:sty m:val="p"/>
            </m:rPr>
            <m:t>,</m:t>
          </m:r>
        </m:oMath>
      </m:oMathPara>
    </w:p>
    <w:p>
      <w:pPr>
        <w:pStyle w:val="FirstParagraph"/>
      </w:pPr>
      <w:r>
        <w:t xml:space="preserve">vanishes as</w:t>
      </w:r>
      <w:r>
        <w:t xml:space="preserve"> </w:t>
      </w:r>
      <m:oMath>
        <m:r>
          <m:t>L</m:t>
        </m:r>
        <m:r>
          <m:rPr>
            <m:sty m:val="p"/>
          </m:rPr>
          <m:t>→</m:t>
        </m:r>
        <m:r>
          <m:rPr>
            <m:sty m:val="p"/>
          </m:rPr>
          <m:t>∞</m:t>
        </m:r>
      </m:oMath>
      <w:r>
        <w:t xml:space="preserve">.</w:t>
      </w:r>
    </w:p>
    <w:bookmarkEnd w:id="33"/>
    <w:bookmarkEnd w:id="34"/>
    <w:bookmarkStart w:id="39" w:name="cyclic-fourier-geometry"/>
    <w:p>
      <w:pPr>
        <w:pStyle w:val="Heading1"/>
      </w:pPr>
      <w:r>
        <w:t xml:space="preserve">5. Cyclic Fourier geometry</w:t>
      </w:r>
    </w:p>
    <w:bookmarkStart w:id="35" w:name="X9ca933b56089c68289455735d379218203d6fa3"/>
    <w:p>
      <w:pPr>
        <w:pStyle w:val="Heading2"/>
      </w:pPr>
      <w:r>
        <w:t xml:space="preserve">5.1 Fisher metric at the uniform distribution</w:t>
      </w:r>
    </w:p>
    <w:p>
      <w:pPr>
        <w:pStyle w:val="FirstParagraph"/>
      </w:pPr>
      <w:r>
        <w:t xml:space="preserve">For the direct</w:t>
      </w:r>
      <w:r>
        <w:t xml:space="preserve"> </w:t>
      </w:r>
      <m:oMath>
        <m:r>
          <m:t>g</m:t>
        </m:r>
      </m:oMath>
      <w:r>
        <w:t xml:space="preserve">-category model, let</w:t>
      </w:r>
    </w:p>
    <w:p>
      <w:pPr>
        <w:pStyle w:val="BodyText"/>
      </w:pPr>
      <m:oMathPara>
        <m:oMathParaPr>
          <m:jc m:val="center"/>
        </m:oMathParaPr>
        <m:oMath>
          <m:sSub>
            <m:e>
              <m:r>
                <m:t>p</m:t>
              </m:r>
            </m:e>
            <m:sub>
              <m:r>
                <m:t>0</m:t>
              </m:r>
            </m:sub>
          </m:sSub>
          <m:r>
            <m:rPr>
              <m:sty m:val="p"/>
            </m:rPr>
            <m:t>=</m:t>
          </m:r>
          <m:d>
            <m:dPr>
              <m:begChr m:val="("/>
              <m:endChr m:val=")"/>
              <m:sepChr m:val=""/>
              <m:grow/>
            </m:dPr>
            <m:e>
              <m:f>
                <m:fPr>
                  <m:type m:val="bar"/>
                </m:fPr>
                <m:num>
                  <m:r>
                    <m:t>1</m:t>
                  </m:r>
                </m:num>
                <m:den>
                  <m:r>
                    <m:t>g</m:t>
                  </m:r>
                </m:den>
              </m:f>
              <m:r>
                <m:rPr>
                  <m:sty m:val="p"/>
                </m:rPr>
                <m:t>,</m:t>
              </m:r>
              <m:r>
                <m:rPr>
                  <m:sty m:val="p"/>
                </m:rPr>
                <m:t>…</m:t>
              </m:r>
              <m:r>
                <m:rPr>
                  <m:sty m:val="p"/>
                </m:rPr>
                <m:t>,</m:t>
              </m:r>
              <m:f>
                <m:fPr>
                  <m:type m:val="bar"/>
                </m:fPr>
                <m:num>
                  <m:r>
                    <m:t>1</m:t>
                  </m:r>
                </m:num>
                <m:den>
                  <m:r>
                    <m:t>g</m:t>
                  </m:r>
                </m:den>
              </m:f>
            </m:e>
          </m:d>
          <m:r>
            <m:rPr>
              <m:sty m:val="p"/>
            </m:rPr>
            <m:t>.</m:t>
          </m:r>
        </m:oMath>
      </m:oMathPara>
    </w:p>
    <w:p>
      <w:pPr>
        <w:pStyle w:val="FirstParagraph"/>
      </w:pPr>
      <w:r>
        <w:t xml:space="preserve">The tangent space is</w:t>
      </w:r>
    </w:p>
    <w:p>
      <w:pPr>
        <w:pStyle w:val="BodyText"/>
      </w:pPr>
      <m:oMathPara>
        <m:oMathParaPr>
          <m:jc m:val="center"/>
        </m:oMathParaPr>
        <m:oMath>
          <m:sSub>
            <m:e>
              <m:r>
                <m:t>T</m:t>
              </m:r>
            </m:e>
            <m:sub>
              <m:sSub>
                <m:e>
                  <m:r>
                    <m:t>p</m:t>
                  </m:r>
                </m:e>
                <m:sub>
                  <m:r>
                    <m:t>0</m:t>
                  </m:r>
                </m:sub>
              </m:sSub>
            </m:sub>
          </m:sSub>
          <m:sSub>
            <m:e>
              <m:r>
                <m:t>Δ</m:t>
              </m:r>
            </m:e>
            <m:sub>
              <m:r>
                <m:t>g</m:t>
              </m:r>
              <m:r>
                <m:rPr>
                  <m:sty m:val="p"/>
                </m:rPr>
                <m:t>−</m:t>
              </m:r>
              <m:r>
                <m:t>1</m:t>
              </m:r>
            </m:sub>
          </m:sSub>
          <m:r>
            <m:rPr>
              <m:sty m:val="p"/>
            </m:rPr>
            <m:t>=</m:t>
          </m:r>
          <m:d>
            <m:dPr>
              <m:begChr m:val="{"/>
              <m:endChr m:val="}"/>
              <m:sepChr m:val=""/>
              <m:grow/>
            </m:dPr>
            <m:e>
              <m:r>
                <m:t>v</m:t>
              </m:r>
              <m:r>
                <m:rPr>
                  <m:sty m:val="p"/>
                </m:rPr>
                <m:t>∈</m:t>
              </m:r>
              <m:sSup>
                <m:e>
                  <m:r>
                    <m:rPr>
                      <m:sty m:val="p"/>
                      <m:scr m:val="double-struck"/>
                    </m:rPr>
                    <m:t>R</m:t>
                  </m:r>
                </m:e>
                <m:sup>
                  <m:r>
                    <m:t>g</m:t>
                  </m:r>
                </m:sup>
              </m:sSup>
              <m:r>
                <m:rPr>
                  <m:sty m:val="p"/>
                </m:rPr>
                <m:t>:</m:t>
              </m:r>
              <m:nary>
                <m:naryPr>
                  <m:chr m:val="∑"/>
                  <m:limLoc m:val="undOvr"/>
                  <m:subHide m:val="off"/>
                  <m:supHide m:val="off"/>
                </m:naryPr>
                <m:sub>
                  <m:r>
                    <m:t>j</m:t>
                  </m:r>
                  <m:r>
                    <m:rPr>
                      <m:sty m:val="p"/>
                    </m:rPr>
                    <m:t>=</m:t>
                  </m:r>
                  <m:r>
                    <m:t>0</m:t>
                  </m:r>
                </m:sub>
                <m:sup>
                  <m:r>
                    <m:t>g</m:t>
                  </m:r>
                  <m:r>
                    <m:rPr>
                      <m:sty m:val="p"/>
                    </m:rPr>
                    <m:t>−</m:t>
                  </m:r>
                  <m:r>
                    <m:t>1</m:t>
                  </m:r>
                </m:sup>
                <m:e>
                  <m:sSub>
                    <m:e>
                      <m:r>
                        <m:t>v</m:t>
                      </m:r>
                    </m:e>
                    <m:sub>
                      <m:r>
                        <m:t>j</m:t>
                      </m:r>
                    </m:sub>
                  </m:sSub>
                </m:e>
              </m:nary>
              <m:r>
                <m:rPr>
                  <m:sty m:val="p"/>
                </m:rPr>
                <m:t>=</m:t>
              </m:r>
              <m:r>
                <m:t>0</m:t>
              </m:r>
            </m:e>
          </m:d>
          <m:r>
            <m:rPr>
              <m:sty m:val="p"/>
            </m:rPr>
            <m:t>.</m:t>
          </m:r>
        </m:oMath>
      </m:oMathPara>
    </w:p>
    <w:p>
      <w:pPr>
        <w:pStyle w:val="FirstParagraph"/>
      </w:pPr>
      <w:r>
        <w:t xml:space="preserve">At</w:t>
      </w:r>
      <w:r>
        <w:t xml:space="preserve"> </w:t>
      </w:r>
      <m:oMath>
        <m:sSub>
          <m:e>
            <m:r>
              <m:t>p</m:t>
            </m:r>
          </m:e>
          <m:sub>
            <m:r>
              <m:t>0</m:t>
            </m:r>
          </m:sub>
        </m:sSub>
      </m:oMath>
      <w:r>
        <w:t xml:space="preserve">, the Fisher inner product is</w:t>
      </w:r>
    </w:p>
    <w:p>
      <w:pPr>
        <w:pStyle w:val="BodyText"/>
      </w:pPr>
      <m:oMathPara>
        <m:oMathParaPr>
          <m:jc m:val="center"/>
        </m:oMathParaPr>
        <m:oMath>
          <m:r>
            <m:rPr>
              <m:sty m:val="p"/>
            </m:rPr>
            <m:t>⟨</m:t>
          </m:r>
          <m:r>
            <m:t>u</m:t>
          </m:r>
          <m:r>
            <m:rPr>
              <m:sty m:val="p"/>
            </m:rPr>
            <m:t>,</m:t>
          </m:r>
          <m:r>
            <m:t>v</m:t>
          </m:r>
          <m:sSub>
            <m:e>
              <m:r>
                <m:rPr>
                  <m:sty m:val="p"/>
                </m:rPr>
                <m:t>⟩</m:t>
              </m:r>
            </m:e>
            <m:sub>
              <m:r>
                <m:t>F</m:t>
              </m:r>
            </m:sub>
          </m:sSub>
          <m:r>
            <m:rPr>
              <m:sty m:val="p"/>
            </m:rPr>
            <m:t>=</m:t>
          </m:r>
          <m:nary>
            <m:naryPr>
              <m:chr m:val="∑"/>
              <m:limLoc m:val="undOvr"/>
              <m:subHide m:val="off"/>
              <m:supHide m:val="on"/>
            </m:naryPr>
            <m:sub>
              <m:r>
                <m:t>j</m:t>
              </m:r>
            </m:sub>
            <m:sup>
              <m:r>
                <m:t>​</m:t>
              </m:r>
            </m:sup>
            <m:e>
              <m:f>
                <m:fPr>
                  <m:type m:val="bar"/>
                </m:fPr>
                <m:num>
                  <m:sSub>
                    <m:e>
                      <m:r>
                        <m:t>u</m:t>
                      </m:r>
                    </m:e>
                    <m:sub>
                      <m:r>
                        <m:t>j</m:t>
                      </m:r>
                    </m:sub>
                  </m:sSub>
                  <m:sSub>
                    <m:e>
                      <m:r>
                        <m:t>v</m:t>
                      </m:r>
                    </m:e>
                    <m:sub>
                      <m:r>
                        <m:t>j</m:t>
                      </m:r>
                    </m:sub>
                  </m:sSub>
                </m:num>
                <m:den>
                  <m:sSub>
                    <m:e>
                      <m:r>
                        <m:t>p</m:t>
                      </m:r>
                    </m:e>
                    <m:sub>
                      <m:r>
                        <m:t>0</m:t>
                      </m:r>
                      <m:r>
                        <m:rPr>
                          <m:sty m:val="p"/>
                        </m:rPr>
                        <m:t>,</m:t>
                      </m:r>
                      <m:r>
                        <m:t>j</m:t>
                      </m:r>
                    </m:sub>
                  </m:sSub>
                </m:den>
              </m:f>
            </m:e>
          </m:nary>
          <m:r>
            <m:rPr>
              <m:sty m:val="p"/>
            </m:rPr>
            <m:t>=</m:t>
          </m:r>
          <m:r>
            <m:t>g</m:t>
          </m:r>
          <m:r>
            <m:t> </m:t>
          </m:r>
          <m:sSup>
            <m:e>
              <m:r>
                <m:t>u</m:t>
              </m:r>
            </m:e>
            <m:sup>
              <m:r>
                <m:t>T</m:t>
              </m:r>
            </m:sup>
          </m:sSup>
          <m:r>
            <m:t>v</m:t>
          </m:r>
          <m:r>
            <m:rPr>
              <m:sty m:val="p"/>
            </m:rPr>
            <m:t>.</m:t>
          </m:r>
        </m:oMath>
      </m:oMathPara>
    </w:p>
    <w:bookmarkEnd w:id="35"/>
    <w:bookmarkStart w:id="36" w:name="fundamental-fourier-basis"/>
    <w:p>
      <w:pPr>
        <w:pStyle w:val="Heading2"/>
      </w:pPr>
      <w:r>
        <w:t xml:space="preserve">5.2 Fundamental Fourier basis</w:t>
      </w:r>
    </w:p>
    <w:p>
      <w:pPr>
        <w:pStyle w:val="FirstParagraph"/>
      </w:pPr>
      <w:r>
        <w:t xml:space="preserve">For</w:t>
      </w:r>
      <w:r>
        <w:t xml:space="preserve"> </w:t>
      </w:r>
      <m:oMath>
        <m:r>
          <m:t>g</m:t>
        </m:r>
        <m:r>
          <m:rPr>
            <m:sty m:val="p"/>
          </m:rPr>
          <m:t>≥</m:t>
        </m:r>
        <m:r>
          <m:t>3</m:t>
        </m:r>
      </m:oMath>
      <w:r>
        <w:t xml:space="preserve">, define</w:t>
      </w:r>
    </w:p>
    <w:p>
      <w:pPr>
        <w:pStyle w:val="BodyText"/>
      </w:pPr>
      <m:oMathPara>
        <m:oMathParaPr>
          <m:jc m:val="center"/>
        </m:oMathParaPr>
        <m:oMath>
          <m:sSub>
            <m:e>
              <m:r>
                <m:t>c</m:t>
              </m:r>
            </m:e>
            <m:sub>
              <m:r>
                <m:t>j</m:t>
              </m:r>
            </m:sub>
          </m:sSub>
          <m:r>
            <m:rPr>
              <m:sty m:val="p"/>
            </m:rPr>
            <m:t>=</m:t>
          </m:r>
          <m:f>
            <m:fPr>
              <m:type m:val="bar"/>
            </m:fPr>
            <m:num>
              <m:rad>
                <m:radPr>
                  <m:degHide m:val="on"/>
                </m:radPr>
                <m:deg/>
                <m:e>
                  <m:r>
                    <m:t>2</m:t>
                  </m:r>
                </m:e>
              </m:rad>
            </m:num>
            <m:den>
              <m:r>
                <m:t>g</m:t>
              </m:r>
            </m:den>
          </m:f>
          <m:r>
            <m:rPr>
              <m:sty m:val="p"/>
            </m:rPr>
            <m:t>cos</m:t>
          </m:r>
          <m:d>
            <m:dPr>
              <m:begChr m:val="("/>
              <m:endChr m:val=")"/>
              <m:sepChr m:val=""/>
              <m:grow/>
            </m:dPr>
            <m:e>
              <m:f>
                <m:fPr>
                  <m:type m:val="bar"/>
                </m:fPr>
                <m:num>
                  <m:r>
                    <m:t>2</m:t>
                  </m:r>
                  <m:r>
                    <m:t>π</m:t>
                  </m:r>
                  <m:r>
                    <m:t>j</m:t>
                  </m:r>
                </m:num>
                <m:den>
                  <m:r>
                    <m:t>g</m:t>
                  </m:r>
                </m:den>
              </m:f>
            </m:e>
          </m:d>
          <m:r>
            <m:rPr>
              <m:sty m:val="p"/>
            </m:rPr>
            <m:t>,</m:t>
          </m:r>
          <m:r>
            <m:t>  </m:t>
          </m:r>
          <m:sSub>
            <m:e>
              <m:r>
                <m:t>s</m:t>
              </m:r>
            </m:e>
            <m:sub>
              <m:r>
                <m:t>j</m:t>
              </m:r>
            </m:sub>
          </m:sSub>
          <m:r>
            <m:rPr>
              <m:sty m:val="p"/>
            </m:rPr>
            <m:t>=</m:t>
          </m:r>
          <m:f>
            <m:fPr>
              <m:type m:val="bar"/>
            </m:fPr>
            <m:num>
              <m:rad>
                <m:radPr>
                  <m:degHide m:val="on"/>
                </m:radPr>
                <m:deg/>
                <m:e>
                  <m:r>
                    <m:t>2</m:t>
                  </m:r>
                </m:e>
              </m:rad>
            </m:num>
            <m:den>
              <m:r>
                <m:t>g</m:t>
              </m:r>
            </m:den>
          </m:f>
          <m:r>
            <m:rPr>
              <m:sty m:val="p"/>
            </m:rPr>
            <m:t>sin</m:t>
          </m:r>
          <m:d>
            <m:dPr>
              <m:begChr m:val="("/>
              <m:endChr m:val=")"/>
              <m:sepChr m:val=""/>
              <m:grow/>
            </m:dPr>
            <m:e>
              <m:f>
                <m:fPr>
                  <m:type m:val="bar"/>
                </m:fPr>
                <m:num>
                  <m:r>
                    <m:t>2</m:t>
                  </m:r>
                  <m:r>
                    <m:t>π</m:t>
                  </m:r>
                  <m:r>
                    <m:t>j</m:t>
                  </m:r>
                </m:num>
                <m:den>
                  <m:r>
                    <m:t>g</m:t>
                  </m:r>
                </m:den>
              </m:f>
            </m:e>
          </m:d>
          <m:r>
            <m:rPr>
              <m:sty m:val="p"/>
            </m:rPr>
            <m:t>.</m:t>
          </m:r>
        </m:oMath>
      </m:oMathPara>
    </w:p>
    <w:p>
      <w:pPr>
        <w:pStyle w:val="FirstParagraph"/>
      </w:pPr>
      <w:r>
        <w:t xml:space="preserve">Then</w:t>
      </w:r>
    </w:p>
    <w:p>
      <w:pPr>
        <w:pStyle w:val="BodyText"/>
      </w:pPr>
      <m:oMathPara>
        <m:oMathParaPr>
          <m:jc m:val="center"/>
        </m:oMathParaPr>
        <m:oMath>
          <m:r>
            <m:rPr>
              <m:sty m:val="p"/>
            </m:rPr>
            <m:t>⟨</m:t>
          </m:r>
          <m:r>
            <m:t>c</m:t>
          </m:r>
          <m:r>
            <m:rPr>
              <m:sty m:val="p"/>
            </m:rPr>
            <m:t>,</m:t>
          </m:r>
          <m:r>
            <m:t>c</m:t>
          </m:r>
          <m:sSub>
            <m:e>
              <m:r>
                <m:rPr>
                  <m:sty m:val="p"/>
                </m:rPr>
                <m:t>⟩</m:t>
              </m:r>
            </m:e>
            <m:sub>
              <m:r>
                <m:t>F</m:t>
              </m:r>
            </m:sub>
          </m:sSub>
          <m:r>
            <m:rPr>
              <m:sty m:val="p"/>
            </m:rPr>
            <m:t>=</m:t>
          </m:r>
          <m:r>
            <m:rPr>
              <m:sty m:val="p"/>
            </m:rPr>
            <m:t>⟨</m:t>
          </m:r>
          <m:r>
            <m:t>s</m:t>
          </m:r>
          <m:r>
            <m:rPr>
              <m:sty m:val="p"/>
            </m:rPr>
            <m:t>,</m:t>
          </m:r>
          <m:r>
            <m:t>s</m:t>
          </m:r>
          <m:sSub>
            <m:e>
              <m:r>
                <m:rPr>
                  <m:sty m:val="p"/>
                </m:rPr>
                <m:t>⟩</m:t>
              </m:r>
            </m:e>
            <m:sub>
              <m:r>
                <m:t>F</m:t>
              </m:r>
            </m:sub>
          </m:sSub>
          <m:r>
            <m:rPr>
              <m:sty m:val="p"/>
            </m:rPr>
            <m:t>=</m:t>
          </m:r>
          <m:r>
            <m:t>1</m:t>
          </m:r>
          <m:r>
            <m:rPr>
              <m:sty m:val="p"/>
            </m:rPr>
            <m:t>,</m:t>
          </m:r>
          <m:r>
            <m:t>  </m:t>
          </m:r>
          <m:r>
            <m:rPr>
              <m:sty m:val="p"/>
            </m:rPr>
            <m:t>⟨</m:t>
          </m:r>
          <m:r>
            <m:t>c</m:t>
          </m:r>
          <m:r>
            <m:rPr>
              <m:sty m:val="p"/>
            </m:rPr>
            <m:t>,</m:t>
          </m:r>
          <m:r>
            <m:t>s</m:t>
          </m:r>
          <m:sSub>
            <m:e>
              <m:r>
                <m:rPr>
                  <m:sty m:val="p"/>
                </m:rPr>
                <m:t>⟩</m:t>
              </m:r>
            </m:e>
            <m:sub>
              <m:r>
                <m:t>F</m:t>
              </m:r>
            </m:sub>
          </m:sSub>
          <m:r>
            <m:rPr>
              <m:sty m:val="p"/>
            </m:rPr>
            <m:t>=</m:t>
          </m:r>
          <m:r>
            <m:t>0</m:t>
          </m:r>
          <m:r>
            <m:rPr>
              <m:sty m:val="p"/>
            </m:rPr>
            <m:t>.</m:t>
          </m:r>
        </m:oMath>
      </m:oMathPara>
    </w:p>
    <w:p>
      <w:pPr>
        <w:pStyle w:val="FirstParagraph"/>
      </w:pPr>
      <w:r>
        <w:t xml:space="preserve">Their span is invariant under cyclic permutation. In coefficient space, a one-step cyclic shift acts as a planar rotation by</w:t>
      </w:r>
      <w:r>
        <w:t xml:space="preserve"> </w:t>
      </w:r>
      <m:oMath>
        <m:r>
          <m:t>2</m:t>
        </m:r>
        <m:r>
          <m:t>π</m:t>
        </m:r>
        <m:r>
          <m:rPr>
            <m:sty m:val="p"/>
          </m:rPr>
          <m:t>/</m:t>
        </m:r>
        <m:r>
          <m:t>g</m:t>
        </m:r>
      </m:oMath>
      <w:r>
        <w:t xml:space="preserve">. For</w:t>
      </w:r>
      <w:r>
        <w:t xml:space="preserve"> </w:t>
      </w:r>
      <m:oMath>
        <m:r>
          <m:t>g</m:t>
        </m:r>
        <m:r>
          <m:rPr>
            <m:sty m:val="p"/>
          </m:rPr>
          <m:t>=</m:t>
        </m:r>
        <m:r>
          <m:t>2</m:t>
        </m:r>
      </m:oMath>
      <w:r>
        <w:t xml:space="preserve">, the Fisher-unit basis is</w:t>
      </w:r>
    </w:p>
    <w:p>
      <w:pPr>
        <w:pStyle w:val="BodyText"/>
      </w:pPr>
      <m:oMathPara>
        <m:oMathParaPr>
          <m:jc m:val="center"/>
        </m:oMathParaPr>
        <m:oMath>
          <m:r>
            <m:t>c</m:t>
          </m:r>
          <m:r>
            <m:rPr>
              <m:sty m:val="p"/>
            </m:rPr>
            <m:t>=</m:t>
          </m:r>
          <m:f>
            <m:fPr>
              <m:type m:val="bar"/>
            </m:fPr>
            <m:num>
              <m:r>
                <m:t>1</m:t>
              </m:r>
            </m:num>
            <m:den>
              <m:r>
                <m:t>2</m:t>
              </m:r>
            </m:den>
          </m:f>
          <m:d>
            <m:dPr>
              <m:begChr m:val="("/>
              <m:endChr m:val=")"/>
              <m:sepChr m:val=""/>
              <m:grow/>
            </m:dPr>
            <m:e>
              <m:r>
                <m:t>1</m:t>
              </m:r>
              <m:r>
                <m:rPr>
                  <m:sty m:val="p"/>
                </m:rPr>
                <m:t>,</m:t>
              </m:r>
              <m:r>
                <m:rPr>
                  <m:sty m:val="p"/>
                </m:rPr>
                <m:t>−</m:t>
              </m:r>
              <m:r>
                <m:t>1</m:t>
              </m:r>
            </m:e>
          </m:d>
          <m:r>
            <m:rPr>
              <m:sty m:val="p"/>
            </m:rPr>
            <m:t>.</m:t>
          </m:r>
        </m:oMath>
      </m:oMathPara>
    </w:p>
    <w:p>
      <w:pPr>
        <w:pStyle w:val="FirstParagraph"/>
      </w:pPr>
      <w:r>
        <w:t xml:space="preserve">The implementation uses Cartesian coordinates rather than amplitude-angle coordinates:</w:t>
      </w:r>
    </w:p>
    <w:p>
      <w:pPr>
        <w:pStyle w:val="BodyText"/>
      </w:pPr>
      <m:oMathPara>
        <m:oMathParaPr>
          <m:jc m:val="center"/>
        </m:oMathParaPr>
        <m:oMath>
          <m:r>
            <m:t>v</m:t>
          </m:r>
          <m:d>
            <m:dPr>
              <m:begChr m:val="("/>
              <m:endChr m:val=")"/>
              <m:sepChr m:val=""/>
              <m:grow/>
            </m:dPr>
            <m:e>
              <m:r>
                <m:t>η</m:t>
              </m:r>
            </m:e>
          </m:d>
          <m:r>
            <m:rPr>
              <m:sty m:val="p"/>
            </m:rPr>
            <m:t>=</m:t>
          </m:r>
          <m:r>
            <m:t>a</m:t>
          </m:r>
          <m:r>
            <m:t>c</m:t>
          </m:r>
          <m:r>
            <m:rPr>
              <m:sty m:val="p"/>
            </m:rPr>
            <m:t>+</m:t>
          </m:r>
          <m:r>
            <m:t>b</m:t>
          </m:r>
          <m:r>
            <m:t>s</m:t>
          </m:r>
          <m:r>
            <m:rPr>
              <m:sty m:val="p"/>
            </m:rPr>
            <m:t>,</m:t>
          </m:r>
          <m:r>
            <m:t>  </m:t>
          </m:r>
          <m:r>
            <m:t>η</m:t>
          </m:r>
          <m:r>
            <m:rPr>
              <m:sty m:val="p"/>
            </m:rPr>
            <m:t>=</m:t>
          </m:r>
          <m:d>
            <m:dPr>
              <m:begChr m:val="("/>
              <m:endChr m:val=")"/>
              <m:sepChr m:val=""/>
              <m:grow/>
            </m:dPr>
            <m:e>
              <m:r>
                <m:t>a</m:t>
              </m:r>
              <m:r>
                <m:rPr>
                  <m:sty m:val="p"/>
                </m:rPr>
                <m:t>,</m:t>
              </m:r>
              <m:r>
                <m:t>b</m:t>
              </m:r>
            </m:e>
          </m:d>
          <m:r>
            <m:rPr>
              <m:sty m:val="p"/>
            </m:rPr>
            <m:t>.</m:t>
          </m:r>
        </m:oMath>
      </m:oMathPara>
    </w:p>
    <w:p>
      <w:pPr>
        <w:pStyle w:val="FirstParagraph"/>
      </w:pPr>
      <w:r>
        <w:t xml:space="preserve">This avoids the unidentifiable angular coordinate at zero amplitude.</w:t>
      </w:r>
    </w:p>
    <w:bookmarkEnd w:id="36"/>
    <w:bookmarkStart w:id="37" w:name="positivity-preserving-family"/>
    <w:p>
      <w:pPr>
        <w:pStyle w:val="Heading2"/>
      </w:pPr>
      <w:r>
        <w:t xml:space="preserve">5.3 Positivity-preserving family</w:t>
      </w:r>
    </w:p>
    <w:p>
      <w:pPr>
        <w:pStyle w:val="FirstParagraph"/>
      </w:pPr>
      <w:r>
        <w:t xml:space="preserve">The direct fundamental family is defined through softmax logits:</w:t>
      </w:r>
    </w:p>
    <w:p>
      <w:pPr>
        <w:pStyle w:val="BodyText"/>
      </w:pPr>
      <m:oMathPara>
        <m:oMathParaPr>
          <m:jc m:val="center"/>
        </m:oMathParaPr>
        <m:oMath>
          <m:sSub>
            <m:e>
              <m:r>
                <m:t>q</m:t>
              </m:r>
            </m:e>
            <m:sub>
              <m:r>
                <m:t>η</m:t>
              </m:r>
            </m:sub>
          </m:sSub>
          <m:d>
            <m:dPr>
              <m:begChr m:val="("/>
              <m:endChr m:val=")"/>
              <m:sepChr m:val=""/>
              <m:grow/>
            </m:dPr>
            <m:e>
              <m:r>
                <m:t>j</m:t>
              </m:r>
            </m:e>
          </m:d>
          <m:r>
            <m:rPr>
              <m:sty m:val="p"/>
            </m:rPr>
            <m:t>=</m:t>
          </m:r>
          <m:f>
            <m:fPr>
              <m:type m:val="bar"/>
            </m:fPr>
            <m:num>
              <m:r>
                <m:rPr>
                  <m:sty m:val="p"/>
                </m:rPr>
                <m:t>exp</m:t>
              </m:r>
              <m:r>
                <m:rPr>
                  <m:sty m:val="p"/>
                </m:rPr>
                <m:t>{</m:t>
              </m:r>
              <m:sSub>
                <m:e>
                  <m:d>
                    <m:dPr>
                      <m:begChr m:val="("/>
                      <m:endChr m:val=")"/>
                      <m:sepChr m:val=""/>
                      <m:grow/>
                    </m:dPr>
                    <m:e>
                      <m:r>
                        <m:t>Z</m:t>
                      </m:r>
                      <m:r>
                        <m:t>η</m:t>
                      </m:r>
                    </m:e>
                  </m:d>
                </m:e>
                <m:sub>
                  <m:r>
                    <m:t>j</m:t>
                  </m:r>
                </m:sub>
              </m:sSub>
              <m:r>
                <m:rPr>
                  <m:sty m:val="p"/>
                </m:rPr>
                <m:t>}</m:t>
              </m:r>
            </m:num>
            <m:den>
              <m:nary>
                <m:naryPr>
                  <m:chr m:val="∑"/>
                  <m:limLoc m:val="undOvr"/>
                  <m:subHide m:val="off"/>
                  <m:supHide m:val="on"/>
                </m:naryPr>
                <m:sub>
                  <m:r>
                    <m:t>r</m:t>
                  </m:r>
                </m:sub>
                <m:sup>
                  <m:r>
                    <m:t>​</m:t>
                  </m:r>
                </m:sup>
                <m:e>
                  <m:r>
                    <m:rPr>
                      <m:sty m:val="p"/>
                    </m:rPr>
                    <m:t>exp</m:t>
                  </m:r>
                </m:e>
              </m:nary>
              <m:r>
                <m:rPr>
                  <m:sty m:val="p"/>
                </m:rPr>
                <m:t>{</m:t>
              </m:r>
              <m:sSub>
                <m:e>
                  <m:d>
                    <m:dPr>
                      <m:begChr m:val="("/>
                      <m:endChr m:val=")"/>
                      <m:sepChr m:val=""/>
                      <m:grow/>
                    </m:dPr>
                    <m:e>
                      <m:r>
                        <m:t>Z</m:t>
                      </m:r>
                      <m:r>
                        <m:t>η</m:t>
                      </m:r>
                    </m:e>
                  </m:d>
                </m:e>
                <m:sub>
                  <m:r>
                    <m:t>r</m:t>
                  </m:r>
                </m:sub>
              </m:sSub>
              <m:r>
                <m:rPr>
                  <m:sty m:val="p"/>
                </m:rPr>
                <m:t>}</m:t>
              </m:r>
            </m:den>
          </m:f>
          <m:r>
            <m:rPr>
              <m:sty m:val="p"/>
            </m:rPr>
            <m:t>,</m:t>
          </m:r>
        </m:oMath>
      </m:oMathPara>
    </w:p>
    <w:p>
      <w:pPr>
        <w:pStyle w:val="FirstParagraph"/>
      </w:pPr>
      <w:r>
        <w:t xml:space="preserve">where</w:t>
      </w:r>
      <w:r>
        <w:t xml:space="preserve"> </w:t>
      </w:r>
      <m:oMath>
        <m:r>
          <m:t>Z</m:t>
        </m:r>
        <m:r>
          <m:rPr>
            <m:sty m:val="p"/>
          </m:rPr>
          <m:t>=</m:t>
        </m:r>
        <m:r>
          <m:t>g</m:t>
        </m:r>
        <m:d>
          <m:dPr>
            <m:begChr m:val="["/>
            <m:endChr m:val="]"/>
            <m:sepChr m:val=""/>
            <m:grow/>
          </m:dPr>
          <m:e>
            <m:r>
              <m:t>c</m:t>
            </m:r>
            <m:r>
              <m:t> </m:t>
            </m:r>
            <m:r>
              <m:t>s</m:t>
            </m:r>
          </m:e>
        </m:d>
      </m:oMath>
      <w:r>
        <w:t xml:space="preserve"> </w:t>
      </w:r>
      <w:r>
        <w:t xml:space="preserve">for</w:t>
      </w:r>
      <w:r>
        <w:t xml:space="preserve"> </w:t>
      </w:r>
      <m:oMath>
        <m:r>
          <m:t>g</m:t>
        </m:r>
        <m:r>
          <m:rPr>
            <m:sty m:val="p"/>
          </m:rPr>
          <m:t>≥</m:t>
        </m:r>
        <m:r>
          <m:t>3</m:t>
        </m:r>
      </m:oMath>
      <w:r>
        <w:t xml:space="preserve"> </w:t>
      </w:r>
      <w:r>
        <w:t xml:space="preserve">and</w:t>
      </w:r>
      <w:r>
        <w:t xml:space="preserve"> </w:t>
      </w:r>
      <m:oMath>
        <m:r>
          <m:t>Z</m:t>
        </m:r>
        <m:r>
          <m:rPr>
            <m:sty m:val="p"/>
          </m:rPr>
          <m:t>=</m:t>
        </m:r>
        <m:r>
          <m:t>g</m:t>
        </m:r>
        <m:r>
          <m:t>c</m:t>
        </m:r>
      </m:oMath>
      <w:r>
        <w:t xml:space="preserve"> </w:t>
      </w:r>
      <w:r>
        <w:t xml:space="preserve">for</w:t>
      </w:r>
      <w:r>
        <w:t xml:space="preserve"> </w:t>
      </w:r>
      <m:oMath>
        <m:r>
          <m:t>g</m:t>
        </m:r>
        <m:r>
          <m:rPr>
            <m:sty m:val="p"/>
          </m:rPr>
          <m:t>=</m:t>
        </m:r>
        <m:r>
          <m:t>2</m:t>
        </m:r>
      </m:oMath>
      <w:r>
        <w:t xml:space="preserve">. The scaling makes the derivative at the uniform distribution equal to the Fisher-orthonormal tangent basis. If</w:t>
      </w:r>
      <w:r>
        <w:t xml:space="preserve"> </w:t>
      </w:r>
      <m:oMath>
        <m:sSub>
          <m:e>
            <m:r>
              <m:t>R</m:t>
            </m:r>
          </m:e>
          <m:sub>
            <m:r>
              <m:t>g</m:t>
            </m:r>
          </m:sub>
        </m:sSub>
      </m:oMath>
      <w:r>
        <w:t xml:space="preserve"> </w:t>
      </w:r>
      <w:r>
        <w:t xml:space="preserve">is the fundamental rotation matrix, the family satisfies the equivariance identity</w:t>
      </w:r>
    </w:p>
    <w:p>
      <w:pPr>
        <w:pStyle w:val="BodyText"/>
      </w:pPr>
      <m:oMathPara>
        <m:oMathParaPr>
          <m:jc m:val="center"/>
        </m:oMathParaPr>
        <m:oMath>
          <m:sSub>
            <m:e>
              <m:r>
                <m:t>q</m:t>
              </m:r>
            </m:e>
            <m:sub>
              <m:sSubSup>
                <m:e>
                  <m:r>
                    <m:t>R</m:t>
                  </m:r>
                </m:e>
                <m:sub>
                  <m:r>
                    <m:t>g</m:t>
                  </m:r>
                </m:sub>
                <m:sup>
                  <m:r>
                    <m:t>k</m:t>
                  </m:r>
                </m:sup>
              </m:sSubSup>
              <m:r>
                <m:t>η</m:t>
              </m:r>
            </m:sub>
          </m:sSub>
          <m:r>
            <m:rPr>
              <m:sty m:val="p"/>
            </m:rPr>
            <m:t>=</m:t>
          </m:r>
          <m:sSub>
            <m:e>
              <m:r>
                <m:t>T</m:t>
              </m:r>
            </m:e>
            <m:sub>
              <m:r>
                <m:t>k</m:t>
              </m:r>
            </m:sub>
          </m:sSub>
          <m:sSub>
            <m:e>
              <m:r>
                <m:t>q</m:t>
              </m:r>
            </m:e>
            <m:sub>
              <m:r>
                <m:t>η</m:t>
              </m:r>
            </m:sub>
          </m:sSub>
          <m:r>
            <m:rPr>
              <m:sty m:val="p"/>
            </m:rPr>
            <m:t>.</m:t>
          </m:r>
        </m:oMath>
      </m:oMathPara>
    </w:p>
    <w:p>
      <w:pPr>
        <w:pStyle w:val="FirstParagraph"/>
      </w:pPr>
      <w:r>
        <w:t xml:space="preserve">The automated tests verified Fisher orthonormality and numerical equivariance through</w:t>
      </w:r>
      <w:r>
        <w:t xml:space="preserve"> </w:t>
      </w:r>
      <m:oMath>
        <m:sSub>
          <m:e>
            <m:r>
              <m:t>C</m:t>
            </m:r>
          </m:e>
          <m:sub>
            <m:r>
              <m:t>10</m:t>
            </m:r>
          </m:sub>
        </m:sSub>
      </m:oMath>
      <w:r>
        <w:t xml:space="preserve">.</w:t>
      </w:r>
    </w:p>
    <w:bookmarkEnd w:id="37"/>
    <w:bookmarkStart w:id="38" w:name="local-jensenshannon-geometry"/>
    <w:p>
      <w:pPr>
        <w:pStyle w:val="Heading2"/>
      </w:pPr>
      <w:r>
        <w:t xml:space="preserve">5.4 Local Jensen–Shannon geometry</w:t>
      </w:r>
    </w:p>
    <w:p>
      <w:pPr>
        <w:pStyle w:val="FirstParagraph"/>
      </w:pPr>
      <w:r>
        <w:t xml:space="preserve">For small perturbations</w:t>
      </w:r>
      <w:r>
        <w:t xml:space="preserve"> </w:t>
      </w:r>
      <m:oMath>
        <m:r>
          <m:t>p</m:t>
        </m:r>
        <m:r>
          <m:rPr>
            <m:sty m:val="p"/>
          </m:rPr>
          <m:t>=</m:t>
        </m:r>
        <m:sSub>
          <m:e>
            <m:r>
              <m:t>p</m:t>
            </m:r>
          </m:e>
          <m:sub>
            <m:r>
              <m:t>0</m:t>
            </m:r>
          </m:sub>
        </m:sSub>
        <m:r>
          <m:rPr>
            <m:sty m:val="p"/>
          </m:rPr>
          <m:t>+</m:t>
        </m:r>
        <m:r>
          <m:t>v</m:t>
        </m:r>
      </m:oMath>
      <w:r>
        <w:t xml:space="preserve"> </w:t>
      </w:r>
      <w:r>
        <w:t xml:space="preserve">and</w:t>
      </w:r>
      <w:r>
        <w:t xml:space="preserve"> </w:t>
      </w:r>
      <m:oMath>
        <m:r>
          <m:t>q</m:t>
        </m:r>
        <m:r>
          <m:rPr>
            <m:sty m:val="p"/>
          </m:rPr>
          <m:t>=</m:t>
        </m:r>
        <m:sSub>
          <m:e>
            <m:r>
              <m:t>p</m:t>
            </m:r>
          </m:e>
          <m:sub>
            <m:r>
              <m:t>0</m:t>
            </m:r>
          </m:sub>
        </m:sSub>
        <m:r>
          <m:rPr>
            <m:sty m:val="p"/>
          </m:rPr>
          <m:t>+</m:t>
        </m:r>
        <m:r>
          <m:t>R</m:t>
        </m:r>
        <m:r>
          <m:t>v</m:t>
        </m:r>
      </m:oMath>
      <w:r>
        <w:t xml:space="preserve">,</w:t>
      </w:r>
    </w:p>
    <w:p>
      <w:pPr>
        <w:pStyle w:val="BodyText"/>
      </w:pPr>
      <m:oMathPara>
        <m:oMathParaPr>
          <m:jc m:val="center"/>
        </m:oMathParaPr>
        <m:oMath>
          <m:r>
            <m:rPr>
              <m:sty m:val="p"/>
            </m:rPr>
            <m:t>JSD</m:t>
          </m:r>
          <m:d>
            <m:dPr>
              <m:begChr m:val="("/>
              <m:endChr m:val=")"/>
              <m:sepChr m:val=""/>
              <m:grow/>
            </m:dPr>
            <m:e>
              <m:r>
                <m:t>p</m:t>
              </m:r>
              <m:r>
                <m:rPr>
                  <m:sty m:val="p"/>
                </m:rPr>
                <m:t>,</m:t>
              </m:r>
              <m:r>
                <m:t>q</m:t>
              </m:r>
            </m:e>
          </m:d>
          <m:r>
            <m:rPr>
              <m:sty m:val="p"/>
            </m:rPr>
            <m:t>=</m:t>
          </m:r>
          <m:f>
            <m:fPr>
              <m:type m:val="bar"/>
            </m:fPr>
            <m:num>
              <m:r>
                <m:t>1</m:t>
              </m:r>
            </m:num>
            <m:den>
              <m:r>
                <m:t>8</m:t>
              </m:r>
            </m:den>
          </m:f>
          <m:r>
            <m:rPr>
              <m:sty m:val="p"/>
            </m:rPr>
            <m:t>∥</m:t>
          </m:r>
          <m:r>
            <m:t>v</m:t>
          </m:r>
          <m:r>
            <m:rPr>
              <m:sty m:val="p"/>
            </m:rPr>
            <m:t>−</m:t>
          </m:r>
          <m:r>
            <m:t>R</m:t>
          </m:r>
          <m:r>
            <m:t>v</m:t>
          </m:r>
          <m:sSubSup>
            <m:e>
              <m:r>
                <m:rPr>
                  <m:sty m:val="p"/>
                </m:rPr>
                <m:t>∥</m:t>
              </m:r>
            </m:e>
            <m:sub>
              <m:r>
                <m:t>F</m:t>
              </m:r>
            </m:sub>
            <m:sup>
              <m:r>
                <m:t>2</m:t>
              </m:r>
            </m:sup>
          </m:sSubSup>
          <m:r>
            <m:rPr>
              <m:sty m:val="p"/>
            </m:rPr>
            <m:t>+</m:t>
          </m:r>
          <m:r>
            <m:t>O</m:t>
          </m:r>
          <m:d>
            <m:dPr>
              <m:begChr m:val="("/>
              <m:endChr m:val=")"/>
              <m:sepChr m:val=""/>
              <m:grow/>
            </m:dPr>
            <m:e>
              <m:r>
                <m:rPr>
                  <m:sty m:val="p"/>
                </m:rPr>
                <m:t>∥</m:t>
              </m:r>
              <m:r>
                <m:t>v</m:t>
              </m:r>
              <m:sSubSup>
                <m:e>
                  <m:r>
                    <m:rPr>
                      <m:sty m:val="p"/>
                    </m:rPr>
                    <m:t>∥</m:t>
                  </m:r>
                </m:e>
                <m:sub>
                  <m:r>
                    <m:t>F</m:t>
                  </m:r>
                </m:sub>
                <m:sup>
                  <m:r>
                    <m:t>4</m:t>
                  </m:r>
                </m:sup>
              </m:sSubSup>
            </m:e>
          </m:d>
          <m:r>
            <m:rPr>
              <m:sty m:val="p"/>
            </m:rPr>
            <m:t>.</m:t>
          </m:r>
        </m:oMath>
      </m:oMathPara>
    </w:p>
    <w:p>
      <w:pPr>
        <w:pStyle w:val="FirstParagraph"/>
      </w:pPr>
      <w:r>
        <w:t xml:space="preserve">If</w:t>
      </w:r>
      <w:r>
        <w:t xml:space="preserve"> </w:t>
      </w:r>
      <m:oMath>
        <m:r>
          <m:t>R</m:t>
        </m:r>
      </m:oMath>
      <w:r>
        <w:t xml:space="preserve"> </w:t>
      </w:r>
      <w:r>
        <w:t xml:space="preserve">is the fundamental cyclic rotation and</w:t>
      </w:r>
      <w:r>
        <w:t xml:space="preserve"> </w:t>
      </w:r>
      <m:oMath>
        <m:r>
          <m:rPr>
            <m:sty m:val="p"/>
          </m:rPr>
          <m:t>∥</m:t>
        </m:r>
        <m:r>
          <m:t>v</m:t>
        </m:r>
        <m:sSub>
          <m:e>
            <m:r>
              <m:rPr>
                <m:sty m:val="p"/>
              </m:rPr>
              <m:t>∥</m:t>
            </m:r>
          </m:e>
          <m:sub>
            <m:r>
              <m:t>F</m:t>
            </m:r>
          </m:sub>
        </m:sSub>
        <m:r>
          <m:rPr>
            <m:sty m:val="p"/>
          </m:rPr>
          <m:t>=</m:t>
        </m:r>
        <m:r>
          <m:t>ε</m:t>
        </m:r>
      </m:oMath>
      <w:r>
        <w:t xml:space="preserve">,</w:t>
      </w:r>
    </w:p>
    <w:p>
      <w:pPr>
        <w:pStyle w:val="BodyText"/>
      </w:pPr>
      <m:oMathPara>
        <m:oMathParaPr>
          <m:jc m:val="center"/>
        </m:oMathParaPr>
        <m:oMath>
          <m:r>
            <m:rPr>
              <m:sty m:val="p"/>
            </m:rPr>
            <m:t>JSD</m:t>
          </m:r>
          <m:d>
            <m:dPr>
              <m:begChr m:val="("/>
              <m:endChr m:val=")"/>
              <m:sepChr m:val=""/>
              <m:grow/>
            </m:dPr>
            <m:e>
              <m:r>
                <m:t>p</m:t>
              </m:r>
              <m:r>
                <m:rPr>
                  <m:sty m:val="p"/>
                </m:rPr>
                <m:t>,</m:t>
              </m:r>
              <m:r>
                <m:t>q</m:t>
              </m:r>
            </m:e>
          </m:d>
          <m:r>
            <m:rPr>
              <m:sty m:val="p"/>
            </m:rPr>
            <m:t>=</m:t>
          </m:r>
          <m:f>
            <m:fPr>
              <m:type m:val="bar"/>
            </m:fPr>
            <m:num>
              <m:sSup>
                <m:e>
                  <m:r>
                    <m:t>ε</m:t>
                  </m:r>
                </m:e>
                <m:sup>
                  <m:r>
                    <m:t>2</m:t>
                  </m:r>
                </m:sup>
              </m:sSup>
            </m:num>
            <m:den>
              <m:r>
                <m:t>4</m:t>
              </m:r>
            </m:den>
          </m:f>
          <m:d>
            <m:dPr>
              <m:begChr m:val="("/>
              <m:endChr m:val=")"/>
              <m:sepChr m:val=""/>
              <m:grow/>
            </m:dPr>
            <m:e>
              <m:r>
                <m:t>1</m:t>
              </m:r>
              <m:r>
                <m:rPr>
                  <m:sty m:val="p"/>
                </m:rPr>
                <m:t>−</m:t>
              </m:r>
              <m:r>
                <m:rPr>
                  <m:sty m:val="p"/>
                </m:rPr>
                <m:t>cos</m:t>
              </m:r>
              <m:f>
                <m:fPr>
                  <m:type m:val="bar"/>
                </m:fPr>
                <m:num>
                  <m:r>
                    <m:t>2</m:t>
                  </m:r>
                  <m:r>
                    <m:t>π</m:t>
                  </m:r>
                </m:num>
                <m:den>
                  <m:r>
                    <m:t>g</m:t>
                  </m:r>
                </m:den>
              </m:f>
            </m:e>
          </m:d>
          <m:r>
            <m:rPr>
              <m:sty m:val="p"/>
            </m:rPr>
            <m:t>+</m:t>
          </m:r>
          <m:r>
            <m:t>O</m:t>
          </m:r>
          <m:d>
            <m:dPr>
              <m:begChr m:val="("/>
              <m:endChr m:val=")"/>
              <m:sepChr m:val=""/>
              <m:grow/>
            </m:dPr>
            <m:e>
              <m:sSup>
                <m:e>
                  <m:r>
                    <m:t>ε</m:t>
                  </m:r>
                </m:e>
                <m:sup>
                  <m:r>
                    <m:t>4</m:t>
                  </m:r>
                </m:sup>
              </m:sSup>
            </m:e>
          </m:d>
          <m:r>
            <m:rPr>
              <m:sty m:val="p"/>
            </m:rPr>
            <m:t>.</m:t>
          </m:r>
        </m:oMath>
      </m:oMathPara>
    </w:p>
    <w:p>
      <w:pPr>
        <w:pStyle w:val="FirstParagraph"/>
      </w:pPr>
      <w:r>
        <w:t xml:space="preserve">Therefore the leading coefficients are</w:t>
      </w:r>
      <w:r>
        <w:t xml:space="preserve"> </w:t>
      </w:r>
      <m:oMath>
        <m:r>
          <m:t>1</m:t>
        </m:r>
        <m:r>
          <m:rPr>
            <m:sty m:val="p"/>
          </m:rPr>
          <m:t>/</m:t>
        </m:r>
        <m:r>
          <m:t>2</m:t>
        </m:r>
      </m:oMath>
      <w:r>
        <w:t xml:space="preserve">,</w:t>
      </w:r>
      <w:r>
        <w:t xml:space="preserve"> </w:t>
      </w:r>
      <m:oMath>
        <m:r>
          <m:t>3</m:t>
        </m:r>
        <m:r>
          <m:rPr>
            <m:sty m:val="p"/>
          </m:rPr>
          <m:t>/</m:t>
        </m:r>
        <m:r>
          <m:t>8</m:t>
        </m:r>
      </m:oMath>
      <w:r>
        <w:t xml:space="preserve">, and</w:t>
      </w:r>
      <w:r>
        <w:t xml:space="preserve"> </w:t>
      </w:r>
      <m:oMath>
        <m:r>
          <m:t>1</m:t>
        </m:r>
        <m:r>
          <m:rPr>
            <m:sty m:val="p"/>
          </m:rPr>
          <m:t>/</m:t>
        </m:r>
        <m:r>
          <m:t>4</m:t>
        </m:r>
      </m:oMath>
      <w:r>
        <w:t xml:space="preserve"> </w:t>
      </w:r>
      <w:r>
        <w:t xml:space="preserve">for</w:t>
      </w:r>
      <w:r>
        <w:t xml:space="preserve"> </w:t>
      </w:r>
      <m:oMath>
        <m:r>
          <m:t>g</m:t>
        </m:r>
        <m:r>
          <m:rPr>
            <m:sty m:val="p"/>
          </m:rPr>
          <m:t>=</m:t>
        </m:r>
        <m:r>
          <m:t>2</m:t>
        </m:r>
        <m:r>
          <m:rPr>
            <m:sty m:val="p"/>
          </m:rPr>
          <m:t>,</m:t>
        </m:r>
        <m:r>
          <m:t>3</m:t>
        </m:r>
        <m:r>
          <m:rPr>
            <m:sty m:val="p"/>
          </m:rPr>
          <m:t>,</m:t>
        </m:r>
        <m:r>
          <m:t>4</m:t>
        </m:r>
      </m:oMath>
      <w:r>
        <w:t xml:space="preserve">, respectively. No extra factor of</w:t>
      </w:r>
      <w:r>
        <w:t xml:space="preserve"> </w:t>
      </w:r>
      <m:oMath>
        <m:r>
          <m:t>g</m:t>
        </m:r>
      </m:oMath>
      <w:r>
        <w:t xml:space="preserve"> </w:t>
      </w:r>
      <w:r>
        <w:t xml:space="preserve">appears when</w:t>
      </w:r>
      <w:r>
        <w:t xml:space="preserve"> </w:t>
      </w:r>
      <m:oMath>
        <m:r>
          <m:t>ε</m:t>
        </m:r>
      </m:oMath>
      <w:r>
        <w:t xml:space="preserve"> </w:t>
      </w:r>
      <w:r>
        <w:t xml:space="preserve">is measured in Fisher norm.</w:t>
      </w:r>
    </w:p>
    <w:bookmarkEnd w:id="38"/>
    <w:bookmarkEnd w:id="39"/>
    <w:bookmarkStart w:id="43" w:name="Xea5495b292b4c44605e4f03f5acac5ef21f31bf"/>
    <w:p>
      <w:pPr>
        <w:pStyle w:val="Heading1"/>
      </w:pPr>
      <w:r>
        <w:t xml:space="preserve">6. Population gains and detection boundaries</w:t>
      </w:r>
    </w:p>
    <w:bookmarkStart w:id="40" w:name="detector-specific-gain"/>
    <w:p>
      <w:pPr>
        <w:pStyle w:val="Heading2"/>
      </w:pPr>
      <w:r>
        <w:t xml:space="preserve">6.1 Detector-specific gain</w:t>
      </w:r>
    </w:p>
    <w:p>
      <w:pPr>
        <w:pStyle w:val="FirstParagraph"/>
      </w:pPr>
      <w:r>
        <w:t xml:space="preserve">The relevant signal strength is the expected log-likelihood advantage within the model being fitted. Define</w:t>
      </w:r>
    </w:p>
    <w:p>
      <w:pPr>
        <w:pStyle w:val="BodyText"/>
      </w:pPr>
      <m:oMathPara>
        <m:oMathParaPr>
          <m:jc m:val="center"/>
        </m:oMathParaPr>
        <m:oMath>
          <m:sSub>
            <m:e>
              <m:r>
                <m:t>G</m:t>
              </m:r>
            </m:e>
            <m:sub>
              <m:r>
                <m:t>M</m:t>
              </m:r>
            </m:sub>
          </m:sSub>
          <m:r>
            <m:rPr>
              <m:sty m:val="p"/>
            </m:rPr>
            <m:t>=</m:t>
          </m:r>
          <m:limLow>
            <m:e>
              <m:r>
                <m:rPr>
                  <m:sty m:val="p"/>
                </m:rPr>
                <m:t>max</m:t>
              </m:r>
            </m:e>
            <m:lim>
              <m:r>
                <m:t>θ</m:t>
              </m:r>
              <m:r>
                <m:rPr>
                  <m:sty m:val="p"/>
                </m:rPr>
                <m:t>∈</m:t>
              </m:r>
              <m:sSub>
                <m:e>
                  <m:r>
                    <m:t>H</m:t>
                  </m:r>
                </m:e>
                <m:sub>
                  <m:r>
                    <m:t>1</m:t>
                  </m:r>
                  <m:r>
                    <m:rPr>
                      <m:sty m:val="p"/>
                    </m:rPr>
                    <m:t>,</m:t>
                  </m:r>
                  <m:r>
                    <m:t>M</m:t>
                  </m:r>
                </m:sub>
              </m:sSub>
            </m:lim>
          </m:limLow>
          <m:r>
            <m:rPr>
              <m:sty m:val="p"/>
              <m:scr m:val="double-struck"/>
            </m:rPr>
            <m:t>E</m:t>
          </m:r>
          <m:d>
            <m:dPr>
              <m:begChr m:val="["/>
              <m:endChr m:val="]"/>
              <m:sepChr m:val=""/>
              <m:grow/>
            </m:dPr>
            <m:e>
              <m:r>
                <m:rPr>
                  <m:sty m:val="p"/>
                </m:rPr>
                <m:t>log</m:t>
              </m:r>
              <m:sSub>
                <m:e>
                  <m:r>
                    <m:t>p</m:t>
                  </m:r>
                </m:e>
                <m:sub>
                  <m:r>
                    <m:t>θ</m:t>
                  </m:r>
                </m:sub>
              </m:sSub>
              <m:d>
                <m:dPr>
                  <m:begChr m:val="("/>
                  <m:endChr m:val=")"/>
                  <m:sepChr m:val=""/>
                  <m:grow/>
                </m:dPr>
                <m:e>
                  <m:r>
                    <m:t>X</m:t>
                  </m:r>
                </m:e>
              </m:d>
            </m:e>
          </m:d>
          <m:r>
            <m:rPr>
              <m:sty m:val="p"/>
            </m:rPr>
            <m:t>−</m:t>
          </m:r>
          <m:limLow>
            <m:e>
              <m:r>
                <m:rPr>
                  <m:sty m:val="p"/>
                </m:rPr>
                <m:t>max</m:t>
              </m:r>
            </m:e>
            <m:lim>
              <m:r>
                <m:t>θ</m:t>
              </m:r>
              <m:r>
                <m:rPr>
                  <m:sty m:val="p"/>
                </m:rPr>
                <m:t>∈</m:t>
              </m:r>
              <m:sSub>
                <m:e>
                  <m:r>
                    <m:t>H</m:t>
                  </m:r>
                </m:e>
                <m:sub>
                  <m:r>
                    <m:t>0</m:t>
                  </m:r>
                  <m:r>
                    <m:rPr>
                      <m:sty m:val="p"/>
                    </m:rPr>
                    <m:t>,</m:t>
                  </m:r>
                  <m:r>
                    <m:t>M</m:t>
                  </m:r>
                </m:sub>
              </m:sSub>
            </m:lim>
          </m:limLow>
          <m:r>
            <m:rPr>
              <m:sty m:val="p"/>
              <m:scr m:val="double-struck"/>
            </m:rPr>
            <m:t>E</m:t>
          </m:r>
          <m:d>
            <m:dPr>
              <m:begChr m:val="["/>
              <m:endChr m:val="]"/>
              <m:sepChr m:val=""/>
              <m:grow/>
            </m:dPr>
            <m:e>
              <m:r>
                <m:rPr>
                  <m:sty m:val="p"/>
                </m:rPr>
                <m:t>log</m:t>
              </m:r>
              <m:sSub>
                <m:e>
                  <m:r>
                    <m:t>p</m:t>
                  </m:r>
                </m:e>
                <m:sub>
                  <m:r>
                    <m:t>θ</m:t>
                  </m:r>
                </m:sub>
              </m:sSub>
              <m:d>
                <m:dPr>
                  <m:begChr m:val="("/>
                  <m:endChr m:val=")"/>
                  <m:sepChr m:val=""/>
                  <m:grow/>
                </m:dPr>
                <m:e>
                  <m:r>
                    <m:t>X</m:t>
                  </m:r>
                </m:e>
              </m:d>
            </m:e>
          </m:d>
          <m:r>
            <m:rPr>
              <m:sty m:val="p"/>
            </m:rPr>
            <m:t>.</m:t>
          </m:r>
        </m:oMath>
      </m:oMathPara>
    </w:p>
    <w:p>
      <w:pPr>
        <w:pStyle w:val="FirstParagraph"/>
      </w:pPr>
      <w:r>
        <w:t xml:space="preserve">The expected score has the form</w:t>
      </w:r>
    </w:p>
    <w:p>
      <w:pPr>
        <w:pStyle w:val="BodyText"/>
      </w:pPr>
      <m:oMathPara>
        <m:oMathParaPr>
          <m:jc m:val="center"/>
        </m:oMathParaPr>
        <m:oMath>
          <m:r>
            <m:rPr>
              <m:sty m:val="p"/>
              <m:scr m:val="double-struck"/>
            </m:rPr>
            <m:t>E</m:t>
          </m:r>
          <m:d>
            <m:dPr>
              <m:begChr m:val="["/>
              <m:endChr m:val="]"/>
              <m:sepChr m:val=""/>
              <m:grow/>
            </m:dPr>
            <m:e>
              <m:sSub>
                <m:e>
                  <m:r>
                    <m:t>S</m:t>
                  </m:r>
                </m:e>
                <m:sub>
                  <m:r>
                    <m:t>M</m:t>
                  </m:r>
                </m:sub>
              </m:sSub>
            </m:e>
          </m:d>
          <m:r>
            <m:rPr>
              <m:sty m:val="p"/>
            </m:rPr>
            <m:t>≈</m:t>
          </m:r>
          <m:r>
            <m:t>L</m:t>
          </m:r>
          <m:sSub>
            <m:e>
              <m:r>
                <m:t>G</m:t>
              </m:r>
            </m:e>
            <m:sub>
              <m:r>
                <m:t>M</m:t>
              </m:r>
            </m:sub>
          </m:sSub>
          <m:r>
            <m:rPr>
              <m:sty m:val="p"/>
            </m:rPr>
            <m:t>−</m:t>
          </m:r>
          <m:sSub>
            <m:e>
              <m:r>
                <m:rPr>
                  <m:sty m:val="p"/>
                </m:rPr>
                <m:t>pen</m:t>
              </m:r>
            </m:e>
            <m:sub>
              <m:r>
                <m:t>M</m:t>
              </m:r>
            </m:sub>
          </m:sSub>
          <m:d>
            <m:dPr>
              <m:begChr m:val="("/>
              <m:endChr m:val=")"/>
              <m:sepChr m:val=""/>
              <m:grow/>
            </m:dPr>
            <m:e>
              <m:r>
                <m:t>L</m:t>
              </m:r>
            </m:e>
          </m:d>
          <m:r>
            <m:rPr>
              <m:sty m:val="p"/>
            </m:rPr>
            <m:t>.</m:t>
          </m:r>
        </m:oMath>
      </m:oMathPara>
    </w:p>
    <w:p>
      <w:pPr>
        <w:pStyle w:val="FirstParagraph"/>
      </w:pPr>
      <w:r>
        <w:t xml:space="preserve">For the full multinomial model with equal segment sizes, the pooled null is the arithmetic mixture and</w:t>
      </w:r>
    </w:p>
    <w:p>
      <w:pPr>
        <w:pStyle w:val="BodyText"/>
      </w:pPr>
      <m:oMathPara>
        <m:oMathParaPr>
          <m:jc m:val="center"/>
        </m:oMathParaPr>
        <m:oMath>
          <m:sSub>
            <m:e>
              <m:r>
                <m:t>G</m:t>
              </m:r>
            </m:e>
            <m:sub>
              <m:r>
                <m:t>A</m:t>
              </m:r>
            </m:sub>
          </m:sSub>
          <m:r>
            <m:rPr>
              <m:sty m:val="p"/>
            </m:rPr>
            <m:t>=</m:t>
          </m:r>
          <m:r>
            <m:rPr>
              <m:sty m:val="p"/>
            </m:rPr>
            <m:t>JSD</m:t>
          </m:r>
          <m:d>
            <m:dPr>
              <m:begChr m:val="("/>
              <m:endChr m:val=")"/>
              <m:sepChr m:val=""/>
              <m:grow/>
            </m:dPr>
            <m:e>
              <m:sSub>
                <m:e>
                  <m:r>
                    <m:t>p</m:t>
                  </m:r>
                </m:e>
                <m:sub>
                  <m:r>
                    <m:t>L</m:t>
                  </m:r>
                </m:sub>
              </m:sSub>
              <m:r>
                <m:rPr>
                  <m:sty m:val="p"/>
                </m:rPr>
                <m:t>,</m:t>
              </m:r>
              <m:sSub>
                <m:e>
                  <m:r>
                    <m:t>p</m:t>
                  </m:r>
                </m:e>
                <m:sub>
                  <m:r>
                    <m:t>R</m:t>
                  </m:r>
                </m:sub>
              </m:sSub>
            </m:e>
          </m:d>
          <m:r>
            <m:rPr>
              <m:sty m:val="p"/>
            </m:rPr>
            <m:t>.</m:t>
          </m:r>
        </m:oMath>
      </m:oMathPara>
    </w:p>
    <w:p>
      <w:pPr>
        <w:pStyle w:val="FirstParagraph"/>
      </w:pPr>
      <w:r>
        <w:t xml:space="preserve">For a restricted family, the pooled null is generally a KL projection rather than the arithmetic mixture. Consequently, ordinary JSD should not be used automatically for Models B and C. The implementation computes each population gain by optimizing the corresponding population log likelihood.</w:t>
      </w:r>
    </w:p>
    <w:bookmarkEnd w:id="40"/>
    <w:bookmarkStart w:id="41" w:name="local-detection-laws"/>
    <w:p>
      <w:pPr>
        <w:pStyle w:val="Heading2"/>
      </w:pPr>
      <w:r>
        <w:t xml:space="preserve">6.2 Local detection laws</w:t>
      </w:r>
    </w:p>
    <w:p>
      <w:pPr>
        <w:pStyle w:val="FirstParagraph"/>
      </w:pPr>
      <w:r>
        <w:t xml:space="preserve">If</w:t>
      </w:r>
    </w:p>
    <w:p>
      <w:pPr>
        <w:pStyle w:val="BodyText"/>
      </w:pPr>
      <m:oMathPara>
        <m:oMathParaPr>
          <m:jc m:val="center"/>
        </m:oMathParaPr>
        <m:oMath>
          <m:sSub>
            <m:e>
              <m:r>
                <m:t>G</m:t>
              </m:r>
            </m:e>
            <m:sub>
              <m:r>
                <m:t>M</m:t>
              </m:r>
            </m:sub>
          </m:sSub>
          <m:r>
            <m:rPr>
              <m:sty m:val="p"/>
            </m:rPr>
            <m:t>=</m:t>
          </m:r>
          <m:sSub>
            <m:e>
              <m:r>
                <m:t>a</m:t>
              </m:r>
            </m:e>
            <m:sub>
              <m:r>
                <m:t>M</m:t>
              </m:r>
            </m:sub>
          </m:sSub>
          <m:sSup>
            <m:e>
              <m:r>
                <m:t>ε</m:t>
              </m:r>
            </m:e>
            <m:sup>
              <m:r>
                <m:t>2</m:t>
              </m:r>
            </m:sup>
          </m:sSup>
          <m:r>
            <m:rPr>
              <m:sty m:val="p"/>
            </m:rPr>
            <m:t>+</m:t>
          </m:r>
          <m:r>
            <m:t>o</m:t>
          </m:r>
          <m:d>
            <m:dPr>
              <m:begChr m:val="("/>
              <m:endChr m:val=")"/>
              <m:sepChr m:val=""/>
              <m:grow/>
            </m:dPr>
            <m:e>
              <m:sSup>
                <m:e>
                  <m:r>
                    <m:t>ε</m:t>
                  </m:r>
                </m:e>
                <m:sup>
                  <m:r>
                    <m:t>2</m:t>
                  </m:r>
                </m:sup>
              </m:sSup>
            </m:e>
          </m:d>
          <m:r>
            <m:rPr>
              <m:sty m:val="p"/>
            </m:rPr>
            <m:t>,</m:t>
          </m:r>
        </m:oMath>
      </m:oMathPara>
    </w:p>
    <w:p>
      <w:pPr>
        <w:pStyle w:val="FirstParagraph"/>
      </w:pPr>
      <w:r>
        <w:t xml:space="preserve">then the regular models have boundaries</w:t>
      </w:r>
    </w:p>
    <w:p>
      <w:pPr>
        <w:pStyle w:val="BodyText"/>
      </w:pPr>
      <m:oMathPara>
        <m:oMathParaPr>
          <m:jc m:val="center"/>
        </m:oMathParaPr>
        <m:oMath>
          <m:sSubSup>
            <m:e>
              <m:r>
                <m:t>ε</m:t>
              </m:r>
            </m:e>
            <m:sub>
              <m:r>
                <m:t>A</m:t>
              </m:r>
            </m:sub>
            <m:sup>
              <m:r>
                <m:t>2</m:t>
              </m:r>
            </m:sup>
          </m:sSubSup>
          <m:r>
            <m:rPr>
              <m:sty m:val="p"/>
            </m:rPr>
            <m:t>≍</m:t>
          </m:r>
          <m:f>
            <m:fPr>
              <m:type m:val="bar"/>
            </m:fPr>
            <m:num>
              <m:sSub>
                <m:e>
                  <m:r>
                    <m:t>d</m:t>
                  </m:r>
                </m:e>
                <m:sub>
                  <m:r>
                    <m:rPr>
                      <m:sty m:val="p"/>
                    </m:rPr>
                    <m:t>f</m:t>
                  </m:r>
                  <m:r>
                    <m:rPr>
                      <m:sty m:val="p"/>
                    </m:rPr>
                    <m:t>u</m:t>
                  </m:r>
                  <m:r>
                    <m:rPr>
                      <m:sty m:val="p"/>
                    </m:rPr>
                    <m:t>l</m:t>
                  </m:r>
                  <m:r>
                    <m:rPr>
                      <m:sty m:val="p"/>
                    </m:rPr>
                    <m:t>l</m:t>
                  </m:r>
                </m:sub>
              </m:sSub>
              <m:r>
                <m:rPr>
                  <m:sty m:val="p"/>
                </m:rPr>
                <m:t>log</m:t>
              </m:r>
              <m:r>
                <m:t>L</m:t>
              </m:r>
            </m:num>
            <m:den>
              <m:r>
                <m:t>2</m:t>
              </m:r>
              <m:sSub>
                <m:e>
                  <m:r>
                    <m:t>a</m:t>
                  </m:r>
                </m:e>
                <m:sub>
                  <m:r>
                    <m:t>A</m:t>
                  </m:r>
                </m:sub>
              </m:sSub>
              <m:r>
                <m:t>L</m:t>
              </m:r>
            </m:den>
          </m:f>
          <m:r>
            <m:rPr>
              <m:sty m:val="p"/>
            </m:rPr>
            <m:t>,</m:t>
          </m:r>
        </m:oMath>
      </m:oMathPara>
    </w:p>
    <w:p>
      <w:pPr>
        <w:pStyle w:val="FirstParagraph"/>
      </w:pPr>
      <w:r>
        <w:t xml:space="preserve">and</w:t>
      </w:r>
    </w:p>
    <w:p>
      <w:pPr>
        <w:pStyle w:val="BodyText"/>
      </w:pPr>
      <m:oMathPara>
        <m:oMathParaPr>
          <m:jc m:val="center"/>
        </m:oMathParaPr>
        <m:oMath>
          <m:sSubSup>
            <m:e>
              <m:r>
                <m:t>ε</m:t>
              </m:r>
            </m:e>
            <m:sub>
              <m:r>
                <m:t>B</m:t>
              </m:r>
            </m:sub>
            <m:sup>
              <m:r>
                <m:t>2</m:t>
              </m:r>
            </m:sup>
          </m:sSubSup>
          <m:r>
            <m:rPr>
              <m:sty m:val="p"/>
            </m:rPr>
            <m:t>≍</m:t>
          </m:r>
          <m:f>
            <m:fPr>
              <m:type m:val="bar"/>
            </m:fPr>
            <m:num>
              <m:sSub>
                <m:e>
                  <m:r>
                    <m:t>d</m:t>
                  </m:r>
                </m:e>
                <m:sub>
                  <m:r>
                    <m:rPr>
                      <m:sty m:val="p"/>
                    </m:rPr>
                    <m:t>f</m:t>
                  </m:r>
                  <m:r>
                    <m:rPr>
                      <m:sty m:val="p"/>
                    </m:rPr>
                    <m:t>u</m:t>
                  </m:r>
                  <m:r>
                    <m:rPr>
                      <m:sty m:val="p"/>
                    </m:rPr>
                    <m:t>n</m:t>
                  </m:r>
                  <m:r>
                    <m:rPr>
                      <m:sty m:val="p"/>
                    </m:rPr>
                    <m:t>d</m:t>
                  </m:r>
                </m:sub>
              </m:sSub>
              <m:r>
                <m:rPr>
                  <m:sty m:val="p"/>
                </m:rPr>
                <m:t>log</m:t>
              </m:r>
              <m:r>
                <m:t>L</m:t>
              </m:r>
            </m:num>
            <m:den>
              <m:r>
                <m:t>2</m:t>
              </m:r>
              <m:sSub>
                <m:e>
                  <m:r>
                    <m:t>a</m:t>
                  </m:r>
                </m:e>
                <m:sub>
                  <m:r>
                    <m:t>B</m:t>
                  </m:r>
                </m:sub>
              </m:sSub>
              <m:r>
                <m:t>L</m:t>
              </m:r>
            </m:den>
          </m:f>
          <m:r>
            <m:rPr>
              <m:sty m:val="p"/>
            </m:rPr>
            <m:t>.</m:t>
          </m:r>
        </m:oMath>
      </m:oMathPara>
    </w:p>
    <w:p>
      <w:pPr>
        <w:pStyle w:val="FirstParagraph"/>
      </w:pPr>
      <w:r>
        <w:t xml:space="preserve">For a regular shared-orbit stratum with fixed</w:t>
      </w:r>
      <w:r>
        <w:t xml:space="preserve"> </w:t>
      </w:r>
      <m:oMath>
        <m:r>
          <m:t>g</m:t>
        </m:r>
      </m:oMath>
      <w:r>
        <w:t xml:space="preserve"> </w:t>
      </w:r>
      <w:r>
        <w:t xml:space="preserve">and an explicit label code,</w:t>
      </w:r>
    </w:p>
    <w:p>
      <w:pPr>
        <w:pStyle w:val="BodyText"/>
      </w:pPr>
      <m:oMathPara>
        <m:oMathParaPr>
          <m:jc m:val="center"/>
        </m:oMathParaPr>
        <m:oMath>
          <m:sSubSup>
            <m:e>
              <m:r>
                <m:t>ε</m:t>
              </m:r>
            </m:e>
            <m:sub>
              <m:r>
                <m:t>C</m:t>
              </m:r>
            </m:sub>
            <m:sup>
              <m:r>
                <m:t>2</m:t>
              </m:r>
            </m:sup>
          </m:sSubSup>
          <m:r>
            <m:rPr>
              <m:sty m:val="p"/>
            </m:rPr>
            <m:t>≍</m:t>
          </m:r>
          <m:f>
            <m:fPr>
              <m:type m:val="bar"/>
            </m:fPr>
            <m:num>
              <m:r>
                <m:rPr>
                  <m:sty m:val="p"/>
                </m:rPr>
                <m:t>log</m:t>
              </m:r>
              <m:d>
                <m:dPr>
                  <m:begChr m:val="("/>
                  <m:endChr m:val=")"/>
                  <m:sepChr m:val=""/>
                  <m:grow/>
                </m:dPr>
                <m:e>
                  <m:r>
                    <m:t>g</m:t>
                  </m:r>
                  <m:r>
                    <m:rPr>
                      <m:sty m:val="p"/>
                    </m:rPr>
                    <m:t>−</m:t>
                  </m:r>
                  <m:r>
                    <m:t>1</m:t>
                  </m:r>
                </m:e>
              </m:d>
              <m:r>
                <m:rPr>
                  <m:sty m:val="p"/>
                </m:rPr>
                <m:t>+</m:t>
              </m:r>
              <m:r>
                <m:t>O</m:t>
              </m:r>
              <m:d>
                <m:dPr>
                  <m:begChr m:val="("/>
                  <m:endChr m:val=")"/>
                  <m:sepChr m:val=""/>
                  <m:grow/>
                </m:dPr>
                <m:e>
                  <m:r>
                    <m:t>1</m:t>
                  </m:r>
                </m:e>
              </m:d>
            </m:num>
            <m:den>
              <m:sSub>
                <m:e>
                  <m:r>
                    <m:t>a</m:t>
                  </m:r>
                </m:e>
                <m:sub>
                  <m:r>
                    <m:t>C</m:t>
                  </m:r>
                </m:sub>
              </m:sSub>
              <m:r>
                <m:t>L</m:t>
              </m:r>
            </m:den>
          </m:f>
          <m:r>
            <m:rPr>
              <m:sty m:val="p"/>
            </m:rPr>
            <m:t>.</m:t>
          </m:r>
        </m:oMath>
      </m:oMathPara>
    </w:p>
    <w:p>
      <w:pPr>
        <w:pStyle w:val="FirstParagraph"/>
      </w:pPr>
      <w:r>
        <w:t xml:space="preserve">The stronger</w:t>
      </w:r>
      <w:r>
        <w:t xml:space="preserve"> </w:t>
      </w:r>
      <m:oMath>
        <m:r>
          <m:t>1</m:t>
        </m:r>
        <m:r>
          <m:rPr>
            <m:sty m:val="p"/>
          </m:rPr>
          <m:t>/</m:t>
        </m:r>
        <m:r>
          <m:t>L</m:t>
        </m:r>
      </m:oMath>
      <w:r>
        <w:t xml:space="preserve"> </w:t>
      </w:r>
      <w:r>
        <w:t xml:space="preserve">scaling of Model C arises not merely from a smaller tangent space, but from sharing the continuous state across the boundary.</w:t>
      </w:r>
    </w:p>
    <w:bookmarkEnd w:id="41"/>
    <w:bookmarkStart w:id="42" w:name="singular-qualification"/>
    <w:p>
      <w:pPr>
        <w:pStyle w:val="Heading2"/>
      </w:pPr>
      <w:r>
        <w:t xml:space="preserve">6.3 Singular qualification</w:t>
      </w:r>
    </w:p>
    <w:p>
      <w:pPr>
        <w:pStyle w:val="FirstParagraph"/>
      </w:pPr>
      <w:r>
        <w:t xml:space="preserve">At</w:t>
      </w:r>
      <w:r>
        <w:t xml:space="preserve"> </w:t>
      </w:r>
      <m:oMath>
        <m:r>
          <m:t>η</m:t>
        </m:r>
        <m:r>
          <m:rPr>
            <m:sty m:val="p"/>
          </m:rPr>
          <m:t>=</m:t>
        </m:r>
        <m:r>
          <m:t>0</m:t>
        </m:r>
      </m:oMath>
      <w:r>
        <w:t xml:space="preserve">, all orbit elements coincide. The relative label is then unidentifiable, and the shared-orbit model is singular. The two-part code still adds no independent continuous parameter vector, but exact Bayesian asymptotics near orbit collapse may contain nonregular corrections [6]. The empirical study therefore treats a zero leading coefficient as a theoretical structural prediction, while allowing finite-sample residual length dependence.</w:t>
      </w:r>
    </w:p>
    <w:bookmarkEnd w:id="42"/>
    <w:bookmarkEnd w:id="43"/>
    <w:bookmarkStart w:id="48" w:name="detector-implementation"/>
    <w:p>
      <w:pPr>
        <w:pStyle w:val="Heading1"/>
      </w:pPr>
      <w:r>
        <w:t xml:space="preserve">7. Detector implementation</w:t>
      </w:r>
    </w:p>
    <w:bookmarkStart w:id="44" w:name="full-detector"/>
    <w:p>
      <w:pPr>
        <w:pStyle w:val="Heading2"/>
      </w:pPr>
      <w:r>
        <w:t xml:space="preserve">7.1 Full detector</w:t>
      </w:r>
    </w:p>
    <w:p>
      <w:pPr>
        <w:pStyle w:val="FirstParagraph"/>
      </w:pPr>
      <w:r>
        <w:t xml:space="preserve">The production rerun used a BIC-scored unrestricted multinomial detector so that all three detectors could be compared through maximized likelihood plus explicit complexity increments. For count vectors</w:t>
      </w:r>
      <w:r>
        <w:t xml:space="preserve"> </w:t>
      </w:r>
      <m:oMath>
        <m:sSub>
          <m:e>
            <m:r>
              <m:t>c</m:t>
            </m:r>
          </m:e>
          <m:sub>
            <m:r>
              <m:t>L</m:t>
            </m:r>
          </m:sub>
        </m:sSub>
      </m:oMath>
      <w:r>
        <w:t xml:space="preserve"> </w:t>
      </w:r>
      <w:r>
        <w:t xml:space="preserve">and</w:t>
      </w:r>
      <w:r>
        <w:t xml:space="preserve"> </w:t>
      </w:r>
      <m:oMath>
        <m:sSub>
          <m:e>
            <m:r>
              <m:t>c</m:t>
            </m:r>
          </m:e>
          <m:sub>
            <m:r>
              <m:t>R</m:t>
            </m:r>
          </m:sub>
        </m:sSub>
      </m:oMath>
      <w:r>
        <w:t xml:space="preserve">, the raw gain is</w:t>
      </w:r>
    </w:p>
    <w:p>
      <w:pPr>
        <w:pStyle w:val="BodyText"/>
      </w:pPr>
      <m:oMathPara>
        <m:oMathParaPr>
          <m:jc m:val="center"/>
        </m:oMathParaPr>
        <m:oMath>
          <m:r>
            <m:rPr>
              <m:sty m:val="p"/>
            </m:rPr>
            <m:t>ℓ</m:t>
          </m:r>
          <m:d>
            <m:dPr>
              <m:begChr m:val="("/>
              <m:endChr m:val=")"/>
              <m:sepChr m:val=""/>
              <m:grow/>
            </m:dPr>
            <m:e>
              <m:sSub>
                <m:e>
                  <m:acc>
                    <m:accPr>
                      <m:chr m:val="̂"/>
                    </m:accPr>
                    <m:e>
                      <m:r>
                        <m:t>p</m:t>
                      </m:r>
                    </m:e>
                  </m:acc>
                </m:e>
                <m:sub>
                  <m:r>
                    <m:t>L</m:t>
                  </m:r>
                </m:sub>
              </m:sSub>
              <m:r>
                <m:rPr>
                  <m:sty m:val="p"/>
                </m:rPr>
                <m:t>;</m:t>
              </m:r>
              <m:sSub>
                <m:e>
                  <m:r>
                    <m:t>c</m:t>
                  </m:r>
                </m:e>
                <m:sub>
                  <m:r>
                    <m:t>L</m:t>
                  </m:r>
                </m:sub>
              </m:sSub>
            </m:e>
          </m:d>
          <m:r>
            <m:rPr>
              <m:sty m:val="p"/>
            </m:rPr>
            <m:t>+</m:t>
          </m:r>
          <m:r>
            <m:rPr>
              <m:sty m:val="p"/>
            </m:rPr>
            <m:t>ℓ</m:t>
          </m:r>
          <m:d>
            <m:dPr>
              <m:begChr m:val="("/>
              <m:endChr m:val=")"/>
              <m:sepChr m:val=""/>
              <m:grow/>
            </m:dPr>
            <m:e>
              <m:sSub>
                <m:e>
                  <m:acc>
                    <m:accPr>
                      <m:chr m:val="̂"/>
                    </m:accPr>
                    <m:e>
                      <m:r>
                        <m:t>p</m:t>
                      </m:r>
                    </m:e>
                  </m:acc>
                </m:e>
                <m:sub>
                  <m:r>
                    <m:t>R</m:t>
                  </m:r>
                </m:sub>
              </m:sSub>
              <m:r>
                <m:rPr>
                  <m:sty m:val="p"/>
                </m:rPr>
                <m:t>;</m:t>
              </m:r>
              <m:sSub>
                <m:e>
                  <m:r>
                    <m:t>c</m:t>
                  </m:r>
                </m:e>
                <m:sub>
                  <m:r>
                    <m:t>R</m:t>
                  </m:r>
                </m:sub>
              </m:sSub>
            </m:e>
          </m:d>
          <m:r>
            <m:rPr>
              <m:sty m:val="p"/>
            </m:rPr>
            <m:t>−</m:t>
          </m:r>
          <m:r>
            <m:rPr>
              <m:sty m:val="p"/>
            </m:rPr>
            <m:t>ℓ</m:t>
          </m:r>
          <m:d>
            <m:dPr>
              <m:begChr m:val="("/>
              <m:endChr m:val=")"/>
              <m:sepChr m:val=""/>
              <m:grow/>
            </m:dPr>
            <m:e>
              <m:acc>
                <m:accPr>
                  <m:chr m:val="̂"/>
                </m:accPr>
                <m:e>
                  <m:r>
                    <m:t>p</m:t>
                  </m:r>
                </m:e>
              </m:acc>
              <m:r>
                <m:rPr>
                  <m:sty m:val="p"/>
                </m:rPr>
                <m:t>;</m:t>
              </m:r>
              <m:sSub>
                <m:e>
                  <m:r>
                    <m:t>c</m:t>
                  </m:r>
                </m:e>
                <m:sub>
                  <m:r>
                    <m:t>L</m:t>
                  </m:r>
                </m:sub>
              </m:sSub>
              <m:r>
                <m:rPr>
                  <m:sty m:val="p"/>
                </m:rPr>
                <m:t>+</m:t>
              </m:r>
              <m:sSub>
                <m:e>
                  <m:r>
                    <m:t>c</m:t>
                  </m:r>
                </m:e>
                <m:sub>
                  <m:r>
                    <m:t>R</m:t>
                  </m:r>
                </m:sub>
              </m:sSub>
            </m:e>
          </m:d>
          <m:r>
            <m:rPr>
              <m:sty m:val="p"/>
            </m:rPr>
            <m:t>.</m:t>
          </m:r>
        </m:oMath>
      </m:oMathPara>
    </w:p>
    <w:p>
      <w:pPr>
        <w:pStyle w:val="FirstParagraph"/>
      </w:pPr>
      <w:r>
        <w:t xml:space="preserve">The penalty is the exact known-split increment</w:t>
      </w:r>
    </w:p>
    <w:p>
      <w:pPr>
        <w:pStyle w:val="BodyText"/>
      </w:pPr>
      <m:oMathPara>
        <m:oMathParaPr>
          <m:jc m:val="center"/>
        </m:oMathParaPr>
        <m:oMath>
          <m:f>
            <m:fPr>
              <m:type m:val="bar"/>
            </m:fPr>
            <m:num>
              <m:r>
                <m:t>g</m:t>
              </m:r>
              <m:r>
                <m:rPr>
                  <m:sty m:val="p"/>
                </m:rPr>
                <m:t>−</m:t>
              </m:r>
              <m:r>
                <m:t>1</m:t>
              </m:r>
            </m:num>
            <m:den>
              <m:r>
                <m:t>2</m:t>
              </m:r>
            </m:den>
          </m:f>
          <m:d>
            <m:dPr>
              <m:begChr m:val="["/>
              <m:endChr m:val="]"/>
              <m:sepChr m:val=""/>
              <m:grow/>
            </m:dPr>
            <m:e>
              <m:r>
                <m:rPr>
                  <m:sty m:val="p"/>
                </m:rPr>
                <m:t>log</m:t>
              </m:r>
              <m:sSub>
                <m:e>
                  <m:r>
                    <m:t>L</m:t>
                  </m:r>
                </m:e>
                <m:sub>
                  <m:r>
                    <m:t>1</m:t>
                  </m:r>
                </m:sub>
              </m:sSub>
              <m:r>
                <m:rPr>
                  <m:sty m:val="p"/>
                </m:rPr>
                <m:t>+</m:t>
              </m:r>
              <m:r>
                <m:rPr>
                  <m:sty m:val="p"/>
                </m:rPr>
                <m:t>log</m:t>
              </m:r>
              <m:sSub>
                <m:e>
                  <m:r>
                    <m:t>L</m:t>
                  </m:r>
                </m:e>
                <m:sub>
                  <m:r>
                    <m:t>2</m:t>
                  </m:r>
                </m:sub>
              </m:sSub>
              <m:r>
                <m:rPr>
                  <m:sty m:val="p"/>
                </m:rPr>
                <m:t>−</m:t>
              </m:r>
              <m:r>
                <m:rPr>
                  <m:sty m:val="p"/>
                </m:rPr>
                <m:t>log</m:t>
              </m:r>
              <m:r>
                <m:t>L</m:t>
              </m:r>
            </m:e>
          </m:d>
          <m:r>
            <m:rPr>
              <m:sty m:val="p"/>
            </m:rPr>
            <m:t>.</m:t>
          </m:r>
        </m:oMath>
      </m:oMathPara>
    </w:p>
    <w:p>
      <w:pPr>
        <w:pStyle w:val="FirstParagraph"/>
      </w:pPr>
      <w:r>
        <w:t xml:space="preserve">An exact KT/Dirichlet-</w:t>
      </w:r>
      <m:oMath>
        <m:r>
          <m:t>1</m:t>
        </m:r>
        <m:r>
          <m:rPr>
            <m:sty m:val="p"/>
          </m:rPr>
          <m:t>/</m:t>
        </m:r>
        <m:r>
          <m:t>2</m:t>
        </m:r>
      </m:oMath>
      <w:r>
        <w:t xml:space="preserve"> </w:t>
      </w:r>
      <w:r>
        <w:t xml:space="preserve">implementation is also available in the accompanying code, but it was not used for the reported production slopes.</w:t>
      </w:r>
    </w:p>
    <w:bookmarkEnd w:id="44"/>
    <w:bookmarkStart w:id="45" w:name="fundamental-detector"/>
    <w:p>
      <w:pPr>
        <w:pStyle w:val="Heading2"/>
      </w:pPr>
      <w:r>
        <w:t xml:space="preserve">7.2 Fundamental detector</w:t>
      </w:r>
    </w:p>
    <w:p>
      <w:pPr>
        <w:pStyle w:val="FirstParagraph"/>
      </w:pPr>
      <w:r>
        <w:t xml:space="preserve">The null fits one coordinate vector</w:t>
      </w:r>
      <w:r>
        <w:t xml:space="preserve"> </w:t>
      </w:r>
      <m:oMath>
        <m:r>
          <m:t>η</m:t>
        </m:r>
      </m:oMath>
      <w:r>
        <w:t xml:space="preserve"> </w:t>
      </w:r>
      <w:r>
        <w:t xml:space="preserve">to the combined counts. The alternative fits</w:t>
      </w:r>
      <w:r>
        <w:t xml:space="preserve"> </w:t>
      </w:r>
      <m:oMath>
        <m:sSub>
          <m:e>
            <m:r>
              <m:t>η</m:t>
            </m:r>
          </m:e>
          <m:sub>
            <m:r>
              <m:t>L</m:t>
            </m:r>
          </m:sub>
        </m:sSub>
      </m:oMath>
      <w:r>
        <w:t xml:space="preserve"> </w:t>
      </w:r>
      <w:r>
        <w:t xml:space="preserve">and</w:t>
      </w:r>
      <w:r>
        <w:t xml:space="preserve"> </w:t>
      </w:r>
      <m:oMath>
        <m:sSub>
          <m:e>
            <m:r>
              <m:t>η</m:t>
            </m:r>
          </m:e>
          <m:sub>
            <m:r>
              <m:t>R</m:t>
            </m:r>
          </m:sub>
        </m:sSub>
      </m:oMath>
      <w:r>
        <w:t xml:space="preserve"> </w:t>
      </w:r>
      <w:r>
        <w:t xml:space="preserve">separately. Optimization uses L-BFGS-B with analytical gradients in Cartesian Fourier coordinates and a smooth softmax map. The penalty is the exact known-split BIC increment with dimension</w:t>
      </w:r>
      <w:r>
        <w:t xml:space="preserve"> </w:t>
      </w:r>
      <m:oMath>
        <m:sSub>
          <m:e>
            <m:r>
              <m:t>d</m:t>
            </m:r>
          </m:e>
          <m:sub>
            <m:r>
              <m:rPr>
                <m:sty m:val="p"/>
              </m:rPr>
              <m:t>f</m:t>
            </m:r>
            <m:r>
              <m:rPr>
                <m:sty m:val="p"/>
              </m:rPr>
              <m:t>u</m:t>
            </m:r>
            <m:r>
              <m:rPr>
                <m:sty m:val="p"/>
              </m:rPr>
              <m:t>n</m:t>
            </m:r>
            <m:r>
              <m:rPr>
                <m:sty m:val="p"/>
              </m:rPr>
              <m:t>d</m:t>
            </m:r>
          </m:sub>
        </m:sSub>
      </m:oMath>
      <w:r>
        <w:t xml:space="preserve">.</w:t>
      </w:r>
    </w:p>
    <w:bookmarkEnd w:id="45"/>
    <w:bookmarkStart w:id="46" w:name="shared-orbit-detector"/>
    <w:p>
      <w:pPr>
        <w:pStyle w:val="Heading2"/>
      </w:pPr>
      <w:r>
        <w:t xml:space="preserve">7.3 Shared-orbit detector</w:t>
      </w:r>
    </w:p>
    <w:p>
      <w:pPr>
        <w:pStyle w:val="FirstParagraph"/>
      </w:pPr>
      <w:r>
        <w:t xml:space="preserve">The null fits one</w:t>
      </w:r>
      <w:r>
        <w:t xml:space="preserve"> </w:t>
      </w:r>
      <m:oMath>
        <m:r>
          <m:t>η</m:t>
        </m:r>
      </m:oMath>
      <w:r>
        <w:t xml:space="preserve"> </w:t>
      </w:r>
      <w:r>
        <w:t xml:space="preserve">to the combined counts. For each nonidentity shift</w:t>
      </w:r>
      <w:r>
        <w:t xml:space="preserve"> </w:t>
      </w:r>
      <m:oMath>
        <m:r>
          <m:t>r</m:t>
        </m:r>
      </m:oMath>
      <w:r>
        <w:t xml:space="preserve">, the right counts are aligned by</w:t>
      </w:r>
      <w:r>
        <w:t xml:space="preserve"> </w:t>
      </w:r>
      <m:oMath>
        <m:r>
          <m:rPr>
            <m:sty m:val="p"/>
          </m:rPr>
          <m:t>−</m:t>
        </m:r>
        <m:r>
          <m:t>r</m:t>
        </m:r>
      </m:oMath>
      <w:r>
        <w:t xml:space="preserve">, pooled with the left counts, and fitted with one shared</w:t>
      </w:r>
      <w:r>
        <w:t xml:space="preserve"> </w:t>
      </w:r>
      <m:oMath>
        <m:r>
          <m:t>η</m:t>
        </m:r>
      </m:oMath>
      <w:r>
        <w:t xml:space="preserve">. The alternative chooses the shift with the largest shared-state likelihood. Its penalty is</w:t>
      </w:r>
    </w:p>
    <w:p>
      <w:pPr>
        <w:pStyle w:val="BodyText"/>
      </w:pPr>
      <m:oMathPara>
        <m:oMathParaPr>
          <m:jc m:val="center"/>
        </m:oMathParaPr>
        <m:oMath>
          <m:r>
            <m:rPr>
              <m:sty m:val="p"/>
            </m:rPr>
            <m:t>log</m:t>
          </m:r>
          <m:d>
            <m:dPr>
              <m:begChr m:val="("/>
              <m:endChr m:val=")"/>
              <m:sepChr m:val=""/>
              <m:grow/>
            </m:dPr>
            <m:e>
              <m:r>
                <m:t>g</m:t>
              </m:r>
              <m:r>
                <m:rPr>
                  <m:sty m:val="p"/>
                </m:rPr>
                <m:t>−</m:t>
              </m:r>
              <m:r>
                <m:t>1</m:t>
              </m:r>
            </m:e>
          </m:d>
          <m:r>
            <m:rPr>
              <m:sty m:val="p"/>
            </m:rPr>
            <m:t>,</m:t>
          </m:r>
        </m:oMath>
      </m:oMathPara>
    </w:p>
    <w:p>
      <w:pPr>
        <w:pStyle w:val="FirstParagraph"/>
      </w:pPr>
      <w:r>
        <w:t xml:space="preserve">with no location cost and no continuous-dimension increment.</w:t>
      </w:r>
    </w:p>
    <w:p>
      <w:pPr>
        <w:pStyle w:val="BodyText"/>
      </w:pPr>
      <w:r>
        <w:t xml:space="preserve">For</w:t>
      </w:r>
      <w:r>
        <w:t xml:space="preserve"> </w:t>
      </w:r>
      <m:oMath>
        <m:r>
          <m:t>g</m:t>
        </m:r>
        <m:r>
          <m:rPr>
            <m:sty m:val="p"/>
          </m:rPr>
          <m:t>=</m:t>
        </m:r>
        <m:r>
          <m:t>2</m:t>
        </m:r>
      </m:oMath>
      <w:r>
        <w:t xml:space="preserve">, there is only one nonidentity shift and the label cost is</w:t>
      </w:r>
      <w:r>
        <w:t xml:space="preserve"> </w:t>
      </w:r>
      <m:oMath>
        <m:r>
          <m:rPr>
            <m:sty m:val="p"/>
          </m:rPr>
          <m:t>log</m:t>
        </m:r>
        <m:r>
          <m:t>1</m:t>
        </m:r>
        <m:r>
          <m:rPr>
            <m:sty m:val="p"/>
          </m:rPr>
          <m:t>=</m:t>
        </m:r>
        <m:r>
          <m:t>0</m:t>
        </m:r>
      </m:oMath>
      <w:r>
        <w:t xml:space="preserve">.</w:t>
      </w:r>
    </w:p>
    <w:bookmarkEnd w:id="46"/>
    <w:bookmarkStart w:id="47" w:name="structural-validation"/>
    <w:p>
      <w:pPr>
        <w:pStyle w:val="Heading2"/>
      </w:pPr>
      <w:r>
        <w:t xml:space="preserve">7.4 Structural validation</w:t>
      </w:r>
    </w:p>
    <w:p>
      <w:pPr>
        <w:pStyle w:val="FirstParagraph"/>
      </w:pPr>
      <w:r>
        <w:t xml:space="preserve">Before the production run, six automated tests were executed. They verified:</w:t>
      </w:r>
    </w:p>
    <w:p>
      <w:pPr>
        <w:pStyle w:val="Compact"/>
        <w:numPr>
          <w:ilvl w:val="0"/>
          <w:numId w:val="1002"/>
        </w:numPr>
      </w:pPr>
      <w:r>
        <w:t xml:space="preserve">Fisher orthonormality of the Fourier basis;</w:t>
      </w:r>
    </w:p>
    <w:p>
      <w:pPr>
        <w:pStyle w:val="Compact"/>
        <w:numPr>
          <w:ilvl w:val="0"/>
          <w:numId w:val="1002"/>
        </w:numPr>
      </w:pPr>
      <w:r>
        <w:t xml:space="preserve">exact cyclic equivariance;</w:t>
      </w:r>
    </w:p>
    <w:p>
      <w:pPr>
        <w:pStyle w:val="Compact"/>
        <w:numPr>
          <w:ilvl w:val="0"/>
          <w:numId w:val="1002"/>
        </w:numPr>
      </w:pPr>
      <w:r>
        <w:t xml:space="preserve">the intended continuous-dimension increments;</w:t>
      </w:r>
    </w:p>
    <w:p>
      <w:pPr>
        <w:pStyle w:val="Compact"/>
        <w:numPr>
          <w:ilvl w:val="0"/>
          <w:numId w:val="1002"/>
        </w:numPr>
      </w:pPr>
      <w:r>
        <w:t xml:space="preserve">equality of Models A and B for</w:t>
      </w:r>
      <w:r>
        <w:t xml:space="preserve"> </w:t>
      </w:r>
      <m:oMath>
        <m:sSub>
          <m:e>
            <m:r>
              <m:t>C</m:t>
            </m:r>
          </m:e>
          <m:sub>
            <m:r>
              <m:t>2</m:t>
            </m:r>
          </m:sub>
        </m:sSub>
      </m:oMath>
      <w:r>
        <w:t xml:space="preserve"> </w:t>
      </w:r>
      <w:r>
        <w:t xml:space="preserve">and</w:t>
      </w:r>
      <w:r>
        <w:t xml:space="preserve"> </w:t>
      </w:r>
      <m:oMath>
        <m:sSub>
          <m:e>
            <m:r>
              <m:t>C</m:t>
            </m:r>
          </m:e>
          <m:sub>
            <m:r>
              <m:t>3</m:t>
            </m:r>
          </m:sub>
        </m:sSub>
      </m:oMath>
      <w:r>
        <w:t xml:space="preserve">, where the fundamental component spans the full nontrivial tangent space;</w:t>
      </w:r>
    </w:p>
    <w:p>
      <w:pPr>
        <w:pStyle w:val="Compact"/>
        <w:numPr>
          <w:ilvl w:val="0"/>
          <w:numId w:val="1002"/>
        </w:numPr>
      </w:pPr>
      <w:r>
        <w:t xml:space="preserve">recovery of planted relative shifts in smoke data;</w:t>
      </w:r>
    </w:p>
    <w:p>
      <w:pPr>
        <w:pStyle w:val="Compact"/>
        <w:numPr>
          <w:ilvl w:val="0"/>
          <w:numId w:val="1002"/>
        </w:numPr>
      </w:pPr>
      <w:r>
        <w:t xml:space="preserve">absence of a sample-length-dependent penalty in Model C.</w:t>
      </w:r>
    </w:p>
    <w:p>
      <w:pPr>
        <w:pStyle w:val="FirstParagraph"/>
      </w:pPr>
      <w:r>
        <w:t xml:space="preserve">All six tests passed.</w:t>
      </w:r>
    </w:p>
    <w:bookmarkEnd w:id="47"/>
    <w:bookmarkEnd w:id="48"/>
    <w:bookmarkStart w:id="57" w:name="monte-carlo-design"/>
    <w:p>
      <w:pPr>
        <w:pStyle w:val="Heading1"/>
      </w:pPr>
      <w:r>
        <w:t xml:space="preserve">8. Monte Carlo design</w:t>
      </w:r>
    </w:p>
    <w:bookmarkStart w:id="49" w:name="simulation-grid"/>
    <w:p>
      <w:pPr>
        <w:pStyle w:val="Heading2"/>
      </w:pPr>
      <w:r>
        <w:t xml:space="preserve">8.1 Simulation grid</w:t>
      </w:r>
    </w:p>
    <w:p>
      <w:pPr>
        <w:pStyle w:val="FirstParagraph"/>
      </w:pPr>
      <w:r>
        <w:t xml:space="preserve">The production experiment used the design in Table 2.</w:t>
      </w:r>
    </w:p>
    <w:p>
      <w:pPr>
        <w:pStyle w:val="BodyText"/>
      </w:pPr>
      <w:r>
        <w:rPr>
          <w:b/>
          <w:bCs/>
        </w:rPr>
        <w:t xml:space="preserve">Table 2. Production Monte Carlo design.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Values</w:t>
            </w:r>
          </w:p>
        </w:tc>
      </w:tr>
      <w:tr>
        <w:tc>
          <w:tcPr/>
          <w:p>
            <w:pPr>
              <w:pStyle w:val="Compact"/>
              <w:jc w:val="left"/>
            </w:pPr>
            <w:r>
              <w:t xml:space="preserve">Cyclic groups</w:t>
            </w:r>
          </w:p>
        </w:tc>
        <w:tc>
          <w:tcPr/>
          <w:p>
            <w:pPr>
              <w:pStyle w:val="Compact"/>
              <w:jc w:val="left"/>
            </w:pPr>
            <m:oMath>
              <m:sSub>
                <m:e>
                  <m:r>
                    <m:t>C</m:t>
                  </m:r>
                </m:e>
                <m:sub>
                  <m:r>
                    <m:t>2</m:t>
                  </m:r>
                </m:sub>
              </m:sSub>
              <m:r>
                <m:rPr>
                  <m:sty m:val="p"/>
                </m:rPr>
                <m:t>,</m:t>
              </m:r>
              <m:sSub>
                <m:e>
                  <m:r>
                    <m:t>C</m:t>
                  </m:r>
                </m:e>
                <m:sub>
                  <m:r>
                    <m:t>3</m:t>
                  </m:r>
                </m:sub>
              </m:sSub>
              <m:r>
                <m:rPr>
                  <m:sty m:val="p"/>
                </m:rPr>
                <m:t>,</m:t>
              </m:r>
              <m:sSub>
                <m:e>
                  <m:r>
                    <m:t>C</m:t>
                  </m:r>
                </m:e>
                <m:sub>
                  <m:r>
                    <m:t>4</m:t>
                  </m:r>
                </m:sub>
              </m:sSub>
              <m:r>
                <m:rPr>
                  <m:sty m:val="p"/>
                </m:rPr>
                <m:t>,</m:t>
              </m:r>
              <m:sSub>
                <m:e>
                  <m:r>
                    <m:t>C</m:t>
                  </m:r>
                </m:e>
                <m:sub>
                  <m:r>
                    <m:t>5</m:t>
                  </m:r>
                </m:sub>
              </m:sSub>
              <m:r>
                <m:rPr>
                  <m:sty m:val="p"/>
                </m:rPr>
                <m:t>,</m:t>
              </m:r>
              <m:sSub>
                <m:e>
                  <m:r>
                    <m:t>C</m:t>
                  </m:r>
                </m:e>
                <m:sub>
                  <m:r>
                    <m:t>6</m:t>
                  </m:r>
                </m:sub>
              </m:sSub>
            </m:oMath>
          </w:p>
        </w:tc>
      </w:tr>
      <w:tr>
        <w:tc>
          <w:tcPr/>
          <w:p>
            <w:pPr>
              <w:pStyle w:val="Compact"/>
              <w:jc w:val="left"/>
            </w:pPr>
            <w:r>
              <w:t xml:space="preserve">Effect coordinates</w:t>
            </w:r>
          </w:p>
        </w:tc>
        <w:tc>
          <w:tcPr/>
          <w:p>
            <w:pPr>
              <w:pStyle w:val="Compact"/>
              <w:jc w:val="left"/>
            </w:pPr>
            <w:r>
              <w:t xml:space="preserve">0.08, 0.12, 0.18, 0.25</w:t>
            </w:r>
          </w:p>
        </w:tc>
      </w:tr>
      <w:tr>
        <w:tc>
          <w:tcPr/>
          <w:p>
            <w:pPr>
              <w:pStyle w:val="Compact"/>
              <w:jc w:val="left"/>
            </w:pPr>
            <w:r>
              <w:t xml:space="preserve">Segment length per side</w:t>
            </w:r>
          </w:p>
        </w:tc>
        <w:tc>
          <w:tcPr/>
          <w:p>
            <w:pPr>
              <w:pStyle w:val="Compact"/>
              <w:jc w:val="left"/>
            </w:pPr>
            <w:r>
              <w:t xml:space="preserve">100, 200, 400, 800, 1,600, 3,200</w:t>
            </w:r>
          </w:p>
        </w:tc>
      </w:tr>
      <w:tr>
        <w:tc>
          <w:tcPr/>
          <w:p>
            <w:pPr>
              <w:pStyle w:val="Compact"/>
              <w:jc w:val="left"/>
            </w:pPr>
            <w:r>
              <w:t xml:space="preserve">Total length</w:t>
            </w:r>
            <w:r>
              <w:t xml:space="preserve"> </w:t>
            </w:r>
            <m:oMath>
              <m:r>
                <m:t>L</m:t>
              </m:r>
            </m:oMath>
          </w:p>
        </w:tc>
        <w:tc>
          <w:tcPr/>
          <w:p>
            <w:pPr>
              <w:pStyle w:val="Compact"/>
              <w:jc w:val="left"/>
            </w:pPr>
            <w:r>
              <w:t xml:space="preserve">200 through 6,400</w:t>
            </w:r>
          </w:p>
        </w:tc>
      </w:tr>
      <w:tr>
        <w:tc>
          <w:tcPr/>
          <w:p>
            <w:pPr>
              <w:pStyle w:val="Compact"/>
              <w:jc w:val="left"/>
            </w:pPr>
            <w:r>
              <w:t xml:space="preserve">Alternative trials</w:t>
            </w:r>
          </w:p>
        </w:tc>
        <w:tc>
          <w:tcPr/>
          <w:p>
            <w:pPr>
              <w:pStyle w:val="Compact"/>
              <w:jc w:val="left"/>
            </w:pPr>
            <w:r>
              <w:t xml:space="preserve">500 per configuration</w:t>
            </w:r>
          </w:p>
        </w:tc>
      </w:tr>
      <w:tr>
        <w:tc>
          <w:tcPr/>
          <w:p>
            <w:pPr>
              <w:pStyle w:val="Compact"/>
              <w:jc w:val="left"/>
            </w:pPr>
            <w:r>
              <w:t xml:space="preserve">Null calibration trials</w:t>
            </w:r>
          </w:p>
        </w:tc>
        <w:tc>
          <w:tcPr/>
          <w:p>
            <w:pPr>
              <w:pStyle w:val="Compact"/>
              <w:jc w:val="left"/>
            </w:pPr>
            <w:r>
              <w:t xml:space="preserve">1,000 per configuration</w:t>
            </w:r>
          </w:p>
        </w:tc>
      </w:tr>
      <w:tr>
        <w:tc>
          <w:tcPr/>
          <w:p>
            <w:pPr>
              <w:pStyle w:val="Compact"/>
              <w:jc w:val="left"/>
            </w:pPr>
            <w:r>
              <w:t xml:space="preserve">Calibration target</w:t>
            </w:r>
          </w:p>
        </w:tc>
        <w:tc>
          <w:tcPr/>
          <w:p>
            <w:pPr>
              <w:pStyle w:val="Compact"/>
              <w:jc w:val="left"/>
            </w:pPr>
            <m:oMath>
              <m:r>
                <m:t>α</m:t>
              </m:r>
              <m:r>
                <m:rPr>
                  <m:sty m:val="p"/>
                </m:rPr>
                <m:t>=</m:t>
              </m:r>
              <m:r>
                <m:t>0.05</m:t>
              </m:r>
            </m:oMath>
          </w:p>
        </w:tc>
      </w:tr>
      <w:tr>
        <w:tc>
          <w:tcPr/>
          <w:p>
            <w:pPr>
              <w:pStyle w:val="Compact"/>
              <w:jc w:val="left"/>
            </w:pPr>
            <w:r>
              <w:t xml:space="preserve">Full detector</w:t>
            </w:r>
          </w:p>
        </w:tc>
        <w:tc>
          <w:tcPr/>
          <w:p>
            <w:pPr>
              <w:pStyle w:val="Compact"/>
              <w:jc w:val="left"/>
            </w:pPr>
            <w:r>
              <w:t xml:space="preserve">Multinomial BIC</w:t>
            </w:r>
          </w:p>
        </w:tc>
      </w:tr>
      <w:tr>
        <w:tc>
          <w:tcPr/>
          <w:p>
            <w:pPr>
              <w:pStyle w:val="Compact"/>
              <w:jc w:val="left"/>
            </w:pPr>
            <w:r>
              <w:t xml:space="preserve">Configurations</w:t>
            </w:r>
          </w:p>
        </w:tc>
        <w:tc>
          <w:tcPr/>
          <w:p>
            <w:pPr>
              <w:pStyle w:val="Compact"/>
              <w:jc w:val="left"/>
            </w:pPr>
            <w:r>
              <w:t xml:space="preserve">312</w:t>
            </w:r>
          </w:p>
        </w:tc>
      </w:tr>
      <w:tr>
        <w:tc>
          <w:tcPr/>
          <w:p>
            <w:pPr>
              <w:pStyle w:val="Compact"/>
              <w:jc w:val="left"/>
            </w:pPr>
            <w:r>
              <w:t xml:space="preserve">Detector-level result rows</w:t>
            </w:r>
          </w:p>
        </w:tc>
        <w:tc>
          <w:tcPr/>
          <w:p>
            <w:pPr>
              <w:pStyle w:val="Compact"/>
              <w:jc w:val="left"/>
            </w:pPr>
            <w:r>
              <w:t xml:space="preserve">936</w:t>
            </w:r>
          </w:p>
        </w:tc>
      </w:tr>
      <w:tr>
        <w:tc>
          <w:tcPr/>
          <w:p>
            <w:pPr>
              <w:pStyle w:val="Compact"/>
              <w:jc w:val="left"/>
            </w:pPr>
            <w:r>
              <w:t xml:space="preserve">Simulated two-segment datasets</w:t>
            </w:r>
          </w:p>
        </w:tc>
        <w:tc>
          <w:tcPr/>
          <w:p>
            <w:pPr>
              <w:pStyle w:val="Compact"/>
              <w:jc w:val="left"/>
            </w:pPr>
            <w:r>
              <w:t xml:space="preserve">468,000</w:t>
            </w:r>
          </w:p>
        </w:tc>
      </w:tr>
      <w:tr>
        <w:tc>
          <w:tcPr/>
          <w:p>
            <w:pPr>
              <w:pStyle w:val="Compact"/>
              <w:jc w:val="left"/>
            </w:pPr>
            <w:r>
              <w:t xml:space="preserve">Base random seed</w:t>
            </w:r>
          </w:p>
        </w:tc>
        <w:tc>
          <w:tcPr/>
          <w:p>
            <w:pPr>
              <w:pStyle w:val="Compact"/>
              <w:jc w:val="left"/>
            </w:pPr>
            <w:r>
              <w:t xml:space="preserve">20260713</w:t>
            </w:r>
          </w:p>
        </w:tc>
      </w:tr>
    </w:tbl>
    <w:p>
      <w:pPr>
        <w:pStyle w:val="BodyText"/>
      </w:pPr>
      <w:r>
        <w:t xml:space="preserve">The 312 configurations were run with deterministic configuration-specific seeds. Independent configurations were parallelized over 16 worker processes. Results were checkpointed after every completed configuration.</w:t>
      </w:r>
    </w:p>
    <w:bookmarkEnd w:id="49"/>
    <w:bookmarkStart w:id="53" w:name="data-generating-scenarios"/>
    <w:p>
      <w:pPr>
        <w:pStyle w:val="Heading2"/>
      </w:pPr>
      <w:r>
        <w:t xml:space="preserve">8.2 Data-generating scenarios</w:t>
      </w:r>
    </w:p>
    <w:p>
      <w:pPr>
        <w:pStyle w:val="FirstParagraph"/>
      </w:pPr>
      <w:r>
        <w:t xml:space="preserve">Three scenarios were used.</w:t>
      </w:r>
    </w:p>
    <w:bookmarkStart w:id="50" w:name="exact-orbit"/>
    <w:p>
      <w:pPr>
        <w:pStyle w:val="Heading3"/>
      </w:pPr>
      <w:r>
        <w:t xml:space="preserve">Exact orbit</w:t>
      </w:r>
    </w:p>
    <w:p>
      <w:pPr>
        <w:pStyle w:val="FirstParagraph"/>
      </w:pPr>
      <w:r>
        <w:t xml:space="preserve">The left state was generated from a fundamental coordinate with norm equal to the specified effect. The right state was its one-step cyclic transform. This scenario matches Model C and is also contained in Models A and B.</w:t>
      </w:r>
    </w:p>
    <w:bookmarkEnd w:id="50"/>
    <w:bookmarkStart w:id="51" w:name="independent-fundamental-change"/>
    <w:p>
      <w:pPr>
        <w:pStyle w:val="Heading3"/>
      </w:pPr>
      <w:r>
        <w:t xml:space="preserve">Independent fundamental change</w:t>
      </w:r>
    </w:p>
    <w:p>
      <w:pPr>
        <w:pStyle w:val="FirstParagraph"/>
      </w:pPr>
      <w:r>
        <w:t xml:space="preserve">Both regimes were generated inside the fundamental family but were not generally related by a cyclic shift. For</w:t>
      </w:r>
      <w:r>
        <w:t xml:space="preserve"> </w:t>
      </w:r>
      <m:oMath>
        <m:r>
          <m:t>g</m:t>
        </m:r>
        <m:r>
          <m:rPr>
            <m:sty m:val="p"/>
          </m:rPr>
          <m:t>≥</m:t>
        </m:r>
        <m:r>
          <m:t>3</m:t>
        </m:r>
      </m:oMath>
      <w:r>
        <w:t xml:space="preserve">, the right coordinate had radius</w:t>
      </w:r>
      <w:r>
        <w:t xml:space="preserve"> </w:t>
      </w:r>
      <m:oMath>
        <m:r>
          <m:t>0.72</m:t>
        </m:r>
      </m:oMath>
      <w:r>
        <w:t xml:space="preserve"> </w:t>
      </w:r>
      <w:r>
        <w:t xml:space="preserve">times the left radius and angle 0.713 radians. For</w:t>
      </w:r>
      <w:r>
        <w:t xml:space="preserve"> </w:t>
      </w:r>
      <m:oMath>
        <m:r>
          <m:t>g</m:t>
        </m:r>
        <m:r>
          <m:rPr>
            <m:sty m:val="p"/>
          </m:rPr>
          <m:t>=</m:t>
        </m:r>
        <m:r>
          <m:t>2</m:t>
        </m:r>
      </m:oMath>
      <w:r>
        <w:t xml:space="preserve">, the right coordinate was</w:t>
      </w:r>
      <w:r>
        <w:t xml:space="preserve"> </w:t>
      </w:r>
      <m:oMath>
        <m:r>
          <m:rPr>
            <m:sty m:val="p"/>
          </m:rPr>
          <m:t>−</m:t>
        </m:r>
        <m:r>
          <m:t>0.55</m:t>
        </m:r>
      </m:oMath>
      <w:r>
        <w:t xml:space="preserve"> </w:t>
      </w:r>
      <w:r>
        <w:t xml:space="preserve">times the left coordinate. This scenario matches Model B but generally violates Model C.</w:t>
      </w:r>
    </w:p>
    <w:bookmarkEnd w:id="51"/>
    <w:bookmarkStart w:id="52" w:name="full-space-higher-mode-change"/>
    <w:p>
      <w:pPr>
        <w:pStyle w:val="Heading3"/>
      </w:pPr>
      <w:r>
        <w:t xml:space="preserve">Full-space higher-mode change</w:t>
      </w:r>
    </w:p>
    <w:p>
      <w:pPr>
        <w:pStyle w:val="FirstParagraph"/>
      </w:pPr>
      <w:r>
        <w:t xml:space="preserve">For</w:t>
      </w:r>
      <w:r>
        <w:t xml:space="preserve"> </w:t>
      </w:r>
      <m:oMath>
        <m:r>
          <m:t>g</m:t>
        </m:r>
        <m:r>
          <m:rPr>
            <m:sty m:val="p"/>
          </m:rPr>
          <m:t>≥</m:t>
        </m:r>
        <m:r>
          <m:t>4</m:t>
        </m:r>
      </m:oMath>
      <w:r>
        <w:t xml:space="preserve">, a mode-2 Fourier component with amplitude</w:t>
      </w:r>
      <w:r>
        <w:t xml:space="preserve"> </w:t>
      </w:r>
      <m:oMath>
        <m:r>
          <m:t>0.85</m:t>
        </m:r>
      </m:oMath>
      <w:r>
        <w:t xml:space="preserve"> </w:t>
      </w:r>
      <w:r>
        <w:t xml:space="preserve">times the effect was added with opposite signs on the two sides of the boundary. For</w:t>
      </w:r>
      <w:r>
        <w:t xml:space="preserve"> </w:t>
      </w:r>
      <m:oMath>
        <m:r>
          <m:t>g</m:t>
        </m:r>
        <m:r>
          <m:rPr>
            <m:sty m:val="p"/>
          </m:rPr>
          <m:t>=</m:t>
        </m:r>
        <m:r>
          <m:t>4</m:t>
        </m:r>
      </m:oMath>
      <w:r>
        <w:t xml:space="preserve">, this is the one-dimensional sign representation. For</w:t>
      </w:r>
      <w:r>
        <w:t xml:space="preserve"> </w:t>
      </w:r>
      <m:oMath>
        <m:r>
          <m:t>g</m:t>
        </m:r>
        <m:r>
          <m:rPr>
            <m:sty m:val="p"/>
          </m:rPr>
          <m:t>=</m:t>
        </m:r>
        <m:r>
          <m:t>5</m:t>
        </m:r>
        <m:r>
          <m:rPr>
            <m:sty m:val="p"/>
          </m:rPr>
          <m:t>,</m:t>
        </m:r>
        <m:r>
          <m:t>6</m:t>
        </m:r>
      </m:oMath>
      <w:r>
        <w:t xml:space="preserve">, it is a higher two-dimensional Fourier mode. This scenario contains signal outside the fundamental component and is used as a misspecification test.</w:t>
      </w:r>
    </w:p>
    <w:bookmarkEnd w:id="52"/>
    <w:bookmarkEnd w:id="53"/>
    <w:bookmarkStart w:id="56" w:name="two-distinct-analyses"/>
    <w:p>
      <w:pPr>
        <w:pStyle w:val="Heading2"/>
      </w:pPr>
      <w:r>
        <w:t xml:space="preserve">8.3 Two distinct analyses</w:t>
      </w:r>
    </w:p>
    <w:p>
      <w:pPr>
        <w:pStyle w:val="FirstParagraph"/>
      </w:pPr>
      <w:r>
        <w:t xml:space="preserve">The experiment separates asymptotic score validation from practical power comparison.</w:t>
      </w:r>
    </w:p>
    <w:bookmarkStart w:id="54" w:name="raw-mdl-score-analysis"/>
    <w:p>
      <w:pPr>
        <w:pStyle w:val="Heading3"/>
      </w:pPr>
      <w:r>
        <w:t xml:space="preserve">Raw MDL score analysis</w:t>
      </w:r>
    </w:p>
    <w:p>
      <w:pPr>
        <w:pStyle w:val="FirstParagraph"/>
      </w:pPr>
      <w:r>
        <w:t xml:space="preserve">For each matched detector and scenario, the mean uncalibrated score was regressed as</w:t>
      </w:r>
    </w:p>
    <w:p>
      <w:pPr>
        <w:pStyle w:val="BodyText"/>
      </w:pPr>
      <m:oMathPara>
        <m:oMathParaPr>
          <m:jc m:val="center"/>
        </m:oMathParaPr>
        <m:oMath>
          <m:bar>
            <m:barPr>
              <m:pos m:val="top"/>
            </m:barPr>
            <m:e>
              <m:r>
                <m:t>S</m:t>
              </m:r>
            </m:e>
          </m:bar>
          <m:r>
            <m:rPr>
              <m:sty m:val="p"/>
            </m:rPr>
            <m:t>=</m:t>
          </m:r>
          <m:sSub>
            <m:e>
              <m:r>
                <m:t>β</m:t>
              </m:r>
            </m:e>
            <m:sub>
              <m:r>
                <m:t>0</m:t>
              </m:r>
            </m:sub>
          </m:sSub>
          <m:r>
            <m:rPr>
              <m:sty m:val="p"/>
            </m:rPr>
            <m:t>+</m:t>
          </m:r>
          <m:sSub>
            <m:e>
              <m:r>
                <m:t>β</m:t>
              </m:r>
            </m:e>
            <m:sub>
              <m:r>
                <m:t>G</m:t>
              </m:r>
            </m:sub>
          </m:sSub>
          <m:d>
            <m:dPr>
              <m:begChr m:val="("/>
              <m:endChr m:val=")"/>
              <m:sepChr m:val=""/>
              <m:grow/>
            </m:dPr>
            <m:e>
              <m:r>
                <m:t>L</m:t>
              </m:r>
              <m:sSub>
                <m:e>
                  <m:r>
                    <m:t>G</m:t>
                  </m:r>
                </m:e>
                <m:sub>
                  <m:r>
                    <m:t>M</m:t>
                  </m:r>
                </m:sub>
              </m:sSub>
            </m:e>
          </m:d>
          <m:r>
            <m:rPr>
              <m:sty m:val="p"/>
            </m:rPr>
            <m:t>+</m:t>
          </m:r>
          <m:sSub>
            <m:e>
              <m:r>
                <m:t>β</m:t>
              </m:r>
            </m:e>
            <m:sub>
              <m:r>
                <m:t>L</m:t>
              </m:r>
            </m:sub>
          </m:sSub>
          <m:r>
            <m:rPr>
              <m:sty m:val="p"/>
            </m:rPr>
            <m:t>log</m:t>
          </m:r>
          <m:r>
            <m:t>L</m:t>
          </m:r>
          <m:r>
            <m:rPr>
              <m:sty m:val="p"/>
            </m:rPr>
            <m:t>+</m:t>
          </m:r>
          <m:r>
            <m:rPr>
              <m:nor/>
              <m:sty m:val="p"/>
            </m:rPr>
            <m:t>effect fixed effects</m:t>
          </m:r>
          <m:r>
            <m:rPr>
              <m:sty m:val="p"/>
            </m:rPr>
            <m:t>+</m:t>
          </m:r>
          <m:r>
            <m:t>ϵ</m:t>
          </m:r>
          <m:r>
            <m:rPr>
              <m:sty m:val="p"/>
            </m:rPr>
            <m:t>.</m:t>
          </m:r>
        </m:oMath>
      </m:oMathPara>
    </w:p>
    <w:p>
      <w:pPr>
        <w:pStyle w:val="FirstParagraph"/>
      </w:pPr>
      <w:r>
        <w:t xml:space="preserve">The expected coefficient is</w:t>
      </w:r>
      <w:r>
        <w:t xml:space="preserve"> </w:t>
      </w:r>
      <m:oMath>
        <m:sSub>
          <m:e>
            <m:r>
              <m:t>β</m:t>
            </m:r>
          </m:e>
          <m:sub>
            <m:r>
              <m:t>G</m:t>
            </m:r>
          </m:sub>
        </m:sSub>
        <m:r>
          <m:rPr>
            <m:sty m:val="p"/>
          </m:rPr>
          <m:t>=</m:t>
        </m:r>
        <m:r>
          <m:t>1</m:t>
        </m:r>
      </m:oMath>
      <w:r>
        <w:t xml:space="preserve">. The empirical penalty slope is defined as</w:t>
      </w:r>
    </w:p>
    <w:p>
      <w:pPr>
        <w:pStyle w:val="BodyText"/>
      </w:pPr>
      <m:oMathPara>
        <m:oMathParaPr>
          <m:jc m:val="center"/>
        </m:oMathParaPr>
        <m:oMath>
          <m:sSub>
            <m:e>
              <m:acc>
                <m:accPr>
                  <m:chr m:val="̂"/>
                </m:accPr>
                <m:e>
                  <m:r>
                    <m:t>c</m:t>
                  </m:r>
                </m:e>
              </m:acc>
            </m:e>
            <m:sub>
              <m:r>
                <m:t>M</m:t>
              </m:r>
            </m:sub>
          </m:sSub>
          <m:r>
            <m:rPr>
              <m:sty m:val="p"/>
            </m:rPr>
            <m:t>=</m:t>
          </m:r>
          <m:r>
            <m:rPr>
              <m:sty m:val="p"/>
            </m:rPr>
            <m:t>−</m:t>
          </m:r>
          <m:sSub>
            <m:e>
              <m:acc>
                <m:accPr>
                  <m:chr m:val="̂"/>
                </m:accPr>
                <m:e>
                  <m:r>
                    <m:t>β</m:t>
                  </m:r>
                </m:e>
              </m:acc>
            </m:e>
            <m:sub>
              <m:r>
                <m:t>L</m:t>
              </m:r>
            </m:sub>
          </m:sSub>
          <m:r>
            <m:rPr>
              <m:sty m:val="p"/>
            </m:rPr>
            <m:t>.</m:t>
          </m:r>
        </m:oMath>
      </m:oMathPara>
    </w:p>
    <w:p>
      <w:pPr>
        <w:pStyle w:val="FirstParagraph"/>
      </w:pPr>
      <w:r>
        <w:t xml:space="preserve">Each group-level regression used 24 design points: four effects by six lengths.</w:t>
      </w:r>
    </w:p>
    <w:bookmarkEnd w:id="54"/>
    <w:bookmarkStart w:id="55" w:name="calibrated-power-analysis"/>
    <w:p>
      <w:pPr>
        <w:pStyle w:val="Heading3"/>
      </w:pPr>
      <w:r>
        <w:t xml:space="preserve">Calibrated power analysis</w:t>
      </w:r>
    </w:p>
    <w:p>
      <w:pPr>
        <w:pStyle w:val="FirstParagraph"/>
      </w:pPr>
      <w:r>
        <w:t xml:space="preserve">At every group, scenario, effect, and length, an additive critical value was set to the empirical 95th percentile of 1,000 null scores. Power was then estimated using 500 alternative samples. These calibrated curves support fair practical comparisons at a common nominal false-positive target, but they do not directly expose the raw MDL penalty coefficient.</w:t>
      </w:r>
    </w:p>
    <w:p>
      <w:pPr>
        <w:pStyle w:val="BodyText"/>
      </w:pPr>
      <w:r>
        <w:t xml:space="preserve">For each effect, the 50% power crossover was estimated by monotone stabilization of the empirical power curve followed by interpolation on log total length. Median crossover ratios summarize relative sample requirements.</w:t>
      </w:r>
    </w:p>
    <w:bookmarkEnd w:id="55"/>
    <w:bookmarkEnd w:id="56"/>
    <w:bookmarkEnd w:id="57"/>
    <w:bookmarkStart w:id="79" w:name="results"/>
    <w:p>
      <w:pPr>
        <w:pStyle w:val="Heading1"/>
      </w:pPr>
      <w:r>
        <w:t xml:space="preserve">9. Results</w:t>
      </w:r>
    </w:p>
    <w:bookmarkStart w:id="61" w:name="full-model-penalty"/>
    <w:p>
      <w:pPr>
        <w:pStyle w:val="Heading2"/>
      </w:pPr>
      <w:r>
        <w:t xml:space="preserve">9.1 Full-model penalty</w:t>
      </w:r>
    </w:p>
    <w:p>
      <w:pPr>
        <w:pStyle w:val="FirstParagraph"/>
      </w:pPr>
      <w:r>
        <w:t xml:space="preserve">For the full-space matched scenario, the observed coefficients were close to the theoretical values</w:t>
      </w:r>
      <w:r>
        <w:t xml:space="preserve"> </w:t>
      </w:r>
      <m:oMath>
        <m:d>
          <m:dPr>
            <m:begChr m:val="("/>
            <m:endChr m:val=")"/>
            <m:sepChr m:val=""/>
            <m:grow/>
          </m:dPr>
          <m:e>
            <m:r>
              <m:t>g</m:t>
            </m:r>
            <m:r>
              <m:rPr>
                <m:sty m:val="p"/>
              </m:rPr>
              <m:t>−</m:t>
            </m:r>
            <m:r>
              <m:t>1</m:t>
            </m:r>
          </m:e>
        </m:d>
        <m:r>
          <m:rPr>
            <m:sty m:val="p"/>
          </m:rPr>
          <m:t>/</m:t>
        </m:r>
        <m:r>
          <m:t>2</m:t>
        </m:r>
      </m:oMath>
      <w:r>
        <w:t xml:space="preserve">.</w:t>
      </w:r>
    </w:p>
    <w:p>
      <w:pPr>
        <w:pStyle w:val="BodyText"/>
      </w:pPr>
      <w:r>
        <w:rPr>
          <w:b/>
          <w:bCs/>
        </w:rPr>
        <w:t xml:space="preserve">Table 3. Raw-score regression estimates for the full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m:oMath>
              <m:r>
                <m:t>g</m:t>
              </m:r>
            </m:oMath>
          </w:p>
        </w:tc>
        <w:tc>
          <w:tcPr/>
          <w:p>
            <w:pPr>
              <w:pStyle w:val="Compact"/>
              <w:jc w:val="right"/>
            </w:pPr>
            <m:oMath>
              <m:sSub>
                <m:e>
                  <m:acc>
                    <m:accPr>
                      <m:chr m:val="̂"/>
                    </m:accPr>
                    <m:e>
                      <m:r>
                        <m:t>β</m:t>
                      </m:r>
                    </m:e>
                  </m:acc>
                </m:e>
                <m:sub>
                  <m:r>
                    <m:t>G</m:t>
                  </m:r>
                </m:sub>
              </m:sSub>
            </m:oMath>
            <w:r>
              <w:t xml:space="preserve"> </w:t>
            </w:r>
            <w:r>
              <w:t xml:space="preserve">(SE)</w:t>
            </w:r>
          </w:p>
        </w:tc>
        <w:tc>
          <w:tcPr/>
          <w:p>
            <w:pPr>
              <w:pStyle w:val="Compact"/>
              <w:jc w:val="right"/>
            </w:pPr>
            <w:r>
              <w:t xml:space="preserve">Empirical penalty slope (SE)</w:t>
            </w:r>
          </w:p>
        </w:tc>
        <w:tc>
          <w:tcPr/>
          <w:p>
            <w:pPr>
              <w:pStyle w:val="Compact"/>
              <w:jc w:val="right"/>
            </w:pPr>
            <w:r>
              <w:t xml:space="preserve">Predicted slope</w:t>
            </w:r>
          </w:p>
        </w:tc>
        <w:tc>
          <w:tcPr/>
          <w:p>
            <w:pPr>
              <w:pStyle w:val="Compact"/>
              <w:jc w:val="right"/>
            </w:pPr>
            <m:oMath>
              <m:sSup>
                <m:e>
                  <m:r>
                    <m:t>R</m:t>
                  </m:r>
                </m:e>
                <m:sup>
                  <m:r>
                    <m:t>2</m:t>
                  </m:r>
                </m:sup>
              </m:sSup>
            </m:oMath>
          </w:p>
        </w:tc>
      </w:tr>
      <w:tr>
        <w:tc>
          <w:tcPr/>
          <w:p>
            <w:pPr>
              <w:pStyle w:val="Compact"/>
              <w:jc w:val="right"/>
            </w:pPr>
            <w:r>
              <w:t xml:space="preserve">4</w:t>
            </w:r>
          </w:p>
        </w:tc>
        <w:tc>
          <w:tcPr/>
          <w:p>
            <w:pPr>
              <w:pStyle w:val="Compact"/>
              <w:jc w:val="right"/>
            </w:pPr>
            <w:r>
              <w:t xml:space="preserve">1.003 (0.003)</w:t>
            </w:r>
          </w:p>
        </w:tc>
        <w:tc>
          <w:tcPr/>
          <w:p>
            <w:pPr>
              <w:pStyle w:val="Compact"/>
              <w:jc w:val="right"/>
            </w:pPr>
            <w:r>
              <w:t xml:space="preserve">1.515 (0.066)</w:t>
            </w:r>
          </w:p>
        </w:tc>
        <w:tc>
          <w:tcPr/>
          <w:p>
            <w:pPr>
              <w:pStyle w:val="Compact"/>
              <w:jc w:val="right"/>
            </w:pPr>
            <w:r>
              <w:t xml:space="preserve">1.500</w:t>
            </w:r>
          </w:p>
        </w:tc>
        <w:tc>
          <w:tcPr/>
          <w:p>
            <w:pPr>
              <w:pStyle w:val="Compact"/>
              <w:jc w:val="right"/>
            </w:pPr>
            <w:r>
              <w:t xml:space="preserve">0.9999</w:t>
            </w:r>
          </w:p>
        </w:tc>
      </w:tr>
      <w:tr>
        <w:tc>
          <w:tcPr/>
          <w:p>
            <w:pPr>
              <w:pStyle w:val="Compact"/>
              <w:jc w:val="right"/>
            </w:pPr>
            <w:r>
              <w:t xml:space="preserve">5</w:t>
            </w:r>
          </w:p>
        </w:tc>
        <w:tc>
          <w:tcPr/>
          <w:p>
            <w:pPr>
              <w:pStyle w:val="Compact"/>
              <w:jc w:val="right"/>
            </w:pPr>
            <w:r>
              <w:t xml:space="preserve">1.012 (0.004)</w:t>
            </w:r>
          </w:p>
        </w:tc>
        <w:tc>
          <w:tcPr/>
          <w:p>
            <w:pPr>
              <w:pStyle w:val="Compact"/>
              <w:jc w:val="right"/>
            </w:pPr>
            <w:r>
              <w:t xml:space="preserve">2.119 (0.058)</w:t>
            </w:r>
          </w:p>
        </w:tc>
        <w:tc>
          <w:tcPr/>
          <w:p>
            <w:pPr>
              <w:pStyle w:val="Compact"/>
              <w:jc w:val="right"/>
            </w:pPr>
            <w:r>
              <w:t xml:space="preserve">2.000</w:t>
            </w:r>
          </w:p>
        </w:tc>
        <w:tc>
          <w:tcPr/>
          <w:p>
            <w:pPr>
              <w:pStyle w:val="Compact"/>
              <w:jc w:val="right"/>
            </w:pPr>
            <w:r>
              <w:t xml:space="preserve">0.9999</w:t>
            </w:r>
          </w:p>
        </w:tc>
      </w:tr>
      <w:tr>
        <w:tc>
          <w:tcPr/>
          <w:p>
            <w:pPr>
              <w:pStyle w:val="Compact"/>
              <w:jc w:val="right"/>
            </w:pPr>
            <w:r>
              <w:t xml:space="preserve">6</w:t>
            </w:r>
          </w:p>
        </w:tc>
        <w:tc>
          <w:tcPr/>
          <w:p>
            <w:pPr>
              <w:pStyle w:val="Compact"/>
              <w:jc w:val="right"/>
            </w:pPr>
            <w:r>
              <w:t xml:space="preserve">0.990 (0.004)</w:t>
            </w:r>
          </w:p>
        </w:tc>
        <w:tc>
          <w:tcPr/>
          <w:p>
            <w:pPr>
              <w:pStyle w:val="Compact"/>
              <w:jc w:val="right"/>
            </w:pPr>
            <w:r>
              <w:t xml:space="preserve">2.468 (0.050)</w:t>
            </w:r>
          </w:p>
        </w:tc>
        <w:tc>
          <w:tcPr/>
          <w:p>
            <w:pPr>
              <w:pStyle w:val="Compact"/>
              <w:jc w:val="right"/>
            </w:pPr>
            <w:r>
              <w:t xml:space="preserve">2.500</w:t>
            </w:r>
          </w:p>
        </w:tc>
        <w:tc>
          <w:tcPr/>
          <w:p>
            <w:pPr>
              <w:pStyle w:val="Compact"/>
              <w:jc w:val="right"/>
            </w:pPr>
            <w:r>
              <w:t xml:space="preserve">0.9999</w:t>
            </w:r>
          </w:p>
        </w:tc>
      </w:tr>
    </w:tbl>
    <w:p>
      <w:pPr>
        <w:pStyle w:val="BodyText"/>
      </w:pPr>
      <w:r>
        <w:t xml:space="preserve">The gain coefficients were within approximately 1.2% of one. The observed penalty slopes followed the predicted increase with group order. The</w:t>
      </w:r>
      <w:r>
        <w:t xml:space="preserve"> </w:t>
      </w:r>
      <m:oMath>
        <m:sSub>
          <m:e>
            <m:r>
              <m:t>C</m:t>
            </m:r>
          </m:e>
          <m:sub>
            <m:r>
              <m:t>5</m:t>
            </m:r>
          </m:sub>
        </m:sSub>
      </m:oMath>
      <w:r>
        <w:t xml:space="preserve"> </w:t>
      </w:r>
      <w:r>
        <w:t xml:space="preserve">estimate exceeded 2.0 by about 0.119, a finite-sample deviation of roughly two standard errors; the overall pattern nevertheless tracks the full dimension rather than a constant fundamental dimension.</w:t>
      </w:r>
    </w:p>
    <w:p>
      <w:pPr>
        <w:pStyle w:val="CaptionedFigure"/>
      </w:pPr>
      <w:r>
        <w:drawing>
          <wp:inline>
            <wp:extent cx="5334000" cy="3333750"/>
            <wp:effectExtent b="0" l="0" r="0" t="0"/>
            <wp:docPr descr="Figure 1. Predicted and observed full-model coefficients. Error bars show one regression standard error." title="Figure 1" id="59" name="Picture"/>
            <a:graphic>
              <a:graphicData uri="http://schemas.openxmlformats.org/drawingml/2006/picture">
                <pic:pic>
                  <pic:nvPicPr>
                    <pic:cNvPr descr="v3_full_penalty_slopes.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 Predicted and observed full-model coefficients. Error bars show one regression standard error.</w:t>
      </w:r>
    </w:p>
    <w:bookmarkEnd w:id="61"/>
    <w:bookmarkStart w:id="65" w:name="fundamental-subspace-penalty"/>
    <w:p>
      <w:pPr>
        <w:pStyle w:val="Heading2"/>
      </w:pPr>
      <w:r>
        <w:t xml:space="preserve">9.2 Fundamental-subspace penalty</w:t>
      </w:r>
    </w:p>
    <w:p>
      <w:pPr>
        <w:pStyle w:val="FirstParagraph"/>
      </w:pPr>
      <w:r>
        <w:t xml:space="preserve">Model B predicts a coefficient of</w:t>
      </w:r>
      <w:r>
        <w:t xml:space="preserve"> </w:t>
      </w:r>
      <m:oMath>
        <m:r>
          <m:t>1</m:t>
        </m:r>
        <m:r>
          <m:rPr>
            <m:sty m:val="p"/>
          </m:rPr>
          <m:t>/</m:t>
        </m:r>
        <m:r>
          <m:t>2</m:t>
        </m:r>
      </m:oMath>
      <w:r>
        <w:t xml:space="preserve"> </w:t>
      </w:r>
      <w:r>
        <w:t xml:space="preserve">for</w:t>
      </w:r>
      <w:r>
        <w:t xml:space="preserve"> </w:t>
      </w:r>
      <m:oMath>
        <m:sSub>
          <m:e>
            <m:r>
              <m:t>C</m:t>
            </m:r>
          </m:e>
          <m:sub>
            <m:r>
              <m:t>2</m:t>
            </m:r>
          </m:sub>
        </m:sSub>
      </m:oMath>
      <w:r>
        <w:t xml:space="preserve"> </w:t>
      </w:r>
      <w:r>
        <w:t xml:space="preserve">and 1 for every</w:t>
      </w:r>
      <w:r>
        <w:t xml:space="preserve"> </w:t>
      </w:r>
      <m:oMath>
        <m:sSub>
          <m:e>
            <m:r>
              <m:t>C</m:t>
            </m:r>
          </m:e>
          <m:sub>
            <m:r>
              <m:t>g</m:t>
            </m:r>
          </m:sub>
        </m:sSub>
      </m:oMath>
      <w:r>
        <w:t xml:space="preserve"> </w:t>
      </w:r>
      <w:r>
        <w:t xml:space="preserve">with</w:t>
      </w:r>
      <w:r>
        <w:t xml:space="preserve"> </w:t>
      </w:r>
      <m:oMath>
        <m:r>
          <m:t>g</m:t>
        </m:r>
        <m:r>
          <m:rPr>
            <m:sty m:val="p"/>
          </m:rPr>
          <m:t>≥</m:t>
        </m:r>
        <m:r>
          <m:t>3</m:t>
        </m:r>
      </m:oMath>
      <w:r>
        <w:t xml:space="preserve">.</w:t>
      </w:r>
    </w:p>
    <w:p>
      <w:pPr>
        <w:pStyle w:val="BodyText"/>
      </w:pPr>
      <w:r>
        <w:rPr>
          <w:b/>
          <w:bCs/>
        </w:rPr>
        <w:t xml:space="preserve">Table 4. Raw-score regression estimates for the fundamental-subspace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m:oMath>
              <m:r>
                <m:t>g</m:t>
              </m:r>
            </m:oMath>
          </w:p>
        </w:tc>
        <w:tc>
          <w:tcPr/>
          <w:p>
            <w:pPr>
              <w:pStyle w:val="Compact"/>
              <w:jc w:val="right"/>
            </w:pPr>
            <m:oMath>
              <m:sSub>
                <m:e>
                  <m:acc>
                    <m:accPr>
                      <m:chr m:val="̂"/>
                    </m:accPr>
                    <m:e>
                      <m:r>
                        <m:t>β</m:t>
                      </m:r>
                    </m:e>
                  </m:acc>
                </m:e>
                <m:sub>
                  <m:r>
                    <m:t>G</m:t>
                  </m:r>
                </m:sub>
              </m:sSub>
            </m:oMath>
            <w:r>
              <w:t xml:space="preserve"> </w:t>
            </w:r>
            <w:r>
              <w:t xml:space="preserve">(SE)</w:t>
            </w:r>
          </w:p>
        </w:tc>
        <w:tc>
          <w:tcPr/>
          <w:p>
            <w:pPr>
              <w:pStyle w:val="Compact"/>
              <w:jc w:val="right"/>
            </w:pPr>
            <w:r>
              <w:t xml:space="preserve">Empirical penalty slope (SE)</w:t>
            </w:r>
          </w:p>
        </w:tc>
        <w:tc>
          <w:tcPr/>
          <w:p>
            <w:pPr>
              <w:pStyle w:val="Compact"/>
              <w:jc w:val="right"/>
            </w:pPr>
            <w:r>
              <w:t xml:space="preserve">Predicted slope</w:t>
            </w:r>
          </w:p>
        </w:tc>
        <w:tc>
          <w:tcPr/>
          <w:p>
            <w:pPr>
              <w:pStyle w:val="Compact"/>
              <w:jc w:val="right"/>
            </w:pPr>
            <m:oMath>
              <m:sSup>
                <m:e>
                  <m:r>
                    <m:t>R</m:t>
                  </m:r>
                </m:e>
                <m:sup>
                  <m:r>
                    <m:t>2</m:t>
                  </m:r>
                </m:sup>
              </m:sSup>
            </m:oMath>
          </w:p>
        </w:tc>
      </w:tr>
      <w:tr>
        <w:tc>
          <w:tcPr/>
          <w:p>
            <w:pPr>
              <w:pStyle w:val="Compact"/>
              <w:jc w:val="right"/>
            </w:pPr>
            <w:r>
              <w:t xml:space="preserve">2</w:t>
            </w:r>
          </w:p>
        </w:tc>
        <w:tc>
          <w:tcPr/>
          <w:p>
            <w:pPr>
              <w:pStyle w:val="Compact"/>
              <w:jc w:val="right"/>
            </w:pPr>
            <w:r>
              <w:t xml:space="preserve">0.987 (0.003)</w:t>
            </w:r>
          </w:p>
        </w:tc>
        <w:tc>
          <w:tcPr/>
          <w:p>
            <w:pPr>
              <w:pStyle w:val="Compact"/>
              <w:jc w:val="right"/>
            </w:pPr>
            <w:r>
              <w:t xml:space="preserve">0.457 (0.050)</w:t>
            </w:r>
          </w:p>
        </w:tc>
        <w:tc>
          <w:tcPr/>
          <w:p>
            <w:pPr>
              <w:pStyle w:val="Compact"/>
              <w:jc w:val="right"/>
            </w:pPr>
            <w:r>
              <w:t xml:space="preserve">0.500</w:t>
            </w:r>
          </w:p>
        </w:tc>
        <w:tc>
          <w:tcPr/>
          <w:p>
            <w:pPr>
              <w:pStyle w:val="Compact"/>
              <w:jc w:val="right"/>
            </w:pPr>
            <w:r>
              <w:t xml:space="preserve">1.0000</w:t>
            </w:r>
          </w:p>
        </w:tc>
      </w:tr>
      <w:tr>
        <w:tc>
          <w:tcPr/>
          <w:p>
            <w:pPr>
              <w:pStyle w:val="Compact"/>
              <w:jc w:val="right"/>
            </w:pPr>
            <w:r>
              <w:t xml:space="preserve">3</w:t>
            </w:r>
          </w:p>
        </w:tc>
        <w:tc>
          <w:tcPr/>
          <w:p>
            <w:pPr>
              <w:pStyle w:val="Compact"/>
              <w:jc w:val="right"/>
            </w:pPr>
            <w:r>
              <w:t xml:space="preserve">1.019 (0.009)</w:t>
            </w:r>
          </w:p>
        </w:tc>
        <w:tc>
          <w:tcPr/>
          <w:p>
            <w:pPr>
              <w:pStyle w:val="Compact"/>
              <w:jc w:val="right"/>
            </w:pPr>
            <w:r>
              <w:t xml:space="preserve">1.047 (0.031)</w:t>
            </w:r>
          </w:p>
        </w:tc>
        <w:tc>
          <w:tcPr/>
          <w:p>
            <w:pPr>
              <w:pStyle w:val="Compact"/>
              <w:jc w:val="right"/>
            </w:pPr>
            <w:r>
              <w:t xml:space="preserve">1.000</w:t>
            </w:r>
          </w:p>
        </w:tc>
        <w:tc>
          <w:tcPr/>
          <w:p>
            <w:pPr>
              <w:pStyle w:val="Compact"/>
              <w:jc w:val="right"/>
            </w:pPr>
            <w:r>
              <w:t xml:space="preserve">0.9994</w:t>
            </w:r>
          </w:p>
        </w:tc>
      </w:tr>
      <w:tr>
        <w:tc>
          <w:tcPr/>
          <w:p>
            <w:pPr>
              <w:pStyle w:val="Compact"/>
              <w:jc w:val="right"/>
            </w:pPr>
            <w:r>
              <w:t xml:space="preserve">4</w:t>
            </w:r>
          </w:p>
        </w:tc>
        <w:tc>
          <w:tcPr/>
          <w:p>
            <w:pPr>
              <w:pStyle w:val="Compact"/>
              <w:jc w:val="right"/>
            </w:pPr>
            <w:r>
              <w:t xml:space="preserve">0.996 (0.004)</w:t>
            </w:r>
          </w:p>
        </w:tc>
        <w:tc>
          <w:tcPr/>
          <w:p>
            <w:pPr>
              <w:pStyle w:val="Compact"/>
              <w:jc w:val="right"/>
            </w:pPr>
            <w:r>
              <w:t xml:space="preserve">1.001 (0.015)</w:t>
            </w:r>
          </w:p>
        </w:tc>
        <w:tc>
          <w:tcPr/>
          <w:p>
            <w:pPr>
              <w:pStyle w:val="Compact"/>
              <w:jc w:val="right"/>
            </w:pPr>
            <w:r>
              <w:t xml:space="preserve">1.000</w:t>
            </w:r>
          </w:p>
        </w:tc>
        <w:tc>
          <w:tcPr/>
          <w:p>
            <w:pPr>
              <w:pStyle w:val="Compact"/>
              <w:jc w:val="right"/>
            </w:pPr>
            <w:r>
              <w:t xml:space="preserve">0.9998</w:t>
            </w:r>
          </w:p>
        </w:tc>
      </w:tr>
      <w:tr>
        <w:tc>
          <w:tcPr/>
          <w:p>
            <w:pPr>
              <w:pStyle w:val="Compact"/>
              <w:jc w:val="right"/>
            </w:pPr>
            <w:r>
              <w:t xml:space="preserve">5</w:t>
            </w:r>
          </w:p>
        </w:tc>
        <w:tc>
          <w:tcPr/>
          <w:p>
            <w:pPr>
              <w:pStyle w:val="Compact"/>
              <w:jc w:val="right"/>
            </w:pPr>
            <w:r>
              <w:t xml:space="preserve">1.015 (0.009)</w:t>
            </w:r>
          </w:p>
        </w:tc>
        <w:tc>
          <w:tcPr/>
          <w:p>
            <w:pPr>
              <w:pStyle w:val="Compact"/>
              <w:jc w:val="right"/>
            </w:pPr>
            <w:r>
              <w:t xml:space="preserve">1.019 (0.032)</w:t>
            </w:r>
          </w:p>
        </w:tc>
        <w:tc>
          <w:tcPr/>
          <w:p>
            <w:pPr>
              <w:pStyle w:val="Compact"/>
              <w:jc w:val="right"/>
            </w:pPr>
            <w:r>
              <w:t xml:space="preserve">1.000</w:t>
            </w:r>
          </w:p>
        </w:tc>
        <w:tc>
          <w:tcPr/>
          <w:p>
            <w:pPr>
              <w:pStyle w:val="Compact"/>
              <w:jc w:val="right"/>
            </w:pPr>
            <w:r>
              <w:t xml:space="preserve">0.9993</w:t>
            </w:r>
          </w:p>
        </w:tc>
      </w:tr>
      <w:tr>
        <w:tc>
          <w:tcPr/>
          <w:p>
            <w:pPr>
              <w:pStyle w:val="Compact"/>
              <w:jc w:val="right"/>
            </w:pPr>
            <w:r>
              <w:t xml:space="preserve">6</w:t>
            </w:r>
          </w:p>
        </w:tc>
        <w:tc>
          <w:tcPr/>
          <w:p>
            <w:pPr>
              <w:pStyle w:val="Compact"/>
              <w:jc w:val="right"/>
            </w:pPr>
            <w:r>
              <w:t xml:space="preserve">1.002 (0.008)</w:t>
            </w:r>
          </w:p>
        </w:tc>
        <w:tc>
          <w:tcPr/>
          <w:p>
            <w:pPr>
              <w:pStyle w:val="Compact"/>
              <w:jc w:val="right"/>
            </w:pPr>
            <w:r>
              <w:t xml:space="preserve">0.967 (0.027)</w:t>
            </w:r>
          </w:p>
        </w:tc>
        <w:tc>
          <w:tcPr/>
          <w:p>
            <w:pPr>
              <w:pStyle w:val="Compact"/>
              <w:jc w:val="right"/>
            </w:pPr>
            <w:r>
              <w:t xml:space="preserve">1.000</w:t>
            </w:r>
          </w:p>
        </w:tc>
        <w:tc>
          <w:tcPr/>
          <w:p>
            <w:pPr>
              <w:pStyle w:val="Compact"/>
              <w:jc w:val="right"/>
            </w:pPr>
            <w:r>
              <w:t xml:space="preserve">0.9995</w:t>
            </w:r>
          </w:p>
        </w:tc>
      </w:tr>
    </w:tbl>
    <w:p>
      <w:pPr>
        <w:pStyle w:val="BodyText"/>
      </w:pPr>
      <w:r>
        <w:t xml:space="preserve">The empirical coefficients remain approximately constant from</w:t>
      </w:r>
      <w:r>
        <w:t xml:space="preserve"> </w:t>
      </w:r>
      <m:oMath>
        <m:sSub>
          <m:e>
            <m:r>
              <m:t>C</m:t>
            </m:r>
          </m:e>
          <m:sub>
            <m:r>
              <m:t>3</m:t>
            </m:r>
          </m:sub>
        </m:sSub>
      </m:oMath>
      <w:r>
        <w:t xml:space="preserve"> </w:t>
      </w:r>
      <w:r>
        <w:t xml:space="preserve">through</w:t>
      </w:r>
      <w:r>
        <w:t xml:space="preserve"> </w:t>
      </w:r>
      <m:oMath>
        <m:sSub>
          <m:e>
            <m:r>
              <m:t>C</m:t>
            </m:r>
          </m:e>
          <m:sub>
            <m:r>
              <m:t>6</m:t>
            </m:r>
          </m:sub>
        </m:sSub>
      </m:oMath>
      <w:r>
        <w:t xml:space="preserve">, even though the full-simplex dimension increases from two to five. This is the clearest direct evidence that an independently fitted fundamental family has a different complexity law from the unrestricted multinomial family.</w:t>
      </w:r>
    </w:p>
    <w:p>
      <w:pPr>
        <w:pStyle w:val="BodyText"/>
      </w:pPr>
      <w:r>
        <w:t xml:space="preserve">For</w:t>
      </w:r>
      <w:r>
        <w:t xml:space="preserve"> </w:t>
      </w:r>
      <m:oMath>
        <m:sSub>
          <m:e>
            <m:r>
              <m:t>C</m:t>
            </m:r>
          </m:e>
          <m:sub>
            <m:r>
              <m:t>2</m:t>
            </m:r>
          </m:sub>
        </m:sSub>
      </m:oMath>
      <w:r>
        <w:t xml:space="preserve"> </w:t>
      </w:r>
      <w:r>
        <w:t xml:space="preserve">and</w:t>
      </w:r>
      <w:r>
        <w:t xml:space="preserve"> </w:t>
      </w:r>
      <m:oMath>
        <m:sSub>
          <m:e>
            <m:r>
              <m:t>C</m:t>
            </m:r>
          </m:e>
          <m:sub>
            <m:r>
              <m:t>3</m:t>
            </m:r>
          </m:sub>
        </m:sSub>
      </m:oMath>
      <w:r>
        <w:t xml:space="preserve">, the full and fundamental model spaces coincide because</w:t>
      </w:r>
    </w:p>
    <w:p>
      <w:pPr>
        <w:pStyle w:val="BodyText"/>
      </w:pPr>
      <m:oMathPara>
        <m:oMathParaPr>
          <m:jc m:val="center"/>
        </m:oMathParaPr>
        <m:oMath>
          <m:r>
            <m:t>g</m:t>
          </m:r>
          <m:r>
            <m:rPr>
              <m:sty m:val="p"/>
            </m:rPr>
            <m:t>−</m:t>
          </m:r>
          <m:r>
            <m:t>1</m:t>
          </m:r>
          <m:r>
            <m:rPr>
              <m:sty m:val="p"/>
            </m:rPr>
            <m:t>=</m:t>
          </m:r>
          <m:sSub>
            <m:e>
              <m:r>
                <m:t>d</m:t>
              </m:r>
            </m:e>
            <m:sub>
              <m:r>
                <m:rPr>
                  <m:sty m:val="p"/>
                </m:rPr>
                <m:t>f</m:t>
              </m:r>
              <m:r>
                <m:rPr>
                  <m:sty m:val="p"/>
                </m:rPr>
                <m:t>u</m:t>
              </m:r>
              <m:r>
                <m:rPr>
                  <m:sty m:val="p"/>
                </m:rPr>
                <m:t>n</m:t>
              </m:r>
              <m:r>
                <m:rPr>
                  <m:sty m:val="p"/>
                </m:rPr>
                <m:t>d</m:t>
              </m:r>
            </m:sub>
          </m:sSub>
          <m:r>
            <m:rPr>
              <m:sty m:val="p"/>
            </m:rPr>
            <m:t>.</m:t>
          </m:r>
        </m:oMath>
      </m:oMathPara>
    </w:p>
    <w:p>
      <w:pPr>
        <w:pStyle w:val="FirstParagraph"/>
      </w:pPr>
      <w:r>
        <w:t xml:space="preserve">The informative separation begins at</w:t>
      </w:r>
      <w:r>
        <w:t xml:space="preserve"> </w:t>
      </w:r>
      <m:oMath>
        <m:sSub>
          <m:e>
            <m:r>
              <m:t>C</m:t>
            </m:r>
          </m:e>
          <m:sub>
            <m:r>
              <m:t>4</m:t>
            </m:r>
          </m:sub>
        </m:sSub>
      </m:oMath>
      <w:r>
        <w:t xml:space="preserve">.</w:t>
      </w:r>
    </w:p>
    <w:p>
      <w:pPr>
        <w:pStyle w:val="CaptionedFigure"/>
      </w:pPr>
      <w:r>
        <w:drawing>
          <wp:inline>
            <wp:extent cx="5334000" cy="3333750"/>
            <wp:effectExtent b="0" l="0" r="0" t="0"/>
            <wp:docPr descr="Figure 2. Predicted and observed fundamental-subspace coefficients. Error bars show one regression standard error." title="Figure 2" id="63" name="Picture"/>
            <a:graphic>
              <a:graphicData uri="http://schemas.openxmlformats.org/drawingml/2006/picture">
                <pic:pic>
                  <pic:nvPicPr>
                    <pic:cNvPr descr="v3_fundamental_penalty_slopes.png" id="64" name="Picture"/>
                    <pic:cNvPicPr>
                      <a:picLocks noChangeArrowheads="1" noChangeAspect="1"/>
                    </pic:cNvPicPr>
                  </pic:nvPicPr>
                  <pic:blipFill>
                    <a:blip r:embed="rId6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 Predicted and observed fundamental-subspace coefficients. Error bars show one regression standard error.</w:t>
      </w:r>
    </w:p>
    <w:bookmarkEnd w:id="65"/>
    <w:bookmarkStart w:id="69" w:name="shared-exact-orbit-penalty"/>
    <w:p>
      <w:pPr>
        <w:pStyle w:val="Heading2"/>
      </w:pPr>
      <w:r>
        <w:t xml:space="preserve">9.3 Shared exact-orbit penalty</w:t>
      </w:r>
    </w:p>
    <w:p>
      <w:pPr>
        <w:pStyle w:val="FirstParagraph"/>
      </w:pPr>
      <w:r>
        <w:t xml:space="preserve">Model C predicts no leading continuous-dimension term. The raw-score regressions yielded the residual estimates in Table 5.</w:t>
      </w:r>
    </w:p>
    <w:p>
      <w:pPr>
        <w:pStyle w:val="BodyText"/>
      </w:pPr>
      <w:r>
        <w:rPr>
          <w:b/>
          <w:bCs/>
        </w:rPr>
        <w:t xml:space="preserve">Table 5. Residual raw-score log-length slopes for the shared-orbit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m:oMath>
              <m:r>
                <m:t>g</m:t>
              </m:r>
            </m:oMath>
          </w:p>
        </w:tc>
        <w:tc>
          <w:tcPr/>
          <w:p>
            <w:pPr>
              <w:pStyle w:val="Compact"/>
              <w:jc w:val="right"/>
            </w:pPr>
            <m:oMath>
              <m:sSub>
                <m:e>
                  <m:acc>
                    <m:accPr>
                      <m:chr m:val="̂"/>
                    </m:accPr>
                    <m:e>
                      <m:r>
                        <m:t>β</m:t>
                      </m:r>
                    </m:e>
                  </m:acc>
                </m:e>
                <m:sub>
                  <m:r>
                    <m:t>G</m:t>
                  </m:r>
                </m:sub>
              </m:sSub>
            </m:oMath>
            <w:r>
              <w:t xml:space="preserve"> </w:t>
            </w:r>
            <w:r>
              <w:t xml:space="preserve">(SE)</w:t>
            </w:r>
          </w:p>
        </w:tc>
        <w:tc>
          <w:tcPr/>
          <w:p>
            <w:pPr>
              <w:pStyle w:val="Compact"/>
              <w:jc w:val="right"/>
            </w:pPr>
            <w:r>
              <w:t xml:space="preserve">Residual penalty slope (SE)</w:t>
            </w:r>
          </w:p>
        </w:tc>
        <w:tc>
          <w:tcPr/>
          <w:p>
            <w:pPr>
              <w:pStyle w:val="Compact"/>
              <w:jc w:val="right"/>
            </w:pPr>
            <w:r>
              <w:t xml:space="preserve">Structural prediction</w:t>
            </w:r>
          </w:p>
        </w:tc>
        <w:tc>
          <w:tcPr/>
          <w:p>
            <w:pPr>
              <w:pStyle w:val="Compact"/>
              <w:jc w:val="right"/>
            </w:pPr>
            <m:oMath>
              <m:sSup>
                <m:e>
                  <m:r>
                    <m:t>R</m:t>
                  </m:r>
                </m:e>
                <m:sup>
                  <m:r>
                    <m:t>2</m:t>
                  </m:r>
                </m:sup>
              </m:sSup>
            </m:oMath>
          </w:p>
        </w:tc>
      </w:tr>
      <w:tr>
        <w:tc>
          <w:tcPr/>
          <w:p>
            <w:pPr>
              <w:pStyle w:val="Compact"/>
              <w:jc w:val="right"/>
            </w:pPr>
            <w:r>
              <w:t xml:space="preserve">2</w:t>
            </w:r>
          </w:p>
        </w:tc>
        <w:tc>
          <w:tcPr/>
          <w:p>
            <w:pPr>
              <w:pStyle w:val="Compact"/>
              <w:jc w:val="right"/>
            </w:pPr>
            <w:r>
              <w:t xml:space="preserve">0.994 (0.003)</w:t>
            </w:r>
          </w:p>
        </w:tc>
        <w:tc>
          <w:tcPr/>
          <w:p>
            <w:pPr>
              <w:pStyle w:val="Compact"/>
              <w:jc w:val="right"/>
            </w:pPr>
            <w:r>
              <w:t xml:space="preserve">-0.093 (0.110)</w:t>
            </w:r>
          </w:p>
        </w:tc>
        <w:tc>
          <w:tcPr/>
          <w:p>
            <w:pPr>
              <w:pStyle w:val="Compact"/>
              <w:jc w:val="right"/>
            </w:pPr>
            <w:r>
              <w:t xml:space="preserve">0</w:t>
            </w:r>
          </w:p>
        </w:tc>
        <w:tc>
          <w:tcPr/>
          <w:p>
            <w:pPr>
              <w:pStyle w:val="Compact"/>
              <w:jc w:val="right"/>
            </w:pPr>
            <w:r>
              <w:t xml:space="preserve">0.9999</w:t>
            </w:r>
          </w:p>
        </w:tc>
      </w:tr>
      <w:tr>
        <w:tc>
          <w:tcPr/>
          <w:p>
            <w:pPr>
              <w:pStyle w:val="Compact"/>
              <w:jc w:val="right"/>
            </w:pPr>
            <w:r>
              <w:t xml:space="preserve">3</w:t>
            </w:r>
          </w:p>
        </w:tc>
        <w:tc>
          <w:tcPr/>
          <w:p>
            <w:pPr>
              <w:pStyle w:val="Compact"/>
              <w:jc w:val="right"/>
            </w:pPr>
            <w:r>
              <w:t xml:space="preserve">1.005 (0.002)</w:t>
            </w:r>
          </w:p>
        </w:tc>
        <w:tc>
          <w:tcPr/>
          <w:p>
            <w:pPr>
              <w:pStyle w:val="Compact"/>
              <w:jc w:val="right"/>
            </w:pPr>
            <w:r>
              <w:t xml:space="preserve">0.144 (0.064)</w:t>
            </w:r>
          </w:p>
        </w:tc>
        <w:tc>
          <w:tcPr/>
          <w:p>
            <w:pPr>
              <w:pStyle w:val="Compact"/>
              <w:jc w:val="right"/>
            </w:pPr>
            <w:r>
              <w:t xml:space="preserve">0</w:t>
            </w:r>
          </w:p>
        </w:tc>
        <w:tc>
          <w:tcPr/>
          <w:p>
            <w:pPr>
              <w:pStyle w:val="Compact"/>
              <w:jc w:val="right"/>
            </w:pPr>
            <w:r>
              <w:t xml:space="preserve">1.0000</w:t>
            </w:r>
          </w:p>
        </w:tc>
      </w:tr>
      <w:tr>
        <w:tc>
          <w:tcPr/>
          <w:p>
            <w:pPr>
              <w:pStyle w:val="Compact"/>
              <w:jc w:val="right"/>
            </w:pPr>
            <w:r>
              <w:t xml:space="preserve">4</w:t>
            </w:r>
          </w:p>
        </w:tc>
        <w:tc>
          <w:tcPr/>
          <w:p>
            <w:pPr>
              <w:pStyle w:val="Compact"/>
              <w:jc w:val="right"/>
            </w:pPr>
            <w:r>
              <w:t xml:space="preserve">1.009 (0.004)</w:t>
            </w:r>
          </w:p>
        </w:tc>
        <w:tc>
          <w:tcPr/>
          <w:p>
            <w:pPr>
              <w:pStyle w:val="Compact"/>
              <w:jc w:val="right"/>
            </w:pPr>
            <w:r>
              <w:t xml:space="preserve">0.160 (0.062)</w:t>
            </w:r>
          </w:p>
        </w:tc>
        <w:tc>
          <w:tcPr/>
          <w:p>
            <w:pPr>
              <w:pStyle w:val="Compact"/>
              <w:jc w:val="right"/>
            </w:pPr>
            <w:r>
              <w:t xml:space="preserve">0</w:t>
            </w:r>
          </w:p>
        </w:tc>
        <w:tc>
          <w:tcPr/>
          <w:p>
            <w:pPr>
              <w:pStyle w:val="Compact"/>
              <w:jc w:val="right"/>
            </w:pPr>
            <w:r>
              <w:t xml:space="preserve">0.9999</w:t>
            </w:r>
          </w:p>
        </w:tc>
      </w:tr>
      <w:tr>
        <w:tc>
          <w:tcPr/>
          <w:p>
            <w:pPr>
              <w:pStyle w:val="Compact"/>
              <w:jc w:val="right"/>
            </w:pPr>
            <w:r>
              <w:t xml:space="preserve">5</w:t>
            </w:r>
          </w:p>
        </w:tc>
        <w:tc>
          <w:tcPr/>
          <w:p>
            <w:pPr>
              <w:pStyle w:val="Compact"/>
              <w:jc w:val="right"/>
            </w:pPr>
            <w:r>
              <w:t xml:space="preserve">0.996 (0.004)</w:t>
            </w:r>
          </w:p>
        </w:tc>
        <w:tc>
          <w:tcPr/>
          <w:p>
            <w:pPr>
              <w:pStyle w:val="Compact"/>
              <w:jc w:val="right"/>
            </w:pPr>
            <w:r>
              <w:t xml:space="preserve">0.127 (0.050)</w:t>
            </w:r>
          </w:p>
        </w:tc>
        <w:tc>
          <w:tcPr/>
          <w:p>
            <w:pPr>
              <w:pStyle w:val="Compact"/>
              <w:jc w:val="right"/>
            </w:pPr>
            <w:r>
              <w:t xml:space="preserve">0</w:t>
            </w:r>
          </w:p>
        </w:tc>
        <w:tc>
          <w:tcPr/>
          <w:p>
            <w:pPr>
              <w:pStyle w:val="Compact"/>
              <w:jc w:val="right"/>
            </w:pPr>
            <w:r>
              <w:t xml:space="preserve">0.9999</w:t>
            </w:r>
          </w:p>
        </w:tc>
      </w:tr>
      <w:tr>
        <w:tc>
          <w:tcPr/>
          <w:p>
            <w:pPr>
              <w:pStyle w:val="Compact"/>
              <w:jc w:val="right"/>
            </w:pPr>
            <w:r>
              <w:t xml:space="preserve">6</w:t>
            </w:r>
          </w:p>
        </w:tc>
        <w:tc>
          <w:tcPr/>
          <w:p>
            <w:pPr>
              <w:pStyle w:val="Compact"/>
              <w:jc w:val="right"/>
            </w:pPr>
            <w:r>
              <w:t xml:space="preserve">1.008 (0.006)</w:t>
            </w:r>
          </w:p>
        </w:tc>
        <w:tc>
          <w:tcPr/>
          <w:p>
            <w:pPr>
              <w:pStyle w:val="Compact"/>
              <w:jc w:val="right"/>
            </w:pPr>
            <w:r>
              <w:t xml:space="preserve">0.206 (0.047)</w:t>
            </w:r>
          </w:p>
        </w:tc>
        <w:tc>
          <w:tcPr/>
          <w:p>
            <w:pPr>
              <w:pStyle w:val="Compact"/>
              <w:jc w:val="right"/>
            </w:pPr>
            <w:r>
              <w:t xml:space="preserve">0</w:t>
            </w:r>
          </w:p>
        </w:tc>
        <w:tc>
          <w:tcPr/>
          <w:p>
            <w:pPr>
              <w:pStyle w:val="Compact"/>
              <w:jc w:val="right"/>
            </w:pPr>
            <w:r>
              <w:t xml:space="preserve">0.9998</w:t>
            </w:r>
          </w:p>
        </w:tc>
      </w:tr>
    </w:tbl>
    <w:p>
      <w:pPr>
        <w:pStyle w:val="BodyText"/>
      </w:pPr>
      <w:r>
        <w:t xml:space="preserve">These residual slopes are far below the fundamental and full coefficients, but they are not uniformly zero. Direct raw-threshold crossover regressions, available where at least three effects crossed 50% power inside the grid, gave slopes 0.037 for</w:t>
      </w:r>
      <w:r>
        <w:t xml:space="preserve"> </w:t>
      </w:r>
      <m:oMath>
        <m:sSub>
          <m:e>
            <m:r>
              <m:t>C</m:t>
            </m:r>
          </m:e>
          <m:sub>
            <m:r>
              <m:t>5</m:t>
            </m:r>
          </m:sub>
        </m:sSub>
      </m:oMath>
      <w:r>
        <w:t xml:space="preserve"> </w:t>
      </w:r>
      <w:r>
        <w:t xml:space="preserve">and 0.062 for</w:t>
      </w:r>
      <w:r>
        <w:t xml:space="preserve"> </w:t>
      </w:r>
      <m:oMath>
        <m:sSub>
          <m:e>
            <m:r>
              <m:t>C</m:t>
            </m:r>
          </m:e>
          <m:sub>
            <m:r>
              <m:t>6</m:t>
            </m:r>
          </m:sub>
        </m:sSub>
      </m:oMath>
      <w:r>
        <w:t xml:space="preserve">. Their</w:t>
      </w:r>
      <w:r>
        <w:t xml:space="preserve"> </w:t>
      </w:r>
      <m:oMath>
        <m:sSup>
          <m:e>
            <m:r>
              <m:t>R</m:t>
            </m:r>
          </m:e>
          <m:sup>
            <m:r>
              <m:t>2</m:t>
            </m:r>
          </m:sup>
        </m:sSup>
      </m:oMath>
      <w:r>
        <w:t xml:space="preserve"> </w:t>
      </w:r>
      <w:r>
        <w:t xml:space="preserve">values were modest because only three or four crossover points were available.</w:t>
      </w:r>
    </w:p>
    <w:p>
      <w:pPr>
        <w:pStyle w:val="BodyText"/>
      </w:pPr>
      <w:r>
        <w:t xml:space="preserve">The evidence therefore supports the qualified statement:</w:t>
      </w:r>
    </w:p>
    <w:p>
      <w:pPr>
        <w:pStyle w:val="BlockText"/>
      </w:pPr>
      <w:r>
        <w:t xml:space="preserve">The shared exact-orbit detector has a near-zero leading logarithmic coefficient relative to the regular split models, while finite-sample score behavior retains small group-dependent drift.</w:t>
      </w:r>
    </w:p>
    <w:p>
      <w:pPr>
        <w:pStyle w:val="FirstParagraph"/>
      </w:pPr>
      <w:r>
        <w:t xml:space="preserve">The present simulation does not establish exact finite-sample constancy. Plausible sources of the residual include maximization over nonidentity shifts, finite-sample MLE bias, and the singular orbit-collapse point at the uniform distribution.</w:t>
      </w:r>
    </w:p>
    <w:p>
      <w:pPr>
        <w:pStyle w:val="CaptionedFigure"/>
      </w:pPr>
      <w:r>
        <w:drawing>
          <wp:inline>
            <wp:extent cx="5334000" cy="3333750"/>
            <wp:effectExtent b="0" l="0" r="0" t="0"/>
            <wp:docPr descr="Figure 3. Residual log-length coefficients for the shared exact-orbit detector. The structural prediction is zero; observed values show small finite-sample drift." title="Figure 3" id="67" name="Picture"/>
            <a:graphic>
              <a:graphicData uri="http://schemas.openxmlformats.org/drawingml/2006/picture">
                <pic:pic>
                  <pic:nvPicPr>
                    <pic:cNvPr descr="v3_shared_orbit_penalty_slopes.png" id="68" name="Picture"/>
                    <pic:cNvPicPr>
                      <a:picLocks noChangeArrowheads="1" noChangeAspect="1"/>
                    </pic:cNvPicPr>
                  </pic:nvPicPr>
                  <pic:blipFill>
                    <a:blip r:embed="rId6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3. Residual log-length coefficients for the shared exact-orbit detector. The structural prediction is zero; observed values show small finite-sample drift.</w:t>
      </w:r>
    </w:p>
    <w:bookmarkEnd w:id="69"/>
    <w:bookmarkStart w:id="73" w:name="calibrated-crossover-advantage"/>
    <w:p>
      <w:pPr>
        <w:pStyle w:val="Heading2"/>
      </w:pPr>
      <w:r>
        <w:t xml:space="preserve">9.4 Calibrated crossover advantage</w:t>
      </w:r>
    </w:p>
    <w:p>
      <w:pPr>
        <w:pStyle w:val="FirstParagraph"/>
      </w:pPr>
      <w:r>
        <w:t xml:space="preserve">The common 5% calibration permits direct comparison of sample length at equal nominal false-positive control. Table 6 reports median 50%-power crossover ratios. A ratio below one favors the numerator.</w:t>
      </w:r>
    </w:p>
    <w:p>
      <w:pPr>
        <w:pStyle w:val="BodyText"/>
      </w:pPr>
      <w:r>
        <w:rPr>
          <w:b/>
          <w:bCs/>
        </w:rPr>
        <w:t xml:space="preserve">Table 6. Median calibrated crossover-length ratios.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m:oMath>
              <m:r>
                <m:t>g</m:t>
              </m:r>
            </m:oMath>
          </w:p>
        </w:tc>
        <w:tc>
          <w:tcPr/>
          <w:p>
            <w:pPr>
              <w:pStyle w:val="Compact"/>
              <w:jc w:val="right"/>
            </w:pPr>
            <w:r>
              <w:t xml:space="preserve">Shared / full</w:t>
            </w:r>
          </w:p>
        </w:tc>
        <w:tc>
          <w:tcPr/>
          <w:p>
            <w:pPr>
              <w:pStyle w:val="Compact"/>
              <w:jc w:val="right"/>
            </w:pPr>
            <w:r>
              <w:t xml:space="preserve">Shared / fundamental</w:t>
            </w:r>
          </w:p>
        </w:tc>
        <w:tc>
          <w:tcPr/>
          <w:p>
            <w:pPr>
              <w:pStyle w:val="Compact"/>
              <w:jc w:val="right"/>
            </w:pPr>
            <w:r>
              <w:t xml:space="preserve">Fundamental / full</w:t>
            </w:r>
          </w:p>
        </w:tc>
      </w:tr>
      <w:tr>
        <w:tc>
          <w:tcPr/>
          <w:p>
            <w:pPr>
              <w:pStyle w:val="Compact"/>
              <w:jc w:val="right"/>
            </w:pPr>
            <w:r>
              <w:t xml:space="preserve">2</w:t>
            </w:r>
          </w:p>
        </w:tc>
        <w:tc>
          <w:tcPr/>
          <w:p>
            <w:pPr>
              <w:pStyle w:val="Compact"/>
              <w:jc w:val="right"/>
            </w:pPr>
            <w:r>
              <w:t xml:space="preserve">0.883</w:t>
            </w:r>
          </w:p>
        </w:tc>
        <w:tc>
          <w:tcPr/>
          <w:p>
            <w:pPr>
              <w:pStyle w:val="Compact"/>
              <w:jc w:val="right"/>
            </w:pPr>
            <w:r>
              <w:t xml:space="preserve">0.883</w:t>
            </w:r>
          </w:p>
        </w:tc>
        <w:tc>
          <w:tcPr/>
          <w:p>
            <w:pPr>
              <w:pStyle w:val="Compact"/>
              <w:jc w:val="right"/>
            </w:pPr>
            <w:r>
              <w:t xml:space="preserve">1.000</w:t>
            </w:r>
          </w:p>
        </w:tc>
      </w:tr>
      <w:tr>
        <w:tc>
          <w:tcPr/>
          <w:p>
            <w:pPr>
              <w:pStyle w:val="Compact"/>
              <w:jc w:val="right"/>
            </w:pPr>
            <w:r>
              <w:t xml:space="preserve">3</w:t>
            </w:r>
          </w:p>
        </w:tc>
        <w:tc>
          <w:tcPr/>
          <w:p>
            <w:pPr>
              <w:pStyle w:val="Compact"/>
              <w:jc w:val="right"/>
            </w:pPr>
            <w:r>
              <w:t xml:space="preserve">0.943</w:t>
            </w:r>
          </w:p>
        </w:tc>
        <w:tc>
          <w:tcPr/>
          <w:p>
            <w:pPr>
              <w:pStyle w:val="Compact"/>
              <w:jc w:val="right"/>
            </w:pPr>
            <w:r>
              <w:t xml:space="preserve">0.943</w:t>
            </w:r>
          </w:p>
        </w:tc>
        <w:tc>
          <w:tcPr/>
          <w:p>
            <w:pPr>
              <w:pStyle w:val="Compact"/>
              <w:jc w:val="right"/>
            </w:pPr>
            <w:r>
              <w:t xml:space="preserve">1.000</w:t>
            </w:r>
          </w:p>
        </w:tc>
      </w:tr>
      <w:tr>
        <w:tc>
          <w:tcPr/>
          <w:p>
            <w:pPr>
              <w:pStyle w:val="Compact"/>
              <w:jc w:val="right"/>
            </w:pPr>
            <w:r>
              <w:t xml:space="preserve">4</w:t>
            </w:r>
          </w:p>
        </w:tc>
        <w:tc>
          <w:tcPr/>
          <w:p>
            <w:pPr>
              <w:pStyle w:val="Compact"/>
              <w:jc w:val="right"/>
            </w:pPr>
            <w:r>
              <w:t xml:space="preserve">0.705</w:t>
            </w:r>
          </w:p>
        </w:tc>
        <w:tc>
          <w:tcPr/>
          <w:p>
            <w:pPr>
              <w:pStyle w:val="Compact"/>
              <w:jc w:val="right"/>
            </w:pPr>
            <w:r>
              <w:t xml:space="preserve">0.812</w:t>
            </w:r>
          </w:p>
        </w:tc>
        <w:tc>
          <w:tcPr/>
          <w:p>
            <w:pPr>
              <w:pStyle w:val="Compact"/>
              <w:jc w:val="right"/>
            </w:pPr>
            <w:r>
              <w:t xml:space="preserve">0.896</w:t>
            </w:r>
          </w:p>
        </w:tc>
      </w:tr>
      <w:tr>
        <w:tc>
          <w:tcPr/>
          <w:p>
            <w:pPr>
              <w:pStyle w:val="Compact"/>
              <w:jc w:val="right"/>
            </w:pPr>
            <w:r>
              <w:t xml:space="preserve">5</w:t>
            </w:r>
          </w:p>
        </w:tc>
        <w:tc>
          <w:tcPr/>
          <w:p>
            <w:pPr>
              <w:pStyle w:val="Compact"/>
              <w:jc w:val="right"/>
            </w:pPr>
            <w:r>
              <w:t xml:space="preserve">0.672</w:t>
            </w:r>
          </w:p>
        </w:tc>
        <w:tc>
          <w:tcPr/>
          <w:p>
            <w:pPr>
              <w:pStyle w:val="Compact"/>
              <w:jc w:val="right"/>
            </w:pPr>
            <w:r>
              <w:t xml:space="preserve">0.829</w:t>
            </w:r>
          </w:p>
        </w:tc>
        <w:tc>
          <w:tcPr/>
          <w:p>
            <w:pPr>
              <w:pStyle w:val="Compact"/>
              <w:jc w:val="right"/>
            </w:pPr>
            <w:r>
              <w:t xml:space="preserve">0.771</w:t>
            </w:r>
          </w:p>
        </w:tc>
      </w:tr>
      <w:tr>
        <w:tc>
          <w:tcPr/>
          <w:p>
            <w:pPr>
              <w:pStyle w:val="Compact"/>
              <w:jc w:val="right"/>
            </w:pPr>
            <w:r>
              <w:t xml:space="preserve">6</w:t>
            </w:r>
          </w:p>
        </w:tc>
        <w:tc>
          <w:tcPr/>
          <w:p>
            <w:pPr>
              <w:pStyle w:val="Compact"/>
              <w:jc w:val="right"/>
            </w:pPr>
            <w:r>
              <w:t xml:space="preserve">0.610</w:t>
            </w:r>
          </w:p>
        </w:tc>
        <w:tc>
          <w:tcPr/>
          <w:p>
            <w:pPr>
              <w:pStyle w:val="Compact"/>
              <w:jc w:val="right"/>
            </w:pPr>
            <w:r>
              <w:t xml:space="preserve">0.814</w:t>
            </w:r>
          </w:p>
        </w:tc>
        <w:tc>
          <w:tcPr/>
          <w:p>
            <w:pPr>
              <w:pStyle w:val="Compact"/>
              <w:jc w:val="right"/>
            </w:pPr>
            <w:r>
              <w:t xml:space="preserve">0.793</w:t>
            </w:r>
          </w:p>
        </w:tc>
      </w:tr>
    </w:tbl>
    <w:p>
      <w:pPr>
        <w:pStyle w:val="BodyText"/>
      </w:pPr>
      <w:r>
        <w:t xml:space="preserve">For exact-orbit data, the shared detector required approximately 30%, 33%, and 39% fewer observations than the full detector for</w:t>
      </w:r>
      <w:r>
        <w:t xml:space="preserve"> </w:t>
      </w:r>
      <m:oMath>
        <m:sSub>
          <m:e>
            <m:r>
              <m:t>C</m:t>
            </m:r>
          </m:e>
          <m:sub>
            <m:r>
              <m:t>4</m:t>
            </m:r>
          </m:sub>
        </m:sSub>
        <m:r>
          <m:rPr>
            <m:sty m:val="p"/>
          </m:rPr>
          <m:t>,</m:t>
        </m:r>
        <m:sSub>
          <m:e>
            <m:r>
              <m:t>C</m:t>
            </m:r>
          </m:e>
          <m:sub>
            <m:r>
              <m:t>5</m:t>
            </m:r>
          </m:sub>
        </m:sSub>
        <m:r>
          <m:rPr>
            <m:sty m:val="p"/>
          </m:rPr>
          <m:t>,</m:t>
        </m:r>
        <m:sSub>
          <m:e>
            <m:r>
              <m:t>C</m:t>
            </m:r>
          </m:e>
          <m:sub>
            <m:r>
              <m:t>6</m:t>
            </m:r>
          </m:sub>
        </m:sSub>
      </m:oMath>
      <w:r>
        <w:t xml:space="preserve">. Relative to the fundamental detector, the reduction was approximately 17%–19% over the same groups.</w:t>
      </w:r>
    </w:p>
    <w:p>
      <w:pPr>
        <w:pStyle w:val="BodyText"/>
      </w:pPr>
      <w:r>
        <w:t xml:space="preserve">For independent fundamental changes, Model B and Model A were identical at</w:t>
      </w:r>
      <w:r>
        <w:t xml:space="preserve"> </w:t>
      </w:r>
      <m:oMath>
        <m:sSub>
          <m:e>
            <m:r>
              <m:t>C</m:t>
            </m:r>
          </m:e>
          <m:sub>
            <m:r>
              <m:t>2</m:t>
            </m:r>
          </m:sub>
        </m:sSub>
      </m:oMath>
      <w:r>
        <w:t xml:space="preserve"> </w:t>
      </w:r>
      <w:r>
        <w:t xml:space="preserve">and</w:t>
      </w:r>
      <w:r>
        <w:t xml:space="preserve"> </w:t>
      </w:r>
      <m:oMath>
        <m:sSub>
          <m:e>
            <m:r>
              <m:t>C</m:t>
            </m:r>
          </m:e>
          <m:sub>
            <m:r>
              <m:t>3</m:t>
            </m:r>
          </m:sub>
        </m:sSub>
      </m:oMath>
      <w:r>
        <w:t xml:space="preserve">. At</w:t>
      </w:r>
      <w:r>
        <w:t xml:space="preserve"> </w:t>
      </w:r>
      <m:oMath>
        <m:sSub>
          <m:e>
            <m:r>
              <m:t>C</m:t>
            </m:r>
          </m:e>
          <m:sub>
            <m:r>
              <m:t>4</m:t>
            </m:r>
          </m:sub>
        </m:sSub>
        <m:r>
          <m:rPr>
            <m:sty m:val="p"/>
          </m:rPr>
          <m:t>,</m:t>
        </m:r>
        <m:sSub>
          <m:e>
            <m:r>
              <m:t>C</m:t>
            </m:r>
          </m:e>
          <m:sub>
            <m:r>
              <m:t>5</m:t>
            </m:r>
          </m:sub>
        </m:sSub>
        <m:r>
          <m:rPr>
            <m:sty m:val="p"/>
          </m:rPr>
          <m:t>,</m:t>
        </m:r>
        <m:sSub>
          <m:e>
            <m:r>
              <m:t>C</m:t>
            </m:r>
          </m:e>
          <m:sub>
            <m:r>
              <m:t>6</m:t>
            </m:r>
          </m:sub>
        </m:sSub>
      </m:oMath>
      <w:r>
        <w:t xml:space="preserve">, the fundamental detector required approximately 10%, 23%, and 21% fewer observations than the full detector among effects with internal crossover estimates.</w:t>
      </w:r>
    </w:p>
    <w:p>
      <w:pPr>
        <w:pStyle w:val="CaptionedFigure"/>
      </w:pPr>
      <w:r>
        <w:drawing>
          <wp:inline>
            <wp:extent cx="5334000" cy="3333750"/>
            <wp:effectExtent b="0" l="0" r="0" t="0"/>
            <wp:docPr descr="Figure 4. Calibrated sample-length advantage on exact-orbit data. The dashed line denotes equal sample requirements." title="Figure 4" id="71" name="Picture"/>
            <a:graphic>
              <a:graphicData uri="http://schemas.openxmlformats.org/drawingml/2006/picture">
                <pic:pic>
                  <pic:nvPicPr>
                    <pic:cNvPr descr="v3_exact_orbit_crossover_ratios.png" id="72" name="Picture"/>
                    <pic:cNvPicPr>
                      <a:picLocks noChangeArrowheads="1" noChangeAspect="1"/>
                    </pic:cNvPicPr>
                  </pic:nvPicPr>
                  <pic:blipFill>
                    <a:blip r:embed="rId7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 Calibrated sample-length advantage on exact-orbit data. The dashed line denotes equal sample requirements.</w:t>
      </w:r>
    </w:p>
    <w:bookmarkEnd w:id="73"/>
    <w:bookmarkStart w:id="77" w:name="misspecification"/>
    <w:p>
      <w:pPr>
        <w:pStyle w:val="Heading2"/>
      </w:pPr>
      <w:r>
        <w:t xml:space="preserve">9.5 Misspecification</w:t>
      </w:r>
    </w:p>
    <w:p>
      <w:pPr>
        <w:pStyle w:val="FirstParagraph"/>
      </w:pPr>
      <w:r>
        <w:t xml:space="preserve">The constrained detectors should not dominate when their geometric assumptions are false. The higher-mode scenario tests this requirement.</w:t>
      </w:r>
    </w:p>
    <w:p>
      <w:pPr>
        <w:pStyle w:val="BodyText"/>
      </w:pPr>
      <w:r>
        <w:rPr>
          <w:b/>
          <w:bCs/>
        </w:rPr>
        <w:t xml:space="preserve">Table 7. Mean calibrated power for higher-mode full-space changes at total length 6,400.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m:oMath>
              <m:r>
                <m:t>g</m:t>
              </m:r>
            </m:oMath>
          </w:p>
        </w:tc>
        <w:tc>
          <w:tcPr/>
          <w:p>
            <w:pPr>
              <w:pStyle w:val="Compact"/>
              <w:jc w:val="right"/>
            </w:pPr>
            <w:r>
              <w:t xml:space="preserve">Full</w:t>
            </w:r>
          </w:p>
        </w:tc>
        <w:tc>
          <w:tcPr/>
          <w:p>
            <w:pPr>
              <w:pStyle w:val="Compact"/>
              <w:jc w:val="right"/>
            </w:pPr>
            <w:r>
              <w:t xml:space="preserve">Fundamental</w:t>
            </w:r>
          </w:p>
        </w:tc>
        <w:tc>
          <w:tcPr/>
          <w:p>
            <w:pPr>
              <w:pStyle w:val="Compact"/>
              <w:jc w:val="right"/>
            </w:pPr>
            <w:r>
              <w:t xml:space="preserve">Shared orbit</w:t>
            </w:r>
          </w:p>
        </w:tc>
      </w:tr>
      <w:tr>
        <w:tc>
          <w:tcPr/>
          <w:p>
            <w:pPr>
              <w:pStyle w:val="Compact"/>
              <w:jc w:val="right"/>
            </w:pPr>
            <w:r>
              <w:t xml:space="preserve">4</w:t>
            </w:r>
          </w:p>
        </w:tc>
        <w:tc>
          <w:tcPr/>
          <w:p>
            <w:pPr>
              <w:pStyle w:val="Compact"/>
              <w:jc w:val="right"/>
            </w:pPr>
            <w:r>
              <w:t xml:space="preserve">0.999</w:t>
            </w:r>
          </w:p>
        </w:tc>
        <w:tc>
          <w:tcPr/>
          <w:p>
            <w:pPr>
              <w:pStyle w:val="Compact"/>
              <w:jc w:val="right"/>
            </w:pPr>
            <w:r>
              <w:t xml:space="preserve">0.399</w:t>
            </w:r>
          </w:p>
        </w:tc>
        <w:tc>
          <w:tcPr/>
          <w:p>
            <w:pPr>
              <w:pStyle w:val="Compact"/>
              <w:jc w:val="right"/>
            </w:pPr>
            <w:r>
              <w:t xml:space="preserve">0.082</w:t>
            </w:r>
          </w:p>
        </w:tc>
      </w:tr>
      <w:tr>
        <w:tc>
          <w:tcPr/>
          <w:p>
            <w:pPr>
              <w:pStyle w:val="Compact"/>
              <w:jc w:val="right"/>
            </w:pPr>
            <w:r>
              <w:t xml:space="preserve">5</w:t>
            </w:r>
          </w:p>
        </w:tc>
        <w:tc>
          <w:tcPr/>
          <w:p>
            <w:pPr>
              <w:pStyle w:val="Compact"/>
              <w:jc w:val="right"/>
            </w:pPr>
            <w:r>
              <w:t xml:space="preserve">0.975</w:t>
            </w:r>
          </w:p>
        </w:tc>
        <w:tc>
          <w:tcPr/>
          <w:p>
            <w:pPr>
              <w:pStyle w:val="Compact"/>
              <w:jc w:val="right"/>
            </w:pPr>
            <w:r>
              <w:t xml:space="preserve">0.211</w:t>
            </w:r>
          </w:p>
        </w:tc>
        <w:tc>
          <w:tcPr/>
          <w:p>
            <w:pPr>
              <w:pStyle w:val="Compact"/>
              <w:jc w:val="right"/>
            </w:pPr>
            <w:r>
              <w:t xml:space="preserve">0.044</w:t>
            </w:r>
          </w:p>
        </w:tc>
      </w:tr>
      <w:tr>
        <w:tc>
          <w:tcPr/>
          <w:p>
            <w:pPr>
              <w:pStyle w:val="Compact"/>
              <w:jc w:val="right"/>
            </w:pPr>
            <w:r>
              <w:t xml:space="preserve">6</w:t>
            </w:r>
          </w:p>
        </w:tc>
        <w:tc>
          <w:tcPr/>
          <w:p>
            <w:pPr>
              <w:pStyle w:val="Compact"/>
              <w:jc w:val="right"/>
            </w:pPr>
            <w:r>
              <w:t xml:space="preserve">0.962</w:t>
            </w:r>
          </w:p>
        </w:tc>
        <w:tc>
          <w:tcPr/>
          <w:p>
            <w:pPr>
              <w:pStyle w:val="Compact"/>
              <w:jc w:val="right"/>
            </w:pPr>
            <w:r>
              <w:t xml:space="preserve">0.182</w:t>
            </w:r>
          </w:p>
        </w:tc>
        <w:tc>
          <w:tcPr/>
          <w:p>
            <w:pPr>
              <w:pStyle w:val="Compact"/>
              <w:jc w:val="right"/>
            </w:pPr>
            <w:r>
              <w:t xml:space="preserve">0.055</w:t>
            </w:r>
          </w:p>
        </w:tc>
      </w:tr>
    </w:tbl>
    <w:p>
      <w:pPr>
        <w:pStyle w:val="BodyText"/>
      </w:pPr>
      <w:r>
        <w:t xml:space="preserve">The full detector retained high power because it could represent the added mode. The fundamental detector captured only the component lying in its selected subspace, while the exact-orbit detector was more severely misspecified. This result is important: the sample-efficiency advantage of the constrained detectors is not a consequence of generally lower thresholds. It is conditional on structural correctness.</w:t>
      </w:r>
    </w:p>
    <w:p>
      <w:pPr>
        <w:pStyle w:val="CaptionedFigure"/>
      </w:pPr>
      <w:r>
        <w:drawing>
          <wp:inline>
            <wp:extent cx="5334000" cy="3333750"/>
            <wp:effectExtent b="0" l="0" r="0" t="0"/>
            <wp:docPr descr="Figure 5. Calibrated power under a higher-mode change outside the fundamental subspace." title="Figure 5" id="75" name="Picture"/>
            <a:graphic>
              <a:graphicData uri="http://schemas.openxmlformats.org/drawingml/2006/picture">
                <pic:pic>
                  <pic:nvPicPr>
                    <pic:cNvPr descr="v3_full_space_power.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5. Calibrated power under a higher-mode change outside the fundamental subspace.</w:t>
      </w:r>
    </w:p>
    <w:bookmarkEnd w:id="77"/>
    <w:bookmarkStart w:id="78" w:name="relative-shift-recovery"/>
    <w:p>
      <w:pPr>
        <w:pStyle w:val="Heading2"/>
      </w:pPr>
      <w:r>
        <w:t xml:space="preserve">9.6 Relative-shift recovery</w:t>
      </w:r>
    </w:p>
    <w:p>
      <w:pPr>
        <w:pStyle w:val="FirstParagraph"/>
      </w:pPr>
      <w:r>
        <w:t xml:space="preserve">On exact-orbit data at total length 6,400, the shared detector also recovered the planted one-step shift with high accuracy.</w:t>
      </w:r>
    </w:p>
    <w:p>
      <w:pPr>
        <w:pStyle w:val="BodyText"/>
      </w:pPr>
      <w:r>
        <w:rPr>
          <w:b/>
          <w:bCs/>
        </w:rPr>
        <w:t xml:space="preserve">Table 8. Relative-shift recovery at total length 6,400.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m:oMath>
              <m:r>
                <m:t>g</m:t>
              </m:r>
            </m:oMath>
          </w:p>
        </w:tc>
        <w:tc>
          <w:tcPr/>
          <w:p>
            <w:pPr>
              <w:pStyle w:val="Compact"/>
              <w:jc w:val="right"/>
            </w:pPr>
            <w:r>
              <w:t xml:space="preserve">Mean accuracy</w:t>
            </w:r>
          </w:p>
        </w:tc>
        <w:tc>
          <w:tcPr/>
          <w:p>
            <w:pPr>
              <w:pStyle w:val="Compact"/>
              <w:jc w:val="right"/>
            </w:pPr>
            <w:r>
              <w:t xml:space="preserve">Minimum across effects</w:t>
            </w:r>
          </w:p>
        </w:tc>
        <w:tc>
          <w:tcPr/>
          <w:p>
            <w:pPr>
              <w:pStyle w:val="Compact"/>
              <w:jc w:val="right"/>
            </w:pPr>
            <w:r>
              <w:t xml:space="preserve">Maximum across effects</w:t>
            </w:r>
          </w:p>
        </w:tc>
      </w:tr>
      <w:tr>
        <w:tc>
          <w:tcPr/>
          <w:p>
            <w:pPr>
              <w:pStyle w:val="Compact"/>
              <w:jc w:val="right"/>
            </w:pPr>
            <w:r>
              <w:t xml:space="preserve">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jc w:val="right"/>
            </w:pPr>
            <w:r>
              <w:t xml:space="preserve">3</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jc w:val="right"/>
            </w:pPr>
            <w:r>
              <w:t xml:space="preserve">4</w:t>
            </w:r>
          </w:p>
        </w:tc>
        <w:tc>
          <w:tcPr/>
          <w:p>
            <w:pPr>
              <w:pStyle w:val="Compact"/>
              <w:jc w:val="right"/>
            </w:pPr>
            <w:r>
              <w:t xml:space="preserve">0.997</w:t>
            </w:r>
          </w:p>
        </w:tc>
        <w:tc>
          <w:tcPr/>
          <w:p>
            <w:pPr>
              <w:pStyle w:val="Compact"/>
              <w:jc w:val="right"/>
            </w:pPr>
            <w:r>
              <w:t xml:space="preserve">0.988</w:t>
            </w:r>
          </w:p>
        </w:tc>
        <w:tc>
          <w:tcPr/>
          <w:p>
            <w:pPr>
              <w:pStyle w:val="Compact"/>
              <w:jc w:val="right"/>
            </w:pPr>
            <w:r>
              <w:t xml:space="preserve">1.000</w:t>
            </w:r>
          </w:p>
        </w:tc>
      </w:tr>
      <w:tr>
        <w:tc>
          <w:tcPr/>
          <w:p>
            <w:pPr>
              <w:pStyle w:val="Compact"/>
              <w:jc w:val="right"/>
            </w:pPr>
            <w:r>
              <w:t xml:space="preserve">5</w:t>
            </w:r>
          </w:p>
        </w:tc>
        <w:tc>
          <w:tcPr/>
          <w:p>
            <w:pPr>
              <w:pStyle w:val="Compact"/>
              <w:jc w:val="right"/>
            </w:pPr>
            <w:r>
              <w:t xml:space="preserve">0.9945</w:t>
            </w:r>
          </w:p>
        </w:tc>
        <w:tc>
          <w:tcPr/>
          <w:p>
            <w:pPr>
              <w:pStyle w:val="Compact"/>
              <w:jc w:val="right"/>
            </w:pPr>
            <w:r>
              <w:t xml:space="preserve">0.980</w:t>
            </w:r>
          </w:p>
        </w:tc>
        <w:tc>
          <w:tcPr/>
          <w:p>
            <w:pPr>
              <w:pStyle w:val="Compact"/>
              <w:jc w:val="right"/>
            </w:pPr>
            <w:r>
              <w:t xml:space="preserve">1.000</w:t>
            </w:r>
          </w:p>
        </w:tc>
      </w:tr>
      <w:tr>
        <w:tc>
          <w:tcPr/>
          <w:p>
            <w:pPr>
              <w:pStyle w:val="Compact"/>
              <w:jc w:val="right"/>
            </w:pPr>
            <w:r>
              <w:t xml:space="preserve">6</w:t>
            </w:r>
          </w:p>
        </w:tc>
        <w:tc>
          <w:tcPr/>
          <w:p>
            <w:pPr>
              <w:pStyle w:val="Compact"/>
              <w:jc w:val="right"/>
            </w:pPr>
            <w:r>
              <w:t xml:space="preserve">0.989</w:t>
            </w:r>
          </w:p>
        </w:tc>
        <w:tc>
          <w:tcPr/>
          <w:p>
            <w:pPr>
              <w:pStyle w:val="Compact"/>
              <w:jc w:val="right"/>
            </w:pPr>
            <w:r>
              <w:t xml:space="preserve">0.958</w:t>
            </w:r>
          </w:p>
        </w:tc>
        <w:tc>
          <w:tcPr/>
          <w:p>
            <w:pPr>
              <w:pStyle w:val="Compact"/>
              <w:jc w:val="right"/>
            </w:pPr>
            <w:r>
              <w:t xml:space="preserve">1.000</w:t>
            </w:r>
          </w:p>
        </w:tc>
      </w:tr>
    </w:tbl>
    <w:p>
      <w:pPr>
        <w:pStyle w:val="BodyText"/>
      </w:pPr>
      <w:r>
        <w:t xml:space="preserve">The slight decline with</w:t>
      </w:r>
      <w:r>
        <w:t xml:space="preserve"> </w:t>
      </w:r>
      <m:oMath>
        <m:r>
          <m:t>g</m:t>
        </m:r>
      </m:oMath>
      <w:r>
        <w:t xml:space="preserve"> </w:t>
      </w:r>
      <w:r>
        <w:t xml:space="preserve">is expected because the detector maximizes over more candidate shifts, while adjacent orbit states become geometrically closer for some directions as group order increases.</w:t>
      </w:r>
    </w:p>
    <w:bookmarkEnd w:id="78"/>
    <w:bookmarkEnd w:id="79"/>
    <w:bookmarkStart w:id="83" w:name="interpretation"/>
    <w:p>
      <w:pPr>
        <w:pStyle w:val="Heading1"/>
      </w:pPr>
      <w:r>
        <w:t xml:space="preserve">10. Interpretation</w:t>
      </w:r>
    </w:p>
    <w:bookmarkStart w:id="80" w:name="Xd058b9cdb82f48d64689143c27b9e554bb0b4f3"/>
    <w:p>
      <w:pPr>
        <w:pStyle w:val="Heading2"/>
      </w:pPr>
      <w:r>
        <w:t xml:space="preserve">10.1 The three penalties are empirically distinct</w:t>
      </w:r>
    </w:p>
    <w:p>
      <w:pPr>
        <w:pStyle w:val="FirstParagraph"/>
      </w:pPr>
      <w:r>
        <w:t xml:space="preserve">The central empirical result is not a single universal cyclic threshold. It is the separation of three model-dependent complexity laws.</w:t>
      </w:r>
    </w:p>
    <w:p>
      <w:pPr>
        <w:pStyle w:val="BodyText"/>
      </w:pPr>
      <w:r>
        <w:t xml:space="preserve">The full detector follows the growing simplex dimension. The fundamental detector follows the fixed dimension of the selected representation. The shared-orbit detector is qualitatively different because the alternative does not introduce a second continuous state.</w:t>
      </w:r>
    </w:p>
    <w:p>
      <w:pPr>
        <w:pStyle w:val="BodyText"/>
      </w:pPr>
      <w:r>
        <w:t xml:space="preserve">For</w:t>
      </w:r>
      <w:r>
        <w:t xml:space="preserve"> </w:t>
      </w:r>
      <m:oMath>
        <m:r>
          <m:t>g</m:t>
        </m:r>
        <m:r>
          <m:rPr>
            <m:sty m:val="p"/>
          </m:rPr>
          <m:t>≥</m:t>
        </m:r>
        <m:r>
          <m:t>4</m:t>
        </m:r>
      </m:oMath>
      <w:r>
        <w:t xml:space="preserve">,</w:t>
      </w:r>
    </w:p>
    <w:p>
      <w:pPr>
        <w:pStyle w:val="BodyText"/>
      </w:pPr>
      <m:oMathPara>
        <m:oMathParaPr>
          <m:jc m:val="center"/>
        </m:oMathParaPr>
        <m:oMath>
          <m:f>
            <m:fPr>
              <m:type m:val="bar"/>
            </m:fPr>
            <m:num>
              <m:r>
                <m:t>g</m:t>
              </m:r>
              <m:r>
                <m:rPr>
                  <m:sty m:val="p"/>
                </m:rPr>
                <m:t>−</m:t>
              </m:r>
              <m:r>
                <m:t>1</m:t>
              </m:r>
            </m:num>
            <m:den>
              <m:r>
                <m:t>2</m:t>
              </m:r>
            </m:den>
          </m:f>
          <m:r>
            <m:rPr>
              <m:sty m:val="p"/>
            </m:rPr>
            <m:t>&gt;</m:t>
          </m:r>
          <m:f>
            <m:fPr>
              <m:type m:val="bar"/>
            </m:fPr>
            <m:num>
              <m:sSub>
                <m:e>
                  <m:r>
                    <m:t>d</m:t>
                  </m:r>
                </m:e>
                <m:sub>
                  <m:r>
                    <m:rPr>
                      <m:sty m:val="p"/>
                    </m:rPr>
                    <m:t>f</m:t>
                  </m:r>
                  <m:r>
                    <m:rPr>
                      <m:sty m:val="p"/>
                    </m:rPr>
                    <m:t>u</m:t>
                  </m:r>
                  <m:r>
                    <m:rPr>
                      <m:sty m:val="p"/>
                    </m:rPr>
                    <m:t>n</m:t>
                  </m:r>
                  <m:r>
                    <m:rPr>
                      <m:sty m:val="p"/>
                    </m:rPr>
                    <m:t>d</m:t>
                  </m:r>
                </m:sub>
              </m:sSub>
            </m:num>
            <m:den>
              <m:r>
                <m:t>2</m:t>
              </m:r>
            </m:den>
          </m:f>
          <m:r>
            <m:rPr>
              <m:sty m:val="p"/>
            </m:rPr>
            <m:t>=</m:t>
          </m:r>
          <m:r>
            <m:t>1</m:t>
          </m:r>
          <m:r>
            <m:rPr>
              <m:sty m:val="p"/>
            </m:rPr>
            <m:t>&gt;</m:t>
          </m:r>
          <m:r>
            <m:t>0</m:t>
          </m:r>
          <m:r>
            <m:rPr>
              <m:sty m:val="p"/>
            </m:rPr>
            <m:t>.</m:t>
          </m:r>
        </m:oMath>
      </m:oMathPara>
    </w:p>
    <w:p>
      <w:pPr>
        <w:pStyle w:val="FirstParagraph"/>
      </w:pPr>
      <w:r>
        <w:t xml:space="preserve">The Monte Carlo slopes display the same ordering.</w:t>
      </w:r>
    </w:p>
    <w:bookmarkEnd w:id="80"/>
    <w:bookmarkStart w:id="81" w:name="Xe6f60e5b9ac3a61ce5602a96c9f4873b754ea50"/>
    <w:p>
      <w:pPr>
        <w:pStyle w:val="Heading2"/>
      </w:pPr>
      <w:r>
        <w:t xml:space="preserve">10.2 Dimension reduction versus parameter sharing</w:t>
      </w:r>
    </w:p>
    <w:p>
      <w:pPr>
        <w:pStyle w:val="FirstParagraph"/>
      </w:pPr>
      <w:r>
        <w:t xml:space="preserve">Model B gains efficiency through dimension reduction. It remains a conventional split model: the left and right coordinates are independently estimated.</w:t>
      </w:r>
    </w:p>
    <w:p>
      <w:pPr>
        <w:pStyle w:val="BodyText"/>
      </w:pPr>
      <w:r>
        <w:t xml:space="preserve">Model C gains efficiency through parameter sharing. Its hypothesis is relational. If the relation is exact, the detector can pool aligned observations from both segments to estimate one state. This is stronger than merely projecting both segments into a smaller space.</w:t>
      </w:r>
    </w:p>
    <w:p>
      <w:pPr>
        <w:pStyle w:val="BodyText"/>
      </w:pPr>
      <w:r>
        <w:t xml:space="preserve">The distinction suggests a hierarchy of prior structural knowledge:</w:t>
      </w:r>
    </w:p>
    <w:p>
      <w:pPr>
        <w:pStyle w:val="BodyText"/>
      </w:pPr>
      <m:oMathPara>
        <m:oMathParaPr>
          <m:jc m:val="center"/>
        </m:oMathParaPr>
        <m:oMath>
          <m:r>
            <m:rPr>
              <m:nor/>
              <m:sty m:val="p"/>
            </m:rPr>
            <m:t>arbitrary change</m:t>
          </m:r>
          <m:r>
            <m:rPr>
              <m:sty m:val="p"/>
            </m:rPr>
            <m:t>⊃</m:t>
          </m:r>
          <m:r>
            <m:rPr>
              <m:nor/>
              <m:sty m:val="p"/>
            </m:rPr>
            <m:t>subspace change</m:t>
          </m:r>
          <m:r>
            <m:rPr>
              <m:sty m:val="p"/>
            </m:rPr>
            <m:t>⊃</m:t>
          </m:r>
          <m:r>
            <m:rPr>
              <m:nor/>
              <m:sty m:val="p"/>
            </m:rPr>
            <m:t>exact orbit transition</m:t>
          </m:r>
          <m:r>
            <m:rPr>
              <m:sty m:val="p"/>
            </m:rPr>
            <m:t>.</m:t>
          </m:r>
        </m:oMath>
      </m:oMathPara>
    </w:p>
    <w:p>
      <w:pPr>
        <w:pStyle w:val="FirstParagraph"/>
      </w:pPr>
      <w:r>
        <w:t xml:space="preserve">Greater structural commitment reduces codelength only when the data support that commitment.</w:t>
      </w:r>
    </w:p>
    <w:bookmarkEnd w:id="81"/>
    <w:bookmarkStart w:id="82" w:name="why-the-shared-result-is-qualified"/>
    <w:p>
      <w:pPr>
        <w:pStyle w:val="Heading2"/>
      </w:pPr>
      <w:r>
        <w:t xml:space="preserve">10.3 Why the shared result is qualified</w:t>
      </w:r>
    </w:p>
    <w:p>
      <w:pPr>
        <w:pStyle w:val="FirstParagraph"/>
      </w:pPr>
      <w:r>
        <w:t xml:space="preserve">The structural dimension increment of Model C is exactly zero, but a zero dimension increment does not imply that every finite-sample score statistic is independent of</w:t>
      </w:r>
      <w:r>
        <w:t xml:space="preserve"> </w:t>
      </w:r>
      <m:oMath>
        <m:r>
          <m:t>L</m:t>
        </m:r>
      </m:oMath>
      <w:r>
        <w:t xml:space="preserve">. The selected shift is unidentifiable at orbit collapse, the maximum is taken over several discrete alternatives, and likelihood estimators carry finite-sample bias. The observed residual coefficients should therefore be treated as empirical corrections rather than reinterpreted as a two-dimensional regular penalty.</w:t>
      </w:r>
    </w:p>
    <w:p>
      <w:pPr>
        <w:pStyle w:val="BodyText"/>
      </w:pPr>
      <w:r>
        <w:t xml:space="preserve">A future exact marginal-likelihood analysis should determine whether these corrections approach a constant, a smaller logarithmic term arising from singular learning, or another slowly varying form in local alternatives.</w:t>
      </w:r>
    </w:p>
    <w:bookmarkEnd w:id="82"/>
    <w:bookmarkEnd w:id="83"/>
    <w:bookmarkStart w:id="87" w:name="codon-phase-application"/>
    <w:p>
      <w:pPr>
        <w:pStyle w:val="Heading1"/>
      </w:pPr>
      <w:r>
        <w:t xml:space="preserve">11. Codon-phase application</w:t>
      </w:r>
    </w:p>
    <w:bookmarkStart w:id="84" w:name="Xe2e27e282f40564e0ce01e61044e37becb38ab4"/>
    <w:p>
      <w:pPr>
        <w:pStyle w:val="Heading2"/>
      </w:pPr>
      <w:r>
        <w:t xml:space="preserve">11.1 Separating group order from alphabet size</w:t>
      </w:r>
    </w:p>
    <w:p>
      <w:pPr>
        <w:pStyle w:val="FirstParagraph"/>
      </w:pPr>
      <w:r>
        <w:t xml:space="preserve">A codon-phase model has</w:t>
      </w:r>
    </w:p>
    <w:p>
      <w:pPr>
        <w:pStyle w:val="BodyText"/>
      </w:pPr>
      <m:oMathPara>
        <m:oMathParaPr>
          <m:jc m:val="center"/>
        </m:oMathParaPr>
        <m:oMath>
          <m:r>
            <m:t>g</m:t>
          </m:r>
          <m:r>
            <m:rPr>
              <m:sty m:val="p"/>
            </m:rPr>
            <m:t>=</m:t>
          </m:r>
          <m:r>
            <m:t>3</m:t>
          </m:r>
        </m:oMath>
      </m:oMathPara>
    </w:p>
    <w:p>
      <w:pPr>
        <w:pStyle w:val="FirstParagraph"/>
      </w:pPr>
      <w:r>
        <w:t xml:space="preserve">reading-frame phases and</w:t>
      </w:r>
    </w:p>
    <w:p>
      <w:pPr>
        <w:pStyle w:val="BodyText"/>
      </w:pPr>
      <m:oMathPara>
        <m:oMathParaPr>
          <m:jc m:val="center"/>
        </m:oMathParaPr>
        <m:oMath>
          <m:r>
            <m:t>m</m:t>
          </m:r>
          <m:r>
            <m:rPr>
              <m:sty m:val="p"/>
            </m:rPr>
            <m:t>=</m:t>
          </m:r>
          <m:r>
            <m:t>4</m:t>
          </m:r>
        </m:oMath>
      </m:oMathPara>
    </w:p>
    <w:p>
      <w:pPr>
        <w:pStyle w:val="FirstParagraph"/>
      </w:pPr>
      <w:r>
        <w:t xml:space="preserve">nucleotide symbols. These quantities are not interchangeable.</w:t>
      </w:r>
    </w:p>
    <w:p>
      <w:pPr>
        <w:pStyle w:val="BodyText"/>
      </w:pPr>
      <w:r>
        <w:t xml:space="preserve">A phase-specific nucleotide model contains</w:t>
      </w:r>
    </w:p>
    <w:p>
      <w:pPr>
        <w:pStyle w:val="BodyText"/>
      </w:pPr>
      <m:oMathPara>
        <m:oMathParaPr>
          <m:jc m:val="center"/>
        </m:oMathParaPr>
        <m:oMath>
          <m:sSup>
            <m:e>
              <m:r>
                <m:t>p</m:t>
              </m:r>
            </m:e>
            <m:sup>
              <m:d>
                <m:dPr>
                  <m:begChr m:val="("/>
                  <m:endChr m:val=")"/>
                  <m:sepChr m:val=""/>
                  <m:grow/>
                </m:dPr>
                <m:e>
                  <m:r>
                    <m:t>0</m:t>
                  </m:r>
                </m:e>
              </m:d>
            </m:sup>
          </m:sSup>
          <m:r>
            <m:rPr>
              <m:sty m:val="p"/>
            </m:rPr>
            <m:t>,</m:t>
          </m:r>
          <m:sSup>
            <m:e>
              <m:r>
                <m:t>p</m:t>
              </m:r>
            </m:e>
            <m:sup>
              <m:d>
                <m:dPr>
                  <m:begChr m:val="("/>
                  <m:endChr m:val=")"/>
                  <m:sepChr m:val=""/>
                  <m:grow/>
                </m:dPr>
                <m:e>
                  <m:r>
                    <m:t>1</m:t>
                  </m:r>
                </m:e>
              </m:d>
            </m:sup>
          </m:sSup>
          <m:r>
            <m:rPr>
              <m:sty m:val="p"/>
            </m:rPr>
            <m:t>,</m:t>
          </m:r>
          <m:sSup>
            <m:e>
              <m:r>
                <m:t>p</m:t>
              </m:r>
            </m:e>
            <m:sup>
              <m:d>
                <m:dPr>
                  <m:begChr m:val="("/>
                  <m:endChr m:val=")"/>
                  <m:sepChr m:val=""/>
                  <m:grow/>
                </m:dPr>
                <m:e>
                  <m:r>
                    <m:t>2</m:t>
                  </m:r>
                </m:e>
              </m:d>
            </m:sup>
          </m:sSup>
          <m:r>
            <m:rPr>
              <m:sty m:val="p"/>
            </m:rPr>
            <m:t>∈</m:t>
          </m:r>
          <m:sSub>
            <m:e>
              <m:r>
                <m:t>Δ</m:t>
              </m:r>
            </m:e>
            <m:sub>
              <m:r>
                <m:t>3</m:t>
              </m:r>
            </m:sub>
          </m:sSub>
          <m:r>
            <m:rPr>
              <m:sty m:val="p"/>
            </m:rPr>
            <m:t>,</m:t>
          </m:r>
        </m:oMath>
      </m:oMathPara>
    </w:p>
    <w:p>
      <w:pPr>
        <w:pStyle w:val="FirstParagraph"/>
      </w:pPr>
      <w:r>
        <w:t xml:space="preserve">so the full parameter space is</w:t>
      </w:r>
    </w:p>
    <w:p>
      <w:pPr>
        <w:pStyle w:val="BodyText"/>
      </w:pPr>
      <m:oMathPara>
        <m:oMathParaPr>
          <m:jc m:val="center"/>
        </m:oMathParaPr>
        <m:oMath>
          <m:sSup>
            <m:e>
              <m:d>
                <m:dPr>
                  <m:begChr m:val="("/>
                  <m:endChr m:val=")"/>
                  <m:sepChr m:val=""/>
                  <m:grow/>
                </m:dPr>
                <m:e>
                  <m:sSub>
                    <m:e>
                      <m:r>
                        <m:t>Δ</m:t>
                      </m:r>
                    </m:e>
                    <m:sub>
                      <m:r>
                        <m:t>3</m:t>
                      </m:r>
                    </m:sub>
                  </m:sSub>
                </m:e>
              </m:d>
            </m:e>
            <m:sup>
              <m:r>
                <m:t>3</m:t>
              </m:r>
            </m:sup>
          </m:sSup>
        </m:oMath>
      </m:oMathPara>
    </w:p>
    <w:p>
      <w:pPr>
        <w:pStyle w:val="FirstParagraph"/>
      </w:pPr>
      <w:r>
        <w:t xml:space="preserve">with dimension</w:t>
      </w:r>
    </w:p>
    <w:p>
      <w:pPr>
        <w:pStyle w:val="BodyText"/>
      </w:pPr>
      <m:oMathPara>
        <m:oMathParaPr>
          <m:jc m:val="center"/>
        </m:oMathParaPr>
        <m:oMath>
          <m:sSub>
            <m:e>
              <m:r>
                <m:t>d</m:t>
              </m:r>
            </m:e>
            <m:sub>
              <m:r>
                <m:rPr>
                  <m:sty m:val="p"/>
                </m:rPr>
                <m:t>f</m:t>
              </m:r>
              <m:r>
                <m:rPr>
                  <m:sty m:val="p"/>
                </m:rPr>
                <m:t>u</m:t>
              </m:r>
              <m:r>
                <m:rPr>
                  <m:sty m:val="p"/>
                </m:rPr>
                <m:t>l</m:t>
              </m:r>
              <m:r>
                <m:rPr>
                  <m:sty m:val="p"/>
                </m:rPr>
                <m:t>l</m:t>
              </m:r>
            </m:sub>
          </m:sSub>
          <m:r>
            <m:rPr>
              <m:sty m:val="p"/>
            </m:rPr>
            <m:t>=</m:t>
          </m:r>
          <m:r>
            <m:t>3</m:t>
          </m:r>
          <m:d>
            <m:dPr>
              <m:begChr m:val="("/>
              <m:endChr m:val=")"/>
              <m:sepChr m:val=""/>
              <m:grow/>
            </m:dPr>
            <m:e>
              <m:r>
                <m:t>4</m:t>
              </m:r>
              <m:r>
                <m:rPr>
                  <m:sty m:val="p"/>
                </m:rPr>
                <m:t>−</m:t>
              </m:r>
              <m:r>
                <m:t>1</m:t>
              </m:r>
            </m:e>
          </m:d>
          <m:r>
            <m:rPr>
              <m:sty m:val="p"/>
            </m:rPr>
            <m:t>=</m:t>
          </m:r>
          <m:r>
            <m:t>9</m:t>
          </m:r>
          <m:r>
            <m:rPr>
              <m:sty m:val="p"/>
            </m:rPr>
            <m:t>.</m:t>
          </m:r>
        </m:oMath>
      </m:oMathPara>
    </w:p>
    <w:p>
      <w:pPr>
        <w:pStyle w:val="FirstParagraph"/>
      </w:pPr>
      <w:r>
        <w:t xml:space="preserve">The group</w:t>
      </w:r>
      <w:r>
        <w:t xml:space="preserve"> </w:t>
      </w:r>
      <m:oMath>
        <m:sSub>
          <m:e>
            <m:r>
              <m:t>C</m:t>
            </m:r>
          </m:e>
          <m:sub>
            <m:r>
              <m:t>3</m:t>
            </m:r>
          </m:sub>
        </m:sSub>
      </m:oMath>
      <w:r>
        <w:t xml:space="preserve"> </w:t>
      </w:r>
      <w:r>
        <w:t xml:space="preserve">acts by permuting the three phase blocks.</w:t>
      </w:r>
    </w:p>
    <w:bookmarkEnd w:id="84"/>
    <w:bookmarkStart w:id="85" w:name="fundamental-isotypic-dimension"/>
    <w:p>
      <w:pPr>
        <w:pStyle w:val="Heading2"/>
      </w:pPr>
      <w:r>
        <w:t xml:space="preserve">11.2 Fundamental isotypic dimension</w:t>
      </w:r>
    </w:p>
    <w:p>
      <w:pPr>
        <w:pStyle w:val="FirstParagraph"/>
      </w:pPr>
      <w:r>
        <w:t xml:space="preserve">The phase representation decomposes as</w:t>
      </w:r>
    </w:p>
    <w:p>
      <w:pPr>
        <w:pStyle w:val="BodyText"/>
      </w:pPr>
      <m:oMathPara>
        <m:oMathParaPr>
          <m:jc m:val="center"/>
        </m:oMathParaPr>
        <m:oMath>
          <m:sSubSup>
            <m:e>
              <m:r>
                <m:rPr>
                  <m:sty m:val="p"/>
                  <m:scr m:val="double-struck"/>
                </m:rPr>
                <m:t>R</m:t>
              </m:r>
            </m:e>
            <m:sub>
              <m:r>
                <m:rPr>
                  <m:sty m:val="p"/>
                </m:rPr>
                <m:t>p</m:t>
              </m:r>
              <m:r>
                <m:rPr>
                  <m:sty m:val="p"/>
                </m:rPr>
                <m:t>h</m:t>
              </m:r>
              <m:r>
                <m:rPr>
                  <m:sty m:val="p"/>
                </m:rPr>
                <m:t>a</m:t>
              </m:r>
              <m:r>
                <m:rPr>
                  <m:sty m:val="p"/>
                </m:rPr>
                <m:t>s</m:t>
              </m:r>
              <m:r>
                <m:rPr>
                  <m:sty m:val="p"/>
                </m:rPr>
                <m:t>e</m:t>
              </m:r>
            </m:sub>
            <m:sup>
              <m:r>
                <m:t>3</m:t>
              </m:r>
            </m:sup>
          </m:sSubSup>
          <m:r>
            <m:rPr>
              <m:sty m:val="p"/>
            </m:rPr>
            <m:t>=</m:t>
          </m:r>
          <m:sSub>
            <m:e>
              <m:r>
                <m:t>V</m:t>
              </m:r>
            </m:e>
            <m:sub>
              <m:r>
                <m:rPr>
                  <m:sty m:val="p"/>
                </m:rPr>
                <m:t>t</m:t>
              </m:r>
              <m:r>
                <m:rPr>
                  <m:sty m:val="p"/>
                </m:rPr>
                <m:t>r</m:t>
              </m:r>
              <m:r>
                <m:rPr>
                  <m:sty m:val="p"/>
                </m:rPr>
                <m:t>i</m:t>
              </m:r>
              <m:r>
                <m:rPr>
                  <m:sty m:val="p"/>
                </m:rPr>
                <m:t>v</m:t>
              </m:r>
            </m:sub>
          </m:sSub>
          <m:r>
            <m:rPr>
              <m:sty m:val="p"/>
            </m:rPr>
            <m:t>⊕</m:t>
          </m:r>
          <m:sSub>
            <m:e>
              <m:r>
                <m:t>V</m:t>
              </m:r>
            </m:e>
            <m:sub>
              <m:r>
                <m:rPr>
                  <m:sty m:val="p"/>
                </m:rPr>
                <m:t>f</m:t>
              </m:r>
              <m:r>
                <m:rPr>
                  <m:sty m:val="p"/>
                </m:rPr>
                <m:t>u</m:t>
              </m:r>
              <m:r>
                <m:rPr>
                  <m:sty m:val="p"/>
                </m:rPr>
                <m:t>n</m:t>
              </m:r>
              <m:r>
                <m:rPr>
                  <m:sty m:val="p"/>
                </m:rPr>
                <m:t>d</m:t>
              </m:r>
            </m:sub>
          </m:sSub>
          <m:r>
            <m:rPr>
              <m:sty m:val="p"/>
            </m:rPr>
            <m:t>,</m:t>
          </m:r>
        </m:oMath>
      </m:oMathPara>
    </w:p>
    <w:p>
      <w:pPr>
        <w:pStyle w:val="FirstParagraph"/>
      </w:pPr>
      <w:r>
        <w:t xml:space="preserve">where</w:t>
      </w:r>
      <w:r>
        <w:t xml:space="preserve"> </w:t>
      </w:r>
      <m:oMath>
        <m:r>
          <m:rPr>
            <m:sty m:val="p"/>
          </m:rPr>
          <m:t>dim</m:t>
        </m:r>
        <m:sSub>
          <m:e>
            <m:r>
              <m:t>V</m:t>
            </m:r>
          </m:e>
          <m:sub>
            <m:r>
              <m:rPr>
                <m:sty m:val="p"/>
              </m:rPr>
              <m:t>f</m:t>
            </m:r>
            <m:r>
              <m:rPr>
                <m:sty m:val="p"/>
              </m:rPr>
              <m:t>u</m:t>
            </m:r>
            <m:r>
              <m:rPr>
                <m:sty m:val="p"/>
              </m:rPr>
              <m:t>n</m:t>
            </m:r>
            <m:r>
              <m:rPr>
                <m:sty m:val="p"/>
              </m:rPr>
              <m:t>d</m:t>
            </m:r>
          </m:sub>
        </m:sSub>
        <m:r>
          <m:rPr>
            <m:sty m:val="p"/>
          </m:rPr>
          <m:t>=</m:t>
        </m:r>
        <m:r>
          <m:t>2</m:t>
        </m:r>
      </m:oMath>
      <w:r>
        <w:t xml:space="preserve">. Each phase coordinate carries a three-dimensional nucleotide-contrast tangent space. The nontrivial phase isotypic component therefore has dimension</w:t>
      </w:r>
    </w:p>
    <w:p>
      <w:pPr>
        <w:pStyle w:val="BodyText"/>
      </w:pPr>
      <m:oMathPara>
        <m:oMathParaPr>
          <m:jc m:val="center"/>
        </m:oMathParaPr>
        <m:oMath>
          <m:sSub>
            <m:e>
              <m:r>
                <m:t>d</m:t>
              </m:r>
            </m:e>
            <m:sub>
              <m:r>
                <m:rPr>
                  <m:sty m:val="p"/>
                </m:rPr>
                <m:t>p</m:t>
              </m:r>
              <m:r>
                <m:rPr>
                  <m:sty m:val="p"/>
                </m:rPr>
                <m:t>h</m:t>
              </m:r>
              <m:r>
                <m:rPr>
                  <m:sty m:val="p"/>
                </m:rPr>
                <m:t>a</m:t>
              </m:r>
              <m:r>
                <m:rPr>
                  <m:sty m:val="p"/>
                </m:rPr>
                <m:t>s</m:t>
              </m:r>
              <m:r>
                <m:rPr>
                  <m:sty m:val="p"/>
                </m:rPr>
                <m:t>e</m:t>
              </m:r>
              <m:r>
                <m:rPr>
                  <m:nor/>
                  <m:sty m:val="p"/>
                </m:rPr>
                <m:t>-</m:t>
              </m:r>
              <m:r>
                <m:rPr>
                  <m:sty m:val="p"/>
                </m:rPr>
                <m:t>f</m:t>
              </m:r>
              <m:r>
                <m:rPr>
                  <m:sty m:val="p"/>
                </m:rPr>
                <m:t>u</m:t>
              </m:r>
              <m:r>
                <m:rPr>
                  <m:sty m:val="p"/>
                </m:rPr>
                <m:t>n</m:t>
              </m:r>
              <m:r>
                <m:rPr>
                  <m:sty m:val="p"/>
                </m:rPr>
                <m:t>d</m:t>
              </m:r>
            </m:sub>
          </m:sSub>
          <m:r>
            <m:rPr>
              <m:sty m:val="p"/>
            </m:rPr>
            <m:t>=</m:t>
          </m:r>
          <m:r>
            <m:t>2</m:t>
          </m:r>
          <m:d>
            <m:dPr>
              <m:begChr m:val="("/>
              <m:endChr m:val=")"/>
              <m:sepChr m:val=""/>
              <m:grow/>
            </m:dPr>
            <m:e>
              <m:r>
                <m:t>m</m:t>
              </m:r>
              <m:r>
                <m:rPr>
                  <m:sty m:val="p"/>
                </m:rPr>
                <m:t>−</m:t>
              </m:r>
              <m:r>
                <m:t>1</m:t>
              </m:r>
            </m:e>
          </m:d>
          <m:r>
            <m:rPr>
              <m:sty m:val="p"/>
            </m:rPr>
            <m:t>=</m:t>
          </m:r>
          <m:r>
            <m:t>6</m:t>
          </m:r>
          <m:r>
            <m:rPr>
              <m:sty m:val="p"/>
            </m:rPr>
            <m:t>.</m:t>
          </m:r>
        </m:oMath>
      </m:oMathPara>
    </w:p>
    <w:p>
      <w:pPr>
        <w:pStyle w:val="FirstParagraph"/>
      </w:pPr>
      <w:r>
        <w:t xml:space="preserve">The corresponding known-boundary penalties are</w:t>
      </w:r>
    </w:p>
    <w:p>
      <w:pPr>
        <w:pStyle w:val="BodyText"/>
      </w:pPr>
      <m:oMathPara>
        <m:oMathParaPr>
          <m:jc m:val="center"/>
        </m:oMathParaPr>
        <m:oMath>
          <m:sSub>
            <m:e>
              <m:r>
                <m:rPr>
                  <m:sty m:val="p"/>
                </m:rPr>
                <m:t>pen</m:t>
              </m:r>
            </m:e>
            <m:sub>
              <m:r>
                <m:rPr>
                  <m:sty m:val="p"/>
                </m:rPr>
                <m:t>f</m:t>
              </m:r>
              <m:r>
                <m:rPr>
                  <m:sty m:val="p"/>
                </m:rPr>
                <m:t>u</m:t>
              </m:r>
              <m:r>
                <m:rPr>
                  <m:sty m:val="p"/>
                </m:rPr>
                <m:t>l</m:t>
              </m:r>
              <m:r>
                <m:rPr>
                  <m:sty m:val="p"/>
                </m:rPr>
                <m:t>l</m:t>
              </m:r>
            </m:sub>
          </m:sSub>
          <m:r>
            <m:rPr>
              <m:sty m:val="p"/>
            </m:rPr>
            <m:t>=</m:t>
          </m:r>
          <m:f>
            <m:fPr>
              <m:type m:val="bar"/>
            </m:fPr>
            <m:num>
              <m:r>
                <m:t>9</m:t>
              </m:r>
            </m:num>
            <m:den>
              <m:r>
                <m:t>2</m:t>
              </m:r>
            </m:den>
          </m:f>
          <m:r>
            <m:rPr>
              <m:sty m:val="p"/>
            </m:rPr>
            <m:t>log</m:t>
          </m:r>
          <m:r>
            <m:t>L</m:t>
          </m:r>
          <m:r>
            <m:rPr>
              <m:sty m:val="p"/>
            </m:rPr>
            <m:t>+</m:t>
          </m:r>
          <m:r>
            <m:t>O</m:t>
          </m:r>
          <m:d>
            <m:dPr>
              <m:begChr m:val="("/>
              <m:endChr m:val=")"/>
              <m:sepChr m:val=""/>
              <m:grow/>
            </m:dPr>
            <m:e>
              <m:r>
                <m:t>1</m:t>
              </m:r>
            </m:e>
          </m:d>
          <m:r>
            <m:rPr>
              <m:sty m:val="p"/>
            </m:rPr>
            <m:t>,</m:t>
          </m:r>
        </m:oMath>
      </m:oMathPara>
    </w:p>
    <w:p>
      <w:pPr>
        <w:pStyle w:val="FirstParagraph"/>
      </w:pPr>
      <m:oMathPara>
        <m:oMathParaPr>
          <m:jc m:val="center"/>
        </m:oMathParaPr>
        <m:oMath>
          <m:sSub>
            <m:e>
              <m:r>
                <m:rPr>
                  <m:sty m:val="p"/>
                </m:rPr>
                <m:t>pen</m:t>
              </m:r>
            </m:e>
            <m:sub>
              <m:r>
                <m:rPr>
                  <m:sty m:val="p"/>
                </m:rPr>
                <m:t>p</m:t>
              </m:r>
              <m:r>
                <m:rPr>
                  <m:sty m:val="p"/>
                </m:rPr>
                <m:t>h</m:t>
              </m:r>
              <m:r>
                <m:rPr>
                  <m:sty m:val="p"/>
                </m:rPr>
                <m:t>a</m:t>
              </m:r>
              <m:r>
                <m:rPr>
                  <m:sty m:val="p"/>
                </m:rPr>
                <m:t>s</m:t>
              </m:r>
              <m:r>
                <m:rPr>
                  <m:sty m:val="p"/>
                </m:rPr>
                <m:t>e</m:t>
              </m:r>
              <m:r>
                <m:rPr>
                  <m:nor/>
                  <m:sty m:val="p"/>
                </m:rPr>
                <m:t>-</m:t>
              </m:r>
              <m:r>
                <m:rPr>
                  <m:sty m:val="p"/>
                </m:rPr>
                <m:t>f</m:t>
              </m:r>
              <m:r>
                <m:rPr>
                  <m:sty m:val="p"/>
                </m:rPr>
                <m:t>u</m:t>
              </m:r>
              <m:r>
                <m:rPr>
                  <m:sty m:val="p"/>
                </m:rPr>
                <m:t>n</m:t>
              </m:r>
              <m:r>
                <m:rPr>
                  <m:sty m:val="p"/>
                </m:rPr>
                <m:t>d</m:t>
              </m:r>
            </m:sub>
          </m:sSub>
          <m:r>
            <m:rPr>
              <m:sty m:val="p"/>
            </m:rPr>
            <m:t>=</m:t>
          </m:r>
          <m:r>
            <m:t>3</m:t>
          </m:r>
          <m:r>
            <m:rPr>
              <m:sty m:val="p"/>
            </m:rPr>
            <m:t>log</m:t>
          </m:r>
          <m:r>
            <m:t>L</m:t>
          </m:r>
          <m:r>
            <m:rPr>
              <m:sty m:val="p"/>
            </m:rPr>
            <m:t>+</m:t>
          </m:r>
          <m:r>
            <m:t>O</m:t>
          </m:r>
          <m:d>
            <m:dPr>
              <m:begChr m:val="("/>
              <m:endChr m:val=")"/>
              <m:sepChr m:val=""/>
              <m:grow/>
            </m:dPr>
            <m:e>
              <m:r>
                <m:t>1</m:t>
              </m:r>
            </m:e>
          </m:d>
          <m:r>
            <m:rPr>
              <m:sty m:val="p"/>
            </m:rPr>
            <m:t>,</m:t>
          </m:r>
        </m:oMath>
      </m:oMathPara>
    </w:p>
    <w:p>
      <w:pPr>
        <w:pStyle w:val="FirstParagraph"/>
      </w:pPr>
      <w:r>
        <w:t xml:space="preserve">and, for a shared exact phase orbit,</w:t>
      </w:r>
    </w:p>
    <w:p>
      <w:pPr>
        <w:pStyle w:val="BodyText"/>
      </w:pPr>
      <m:oMathPara>
        <m:oMathParaPr>
          <m:jc m:val="center"/>
        </m:oMathParaPr>
        <m:oMath>
          <m:sSub>
            <m:e>
              <m:r>
                <m:rPr>
                  <m:sty m:val="p"/>
                </m:rPr>
                <m:t>pen</m:t>
              </m:r>
            </m:e>
            <m:sub>
              <m:r>
                <m:rPr>
                  <m:sty m:val="p"/>
                </m:rPr>
                <m:t>o</m:t>
              </m:r>
              <m:r>
                <m:rPr>
                  <m:sty m:val="p"/>
                </m:rPr>
                <m:t>r</m:t>
              </m:r>
              <m:r>
                <m:rPr>
                  <m:sty m:val="p"/>
                </m:rPr>
                <m:t>b</m:t>
              </m:r>
              <m:r>
                <m:rPr>
                  <m:sty m:val="p"/>
                </m:rPr>
                <m:t>i</m:t>
              </m:r>
              <m:r>
                <m:rPr>
                  <m:sty m:val="p"/>
                </m:rPr>
                <m:t>t</m:t>
              </m:r>
            </m:sub>
          </m:sSub>
          <m:r>
            <m:rPr>
              <m:sty m:val="p"/>
            </m:rPr>
            <m:t>=</m:t>
          </m:r>
          <m:r>
            <m:rPr>
              <m:sty m:val="p"/>
            </m:rPr>
            <m:t>log</m:t>
          </m:r>
          <m:r>
            <m:t>2</m:t>
          </m:r>
          <m:r>
            <m:rPr>
              <m:sty m:val="p"/>
            </m:rPr>
            <m:t>+</m:t>
          </m:r>
          <m:r>
            <m:t>O</m:t>
          </m:r>
          <m:d>
            <m:dPr>
              <m:begChr m:val="("/>
              <m:endChr m:val=")"/>
              <m:sepChr m:val=""/>
              <m:grow/>
            </m:dPr>
            <m:e>
              <m:r>
                <m:t>1</m:t>
              </m:r>
            </m:e>
          </m:d>
          <m:r>
            <m:rPr>
              <m:sty m:val="p"/>
            </m:rPr>
            <m:t>.</m:t>
          </m:r>
        </m:oMath>
      </m:oMathPara>
    </w:p>
    <w:p>
      <w:pPr>
        <w:pStyle w:val="FirstParagraph"/>
      </w:pPr>
      <w:r>
        <w:t xml:space="preserve">A two-dimensional codon-phase model would require an additional biological restriction, such as a single fixed nucleotide-contrast direction shared across phases.</w:t>
      </w:r>
    </w:p>
    <w:bookmarkEnd w:id="85"/>
    <w:bookmarkStart w:id="86" w:name="proposed-experiment"/>
    <w:p>
      <w:pPr>
        <w:pStyle w:val="Heading2"/>
      </w:pPr>
      <w:r>
        <w:t xml:space="preserve">11.3 Proposed experiment</w:t>
      </w:r>
    </w:p>
    <w:p>
      <w:pPr>
        <w:pStyle w:val="FirstParagraph"/>
      </w:pPr>
      <w:r>
        <w:t xml:space="preserve">A corrected frameshift experiment would:</w:t>
      </w:r>
    </w:p>
    <w:p>
      <w:pPr>
        <w:pStyle w:val="Compact"/>
        <w:numPr>
          <w:ilvl w:val="0"/>
          <w:numId w:val="1003"/>
        </w:numPr>
      </w:pPr>
      <w:r>
        <w:t xml:space="preserve">estimate phase-specific nucleotide or codon-emission parameters from verified coding sequences;</w:t>
      </w:r>
    </w:p>
    <w:p>
      <w:pPr>
        <w:pStyle w:val="Compact"/>
        <w:numPr>
          <w:ilvl w:val="0"/>
          <w:numId w:val="1003"/>
        </w:numPr>
      </w:pPr>
      <w:r>
        <w:t xml:space="preserve">generate or curate sequences containing known</w:t>
      </w:r>
      <w:r>
        <w:t xml:space="preserve"> </w:t>
      </w:r>
      <m:oMath>
        <m:r>
          <m:rPr>
            <m:sty m:val="p"/>
          </m:rPr>
          <m:t>+</m:t>
        </m:r>
        <m:r>
          <m:t>1</m:t>
        </m:r>
      </m:oMath>
      <w:r>
        <w:t xml:space="preserve"> </w:t>
      </w:r>
      <w:r>
        <w:t xml:space="preserve">and</w:t>
      </w:r>
      <w:r>
        <w:t xml:space="preserve"> </w:t>
      </w:r>
      <m:oMath>
        <m:r>
          <m:rPr>
            <m:sty m:val="p"/>
          </m:rPr>
          <m:t>−</m:t>
        </m:r>
        <m:r>
          <m:t>1</m:t>
        </m:r>
      </m:oMath>
      <w:r>
        <w:t xml:space="preserve"> </w:t>
      </w:r>
      <w:r>
        <w:t xml:space="preserve">frameshifts;</w:t>
      </w:r>
    </w:p>
    <w:p>
      <w:pPr>
        <w:pStyle w:val="Compact"/>
        <w:numPr>
          <w:ilvl w:val="0"/>
          <w:numId w:val="1003"/>
        </w:numPr>
      </w:pPr>
      <w:r>
        <w:t xml:space="preserve">compare full, phase-fundamental, and shared-phase-orbit detectors at known boundaries;</w:t>
      </w:r>
    </w:p>
    <w:p>
      <w:pPr>
        <w:pStyle w:val="Compact"/>
        <w:numPr>
          <w:ilvl w:val="0"/>
          <w:numId w:val="1003"/>
        </w:numPr>
      </w:pPr>
      <w:r>
        <w:t xml:space="preserve">repeat with hidden boundaries using the same location treatment for all models;</w:t>
      </w:r>
    </w:p>
    <w:p>
      <w:pPr>
        <w:pStyle w:val="Compact"/>
        <w:numPr>
          <w:ilvl w:val="0"/>
          <w:numId w:val="1003"/>
        </w:numPr>
      </w:pPr>
      <w:r>
        <w:t xml:space="preserve">measure false-positive rate, detection probability, localization error, and sample length.</w:t>
      </w:r>
    </w:p>
    <w:p>
      <w:pPr>
        <w:pStyle w:val="FirstParagraph"/>
      </w:pPr>
      <w:r>
        <w:t xml:space="preserve">Frameshift methods based on phase-specific emissions and hidden-state structure are established [9]. The contribution proposed here is not frameshift detection itself, but a representation-theoretic MDL decomposition of three different levels of phase constraint.</w:t>
      </w:r>
    </w:p>
    <w:bookmarkEnd w:id="86"/>
    <w:bookmarkEnd w:id="87"/>
    <w:bookmarkStart w:id="88" w:name="X3475d5bc4d205739f6acc4658d402fcb0e52933"/>
    <w:p>
      <w:pPr>
        <w:pStyle w:val="Heading1"/>
      </w:pPr>
      <w:r>
        <w:t xml:space="preserve">12. Relation to the broader geometric framework</w:t>
      </w:r>
    </w:p>
    <w:p>
      <w:pPr>
        <w:pStyle w:val="FirstParagraph"/>
      </w:pPr>
      <w:r>
        <w:t xml:space="preserve">The broader Mayo manifold program distinguishes three conceptual levels.</w:t>
      </w:r>
    </w:p>
    <w:p>
      <w:pPr>
        <w:pStyle w:val="BodyText"/>
      </w:pPr>
      <w:r>
        <w:rPr>
          <w:b/>
          <w:bCs/>
        </w:rPr>
        <w:t xml:space="preserve">Topology.</w:t>
      </w:r>
      <w:r>
        <w:t xml:space="preserve"> </w:t>
      </w:r>
      <w:r>
        <w:t xml:space="preserve">A flat bundle can carry nontrivial global holonomy despite vanishing local curvature.</w:t>
      </w:r>
    </w:p>
    <w:p>
      <w:pPr>
        <w:pStyle w:val="BodyText"/>
      </w:pPr>
      <w:r>
        <w:rPr>
          <w:b/>
          <w:bCs/>
        </w:rPr>
        <w:t xml:space="preserve">Dynamics.</w:t>
      </w:r>
      <w:r>
        <w:t xml:space="preserve"> </w:t>
      </w:r>
      <w:r>
        <w:t xml:space="preserve">A twisted or constrained generator can exhibit a spectral response to the global sector.</w:t>
      </w:r>
    </w:p>
    <w:p>
      <w:pPr>
        <w:pStyle w:val="BodyText"/>
      </w:pPr>
      <w:r>
        <w:rPr>
          <w:b/>
          <w:bCs/>
        </w:rPr>
        <w:t xml:space="preserve">Information.</w:t>
      </w:r>
      <w:r>
        <w:t xml:space="preserve"> </w:t>
      </w:r>
      <w:r>
        <w:t xml:space="preserve">A statistical observer faces model-dependent description lengths determined by parameter dimension, invariant subspaces, and shared group relations.</w:t>
      </w:r>
    </w:p>
    <w:p>
      <w:pPr>
        <w:pStyle w:val="BodyText"/>
      </w:pPr>
      <w:r>
        <w:t xml:space="preserve">The present paper establishes a result only at the third level. It does not prove that topological holonomy, dynamical spectral gaps, and MDL coefficients are numerically identical.</w:t>
      </w:r>
    </w:p>
    <w:p>
      <w:pPr>
        <w:pStyle w:val="BodyText"/>
      </w:pPr>
      <w:r>
        <w:t xml:space="preserve">A motivating numerical coincidence remains: the East model contains an inverse-gap asymptotic involving</w:t>
      </w:r>
      <w:r>
        <w:t xml:space="preserve"> </w:t>
      </w:r>
      <m:oMath>
        <m:r>
          <m:t>1</m:t>
        </m:r>
        <m:r>
          <m:rPr>
            <m:sty m:val="p"/>
          </m:rPr>
          <m:t>/</m:t>
        </m:r>
        <m:d>
          <m:dPr>
            <m:begChr m:val="("/>
            <m:endChr m:val=")"/>
            <m:sepChr m:val=""/>
            <m:grow/>
          </m:dPr>
          <m:e>
            <m:r>
              <m:t>2</m:t>
            </m:r>
            <m:r>
              <m:rPr>
                <m:sty m:val="p"/>
              </m:rPr>
              <m:t>ln</m:t>
            </m:r>
            <m:r>
              <m:t>2</m:t>
            </m:r>
          </m:e>
        </m:d>
      </m:oMath>
      <w:r>
        <w:t xml:space="preserve">, while a one-dimensional regular BIC increment has coefficient</w:t>
      </w:r>
      <w:r>
        <w:t xml:space="preserve"> </w:t>
      </w:r>
      <m:oMath>
        <m:r>
          <m:t>1</m:t>
        </m:r>
        <m:r>
          <m:rPr>
            <m:sty m:val="p"/>
          </m:rPr>
          <m:t>/</m:t>
        </m:r>
        <m:d>
          <m:dPr>
            <m:begChr m:val="("/>
            <m:endChr m:val=")"/>
            <m:sepChr m:val=""/>
            <m:grow/>
          </m:dPr>
          <m:e>
            <m:r>
              <m:t>2</m:t>
            </m:r>
            <m:r>
              <m:rPr>
                <m:sty m:val="p"/>
              </m:rPr>
              <m:t>ln</m:t>
            </m:r>
            <m:r>
              <m:t>2</m:t>
            </m:r>
          </m:e>
        </m:d>
      </m:oMath>
      <w:r>
        <w:t xml:space="preserve"> </w:t>
      </w:r>
      <w:r>
        <w:t xml:space="preserve">when expressed in bits per</w:t>
      </w:r>
      <w:r>
        <w:t xml:space="preserve"> </w:t>
      </w:r>
      <m:oMath>
        <m:r>
          <m:rPr>
            <m:sty m:val="p"/>
          </m:rPr>
          <m:t>ln</m:t>
        </m:r>
        <m:r>
          <m:t>L</m:t>
        </m:r>
      </m:oMath>
      <w:r>
        <w:t xml:space="preserve">. This resemblance is suggestive but not explanatory. A genuine bridge would need to derive the observer’s statistical family from the dynamics and identify the operating regime in which relaxation and detection asymptotics are comparable.</w:t>
      </w:r>
    </w:p>
    <w:bookmarkEnd w:id="88"/>
    <w:bookmarkStart w:id="89" w:name="limitations"/>
    <w:p>
      <w:pPr>
        <w:pStyle w:val="Heading1"/>
      </w:pPr>
      <w:r>
        <w:t xml:space="preserve">13. Limitations</w:t>
      </w:r>
    </w:p>
    <w:p>
      <w:pPr>
        <w:pStyle w:val="FirstParagraph"/>
      </w:pPr>
      <w:r>
        <w:t xml:space="preserve">Several limitations define the scope of the current result.</w:t>
      </w:r>
    </w:p>
    <w:p>
      <w:pPr>
        <w:pStyle w:val="BodyText"/>
      </w:pPr>
      <w:r>
        <w:t xml:space="preserve">First, the observations are independent and categorical. Markov, hidden-state, and continuous-observation extensions may change both the population gain and effective sample size.</w:t>
      </w:r>
    </w:p>
    <w:p>
      <w:pPr>
        <w:pStyle w:val="BodyText"/>
      </w:pPr>
      <w:r>
        <w:t xml:space="preserve">Second, the boundary is known. A scanning or online procedure requires multiplicity correction, a stopping rule, false-alarm control over time, and detection-delay analysis.</w:t>
      </w:r>
    </w:p>
    <w:p>
      <w:pPr>
        <w:pStyle w:val="BodyText"/>
      </w:pPr>
      <w:r>
        <w:t xml:space="preserve">Third, the direct simulation identifies group order with alphabet size. The codon example requires a block-family implementation in which the group acts on phases while each phase contains a separate observation alphabet.</w:t>
      </w:r>
    </w:p>
    <w:p>
      <w:pPr>
        <w:pStyle w:val="BodyText"/>
      </w:pPr>
      <w:r>
        <w:t xml:space="preserve">Fourth, the shared-orbit family is singular at the uniform state. The present two-part code establishes the absence of an added continuous vector but does not derive the exact singular marginal-likelihood expansion.</w:t>
      </w:r>
    </w:p>
    <w:p>
      <w:pPr>
        <w:pStyle w:val="BodyText"/>
      </w:pPr>
      <w:r>
        <w:t xml:space="preserve">Fifth, the calibrated critical values were estimated separately for every configuration. This is appropriate for practical power comparison but means that calibrated crossover curves should not be used to infer the raw MDL coefficient.</w:t>
      </w:r>
    </w:p>
    <w:p>
      <w:pPr>
        <w:pStyle w:val="BodyText"/>
      </w:pPr>
      <w:r>
        <w:t xml:space="preserve">Sixth, only one fundamental Fourier mode and one higher-mode misspecification were examined. Non-Abelian groups, representation multiplicities, stabilizers, and approximate orbit relations remain open.</w:t>
      </w:r>
    </w:p>
    <w:p>
      <w:pPr>
        <w:pStyle w:val="BodyText"/>
      </w:pPr>
      <w:r>
        <w:t xml:space="preserve">Finally, the novelty claim should be kept narrow. Symmetry reduction, MDL dimension penalties, and constrained changepoint models are established ideas individually. The contribution here is their explicit three-way organization into full independent, independent invariant-subspace, and shared exact-orbit hypotheses, together with a matched empirical comparison.</w:t>
      </w:r>
    </w:p>
    <w:bookmarkEnd w:id="89"/>
    <w:bookmarkStart w:id="94" w:name="extensions"/>
    <w:p>
      <w:pPr>
        <w:pStyle w:val="Heading1"/>
      </w:pPr>
      <w:r>
        <w:t xml:space="preserve">14. Extensions</w:t>
      </w:r>
    </w:p>
    <w:bookmarkStart w:id="90" w:name="approximate-orbit-model"/>
    <w:p>
      <w:pPr>
        <w:pStyle w:val="Heading2"/>
      </w:pPr>
      <w:r>
        <w:t xml:space="preserve">14.1 Approximate orbit model</w:t>
      </w:r>
    </w:p>
    <w:p>
      <w:pPr>
        <w:pStyle w:val="FirstParagraph"/>
      </w:pPr>
      <w:r>
        <w:t xml:space="preserve">A natural interpolation between Models B and C is</w:t>
      </w:r>
    </w:p>
    <w:p>
      <w:pPr>
        <w:pStyle w:val="BodyText"/>
      </w:pPr>
      <m:oMathPara>
        <m:oMathParaPr>
          <m:jc m:val="center"/>
        </m:oMathParaPr>
        <m:oMath>
          <m:sSub>
            <m:e>
              <m:r>
                <m:t>η</m:t>
              </m:r>
            </m:e>
            <m:sub>
              <m:r>
                <m:t>R</m:t>
              </m:r>
            </m:sub>
          </m:sSub>
          <m:r>
            <m:rPr>
              <m:sty m:val="p"/>
            </m:rPr>
            <m:t>=</m:t>
          </m:r>
          <m:sSubSup>
            <m:e>
              <m:r>
                <m:t>R</m:t>
              </m:r>
            </m:e>
            <m:sub>
              <m:r>
                <m:t>g</m:t>
              </m:r>
            </m:sub>
            <m:sup>
              <m:r>
                <m:t>r</m:t>
              </m:r>
            </m:sup>
          </m:sSubSup>
          <m:sSub>
            <m:e>
              <m:r>
                <m:t>η</m:t>
              </m:r>
            </m:e>
            <m:sub>
              <m:r>
                <m:t>L</m:t>
              </m:r>
            </m:sub>
          </m:sSub>
          <m:r>
            <m:rPr>
              <m:sty m:val="p"/>
            </m:rPr>
            <m:t>+</m:t>
          </m:r>
          <m:r>
            <m:t>δ</m:t>
          </m:r>
          <m:r>
            <m:rPr>
              <m:sty m:val="p"/>
            </m:rPr>
            <m:t>,</m:t>
          </m:r>
        </m:oMath>
      </m:oMathPara>
    </w:p>
    <w:p>
      <w:pPr>
        <w:pStyle w:val="FirstParagraph"/>
      </w:pPr>
      <w:r>
        <w:t xml:space="preserve">with a shrinkage prior or code on</w:t>
      </w:r>
      <w:r>
        <w:t xml:space="preserve"> </w:t>
      </w:r>
      <m:oMath>
        <m:r>
          <m:t>δ</m:t>
        </m:r>
      </m:oMath>
      <w:r>
        <w:t xml:space="preserve">. Setting</w:t>
      </w:r>
      <w:r>
        <w:t xml:space="preserve"> </w:t>
      </w:r>
      <m:oMath>
        <m:r>
          <m:t>δ</m:t>
        </m:r>
        <m:r>
          <m:rPr>
            <m:sty m:val="p"/>
          </m:rPr>
          <m:t>=</m:t>
        </m:r>
        <m:r>
          <m:t>0</m:t>
        </m:r>
      </m:oMath>
      <w:r>
        <w:t xml:space="preserve"> </w:t>
      </w:r>
      <w:r>
        <w:t xml:space="preserve">gives the exact orbit; allowing unrestricted</w:t>
      </w:r>
      <w:r>
        <w:t xml:space="preserve"> </w:t>
      </w:r>
      <m:oMath>
        <m:r>
          <m:t>δ</m:t>
        </m:r>
      </m:oMath>
      <w:r>
        <w:t xml:space="preserve"> </w:t>
      </w:r>
      <w:r>
        <w:t xml:space="preserve">recovers the independent subspace model. This would quantify how much deviation from exact symmetry can be tolerated before the relational advantage disappears.</w:t>
      </w:r>
    </w:p>
    <w:bookmarkEnd w:id="90"/>
    <w:bookmarkStart w:id="91" w:name="stabilizer-adaptive-labels"/>
    <w:p>
      <w:pPr>
        <w:pStyle w:val="Heading2"/>
      </w:pPr>
      <w:r>
        <w:t xml:space="preserve">14.2 Stabilizer-adaptive labels</w:t>
      </w:r>
    </w:p>
    <w:p>
      <w:pPr>
        <w:pStyle w:val="FirstParagraph"/>
      </w:pPr>
      <w:r>
        <w:t xml:space="preserve">If</w:t>
      </w:r>
      <w:r>
        <w:t xml:space="preserve"> </w:t>
      </w:r>
      <m:oMath>
        <m:r>
          <m:t>η</m:t>
        </m:r>
      </m:oMath>
      <w:r>
        <w:t xml:space="preserve"> </w:t>
      </w:r>
      <w:r>
        <w:t xml:space="preserve">is invariant under a nontrivial subgroup, the orbit contains fewer than</w:t>
      </w:r>
      <w:r>
        <w:t xml:space="preserve"> </w:t>
      </w:r>
      <m:oMath>
        <m:r>
          <m:t>g</m:t>
        </m:r>
      </m:oMath>
      <w:r>
        <w:t xml:space="preserve"> </w:t>
      </w:r>
      <w:r>
        <w:t xml:space="preserve">distinct states. The effective label cost should depend on</w:t>
      </w:r>
    </w:p>
    <w:p>
      <w:pPr>
        <w:pStyle w:val="BodyText"/>
      </w:pPr>
      <m:oMathPara>
        <m:oMathParaPr>
          <m:jc m:val="center"/>
        </m:oMathParaPr>
        <m:oMath>
          <m:d>
            <m:dPr>
              <m:begChr m:val="|"/>
              <m:endChr m:val="|"/>
              <m:sepChr m:val=""/>
              <m:grow/>
            </m:dPr>
            <m:e>
              <m:sSub>
                <m:e>
                  <m:r>
                    <m:t>C</m:t>
                  </m:r>
                </m:e>
                <m:sub>
                  <m:r>
                    <m:t>g</m:t>
                  </m:r>
                </m:sub>
              </m:sSub>
              <m:r>
                <m:rPr>
                  <m:sty m:val="p"/>
                </m:rPr>
                <m:t>⋅</m:t>
              </m:r>
              <m:r>
                <m:t>η</m:t>
              </m:r>
            </m:e>
          </m:d>
          <m:r>
            <m:rPr>
              <m:sty m:val="p"/>
            </m:rPr>
            <m:t>=</m:t>
          </m:r>
          <m:f>
            <m:fPr>
              <m:type m:val="bar"/>
            </m:fPr>
            <m:num>
              <m:r>
                <m:t>g</m:t>
              </m:r>
            </m:num>
            <m:den>
              <m:d>
                <m:dPr>
                  <m:begChr m:val="|"/>
                  <m:endChr m:val="|"/>
                  <m:sepChr m:val=""/>
                  <m:grow/>
                </m:dPr>
                <m:e>
                  <m:r>
                    <m:rPr>
                      <m:sty m:val="p"/>
                    </m:rPr>
                    <m:t>Stab</m:t>
                  </m:r>
                  <m:d>
                    <m:dPr>
                      <m:begChr m:val="("/>
                      <m:endChr m:val=")"/>
                      <m:sepChr m:val=""/>
                      <m:grow/>
                    </m:dPr>
                    <m:e>
                      <m:r>
                        <m:t>η</m:t>
                      </m:r>
                    </m:e>
                  </m:d>
                </m:e>
              </m:d>
            </m:den>
          </m:f>
          <m:r>
            <m:rPr>
              <m:sty m:val="p"/>
            </m:rPr>
            <m:t>.</m:t>
          </m:r>
        </m:oMath>
      </m:oMathPara>
    </w:p>
    <w:p>
      <w:pPr>
        <w:pStyle w:val="FirstParagraph"/>
      </w:pPr>
      <w:r>
        <w:t xml:space="preserve">A stabilizer-adaptive code could improve finite-sample behavior near symmetric strata.</w:t>
      </w:r>
    </w:p>
    <w:bookmarkEnd w:id="91"/>
    <w:bookmarkStart w:id="92" w:name="exact-universal-codes"/>
    <w:p>
      <w:pPr>
        <w:pStyle w:val="Heading2"/>
      </w:pPr>
      <w:r>
        <w:t xml:space="preserve">14.3 Exact universal codes</w:t>
      </w:r>
    </w:p>
    <w:p>
      <w:pPr>
        <w:pStyle w:val="FirstParagraph"/>
      </w:pPr>
      <w:r>
        <w:t xml:space="preserve">The unrestricted multinomial family admits the KT mixture. Comparable exact or numerically integrated universal codes for the fundamental and shared-orbit families would eliminate reliance on regular BIC constants and permit direct finite-sample regret comparisons.</w:t>
      </w:r>
    </w:p>
    <w:bookmarkEnd w:id="92"/>
    <w:bookmarkStart w:id="93" w:name="sequential-extension"/>
    <w:p>
      <w:pPr>
        <w:pStyle w:val="Heading2"/>
      </w:pPr>
      <w:r>
        <w:t xml:space="preserve">14.4 Sequential extension</w:t>
      </w:r>
    </w:p>
    <w:p>
      <w:pPr>
        <w:pStyle w:val="FirstParagraph"/>
      </w:pPr>
      <w:r>
        <w:t xml:space="preserve">An online extension would replace the fixed split with a stopping time. The correct questions would then include average run length under the null, expected detection delay under each geometric alternative, and the cost of repeatedly searching over both boundary locations and relative group elements.</w:t>
      </w:r>
    </w:p>
    <w:bookmarkEnd w:id="93"/>
    <w:bookmarkEnd w:id="94"/>
    <w:bookmarkStart w:id="95" w:name="conclusion"/>
    <w:p>
      <w:pPr>
        <w:pStyle w:val="Heading1"/>
      </w:pPr>
      <w:r>
        <w:t xml:space="preserve">15. Conclusion</w:t>
      </w:r>
    </w:p>
    <w:p>
      <w:pPr>
        <w:pStyle w:val="FirstParagraph"/>
      </w:pPr>
      <w:r>
        <w:t xml:space="preserve">Cyclic structure constrains a regime-change problem in two different ways. It can restrict each regime independently to a low-dimensional invariant subspace, or it can require the regimes to be exact transforms of one shared state.</w:t>
      </w:r>
    </w:p>
    <w:p>
      <w:pPr>
        <w:pStyle w:val="BodyText"/>
      </w:pPr>
      <w:r>
        <w:t xml:space="preserve">For a known boundary, these produce three leading MDL structures:</w:t>
      </w:r>
    </w:p>
    <w:p>
      <w:pPr>
        <w:pStyle w:val="BodyText"/>
      </w:pPr>
      <m:oMathPara>
        <m:oMathParaPr>
          <m:jc m:val="center"/>
        </m:oMathParaPr>
        <m:oMath>
          <m:borderBox>
            <m:e>
              <m:sSub>
                <m:e>
                  <m:r>
                    <m:rPr>
                      <m:sty m:val="p"/>
                    </m:rPr>
                    <m:t>pen</m:t>
                  </m:r>
                </m:e>
                <m:sub>
                  <m:r>
                    <m:t>A</m:t>
                  </m:r>
                </m:sub>
              </m:sSub>
              <m:d>
                <m:dPr>
                  <m:begChr m:val="("/>
                  <m:endChr m:val=")"/>
                  <m:sepChr m:val=""/>
                  <m:grow/>
                </m:dPr>
                <m:e>
                  <m:r>
                    <m:t>L</m:t>
                  </m:r>
                </m:e>
              </m:d>
              <m:r>
                <m:rPr>
                  <m:sty m:val="p"/>
                </m:rPr>
                <m:t>=</m:t>
              </m:r>
              <m:f>
                <m:fPr>
                  <m:type m:val="bar"/>
                </m:fPr>
                <m:num>
                  <m:sSub>
                    <m:e>
                      <m:r>
                        <m:t>d</m:t>
                      </m:r>
                    </m:e>
                    <m:sub>
                      <m:r>
                        <m:rPr>
                          <m:sty m:val="p"/>
                        </m:rPr>
                        <m:t>f</m:t>
                      </m:r>
                      <m:r>
                        <m:rPr>
                          <m:sty m:val="p"/>
                        </m:rPr>
                        <m:t>u</m:t>
                      </m:r>
                      <m:r>
                        <m:rPr>
                          <m:sty m:val="p"/>
                        </m:rPr>
                        <m:t>l</m:t>
                      </m:r>
                      <m:r>
                        <m:rPr>
                          <m:sty m:val="p"/>
                        </m:rPr>
                        <m:t>l</m:t>
                      </m:r>
                    </m:sub>
                  </m:sSub>
                </m:num>
                <m:den>
                  <m:r>
                    <m:t>2</m:t>
                  </m:r>
                </m:den>
              </m:f>
              <m:r>
                <m:rPr>
                  <m:sty m:val="p"/>
                </m:rPr>
                <m:t>log</m:t>
              </m:r>
              <m:r>
                <m:t>L</m:t>
              </m:r>
              <m:r>
                <m:rPr>
                  <m:sty m:val="p"/>
                </m:rPr>
                <m:t>+</m:t>
              </m:r>
              <m:r>
                <m:t>O</m:t>
              </m:r>
              <m:d>
                <m:dPr>
                  <m:begChr m:val="("/>
                  <m:endChr m:val=")"/>
                  <m:sepChr m:val=""/>
                  <m:grow/>
                </m:dPr>
                <m:e>
                  <m:r>
                    <m:t>1</m:t>
                  </m:r>
                </m:e>
              </m:d>
              <m:r>
                <m:rPr>
                  <m:sty m:val="p"/>
                </m:rPr>
                <m:t>,</m:t>
              </m:r>
            </m:e>
          </m:borderBox>
        </m:oMath>
      </m:oMathPara>
    </w:p>
    <w:p>
      <w:pPr>
        <w:pStyle w:val="FirstParagraph"/>
      </w:pPr>
      <m:oMathPara>
        <m:oMathParaPr>
          <m:jc m:val="center"/>
        </m:oMathParaPr>
        <m:oMath>
          <m:borderBox>
            <m:e>
              <m:sSub>
                <m:e>
                  <m:r>
                    <m:rPr>
                      <m:sty m:val="p"/>
                    </m:rPr>
                    <m:t>pen</m:t>
                  </m:r>
                </m:e>
                <m:sub>
                  <m:r>
                    <m:t>B</m:t>
                  </m:r>
                </m:sub>
              </m:sSub>
              <m:d>
                <m:dPr>
                  <m:begChr m:val="("/>
                  <m:endChr m:val=")"/>
                  <m:sepChr m:val=""/>
                  <m:grow/>
                </m:dPr>
                <m:e>
                  <m:r>
                    <m:t>L</m:t>
                  </m:r>
                </m:e>
              </m:d>
              <m:r>
                <m:rPr>
                  <m:sty m:val="p"/>
                </m:rPr>
                <m:t>=</m:t>
              </m:r>
              <m:f>
                <m:fPr>
                  <m:type m:val="bar"/>
                </m:fPr>
                <m:num>
                  <m:sSub>
                    <m:e>
                      <m:r>
                        <m:t>d</m:t>
                      </m:r>
                    </m:e>
                    <m:sub>
                      <m:r>
                        <m:rPr>
                          <m:sty m:val="p"/>
                        </m:rPr>
                        <m:t>f</m:t>
                      </m:r>
                      <m:r>
                        <m:rPr>
                          <m:sty m:val="p"/>
                        </m:rPr>
                        <m:t>u</m:t>
                      </m:r>
                      <m:r>
                        <m:rPr>
                          <m:sty m:val="p"/>
                        </m:rPr>
                        <m:t>n</m:t>
                      </m:r>
                      <m:r>
                        <m:rPr>
                          <m:sty m:val="p"/>
                        </m:rPr>
                        <m:t>d</m:t>
                      </m:r>
                    </m:sub>
                  </m:sSub>
                </m:num>
                <m:den>
                  <m:r>
                    <m:t>2</m:t>
                  </m:r>
                </m:den>
              </m:f>
              <m:r>
                <m:rPr>
                  <m:sty m:val="p"/>
                </m:rPr>
                <m:t>log</m:t>
              </m:r>
              <m:r>
                <m:t>L</m:t>
              </m:r>
              <m:r>
                <m:rPr>
                  <m:sty m:val="p"/>
                </m:rPr>
                <m:t>+</m:t>
              </m:r>
              <m:r>
                <m:t>O</m:t>
              </m:r>
              <m:d>
                <m:dPr>
                  <m:begChr m:val="("/>
                  <m:endChr m:val=")"/>
                  <m:sepChr m:val=""/>
                  <m:grow/>
                </m:dPr>
                <m:e>
                  <m:r>
                    <m:t>1</m:t>
                  </m:r>
                </m:e>
              </m:d>
              <m:r>
                <m:rPr>
                  <m:sty m:val="p"/>
                </m:rPr>
                <m:t>,</m:t>
              </m:r>
            </m:e>
          </m:borderBox>
        </m:oMath>
      </m:oMathPara>
    </w:p>
    <w:p>
      <w:pPr>
        <w:pStyle w:val="FirstParagraph"/>
      </w:pPr>
      <w:r>
        <w:t xml:space="preserve">and</w:t>
      </w:r>
    </w:p>
    <w:p>
      <w:pPr>
        <w:pStyle w:val="BodyText"/>
      </w:pPr>
      <m:oMathPara>
        <m:oMathParaPr>
          <m:jc m:val="center"/>
        </m:oMathParaPr>
        <m:oMath>
          <m:borderBox>
            <m:e>
              <m:sSub>
                <m:e>
                  <m:r>
                    <m:rPr>
                      <m:sty m:val="p"/>
                    </m:rPr>
                    <m:t>pen</m:t>
                  </m:r>
                </m:e>
                <m:sub>
                  <m:r>
                    <m:t>C</m:t>
                  </m:r>
                </m:sub>
              </m:sSub>
              <m:d>
                <m:dPr>
                  <m:begChr m:val="("/>
                  <m:endChr m:val=")"/>
                  <m:sepChr m:val=""/>
                  <m:grow/>
                </m:dPr>
                <m:e>
                  <m:r>
                    <m:t>L</m:t>
                  </m:r>
                </m:e>
              </m:d>
              <m:r>
                <m:rPr>
                  <m:sty m:val="p"/>
                </m:rPr>
                <m:t>=</m:t>
              </m:r>
              <m:r>
                <m:rPr>
                  <m:sty m:val="p"/>
                </m:rPr>
                <m:t>log</m:t>
              </m:r>
              <m:d>
                <m:dPr>
                  <m:begChr m:val="("/>
                  <m:endChr m:val=")"/>
                  <m:sepChr m:val=""/>
                  <m:grow/>
                </m:dPr>
                <m:e>
                  <m:r>
                    <m:t>g</m:t>
                  </m:r>
                  <m:r>
                    <m:rPr>
                      <m:sty m:val="p"/>
                    </m:rPr>
                    <m:t>−</m:t>
                  </m:r>
                  <m:r>
                    <m:t>1</m:t>
                  </m:r>
                </m:e>
              </m:d>
              <m:r>
                <m:rPr>
                  <m:sty m:val="p"/>
                </m:rPr>
                <m:t>+</m:t>
              </m:r>
              <m:r>
                <m:t>O</m:t>
              </m:r>
              <m:d>
                <m:dPr>
                  <m:begChr m:val="("/>
                  <m:endChr m:val=")"/>
                  <m:sepChr m:val=""/>
                  <m:grow/>
                </m:dPr>
                <m:e>
                  <m:r>
                    <m:t>1</m:t>
                  </m:r>
                </m:e>
              </m:d>
              <m:r>
                <m:rPr>
                  <m:sty m:val="p"/>
                </m:rPr>
                <m:t>,</m:t>
              </m:r>
            </m:e>
          </m:borderBox>
        </m:oMath>
      </m:oMathPara>
    </w:p>
    <w:p>
      <w:pPr>
        <w:pStyle w:val="FirstParagraph"/>
      </w:pPr>
      <w:r>
        <w:t xml:space="preserve">with the final expression understood as a two-part structural code on a regular orbit stratum.</w:t>
      </w:r>
    </w:p>
    <w:p>
      <w:pPr>
        <w:pStyle w:val="BodyText"/>
      </w:pPr>
      <w:r>
        <w:t xml:space="preserve">The Monte Carlo results strongly validate the full and independent-fundamental coefficients. They also support a near-zero leading coefficient for the shared exact-orbit detector, while revealing finite-sample residuals that require a singular or exact coding analysis. Under matched geometry, the constrained detectors reduce required sample length. Under higher-mode misspecification, the advantage disappears and the full detector dominates.</w:t>
      </w:r>
    </w:p>
    <w:p>
      <w:pPr>
        <w:pStyle w:val="BodyText"/>
      </w:pPr>
      <w:r>
        <w:t xml:space="preserve">The essential conclusion is therefore not that cyclic groups possess one universal detection threshold. It is that different levels of geometric knowledge define different statistical questions:</w:t>
      </w:r>
    </w:p>
    <w:p>
      <w:pPr>
        <w:pStyle w:val="BodyText"/>
      </w:pPr>
      <m:oMathPara>
        <m:oMathParaPr>
          <m:jc m:val="center"/>
        </m:oMathParaPr>
        <m:oMath>
          <m:r>
            <m:rPr>
              <m:nor/>
              <m:sty m:val="p"/>
            </m:rPr>
            <m:t>Do the distributions differ arbitrarily?</m:t>
          </m:r>
        </m:oMath>
      </m:oMathPara>
    </w:p>
    <w:p>
      <w:pPr>
        <w:pStyle w:val="FirstParagraph"/>
      </w:pPr>
      <m:oMathPara>
        <m:oMathParaPr>
          <m:jc m:val="center"/>
        </m:oMathParaPr>
        <m:oMath>
          <m:r>
            <m:rPr>
              <m:nor/>
              <m:sty m:val="p"/>
            </m:rPr>
            <m:t>Do they differ within a selected representation?</m:t>
          </m:r>
        </m:oMath>
      </m:oMathPara>
    </w:p>
    <w:p>
      <w:pPr>
        <w:pStyle w:val="FirstParagraph"/>
      </w:pPr>
      <m:oMathPara>
        <m:oMathParaPr>
          <m:jc m:val="center"/>
        </m:oMathParaPr>
        <m:oMath>
          <m:r>
            <m:rPr>
              <m:nor/>
              <m:sty m:val="p"/>
            </m:rPr>
            <m:t>Is one an exact symmetry transform of the other?</m:t>
          </m:r>
        </m:oMath>
      </m:oMathPara>
    </w:p>
    <w:p>
      <w:pPr>
        <w:pStyle w:val="FirstParagraph"/>
      </w:pPr>
      <w:r>
        <w:t xml:space="preserve">Their answers carry different complexity increments. That distinction is the correct foundation for future work on cyclic changepoints, phase transitions, biological reading frames, and symmetry-aware sequential detection.</w:t>
      </w:r>
    </w:p>
    <w:bookmarkEnd w:id="95"/>
    <w:bookmarkStart w:id="96" w:name="code-and-data-availability"/>
    <w:p>
      <w:pPr>
        <w:pStyle w:val="Heading1"/>
      </w:pPr>
      <w:r>
        <w:t xml:space="preserve">Code and data availability</w:t>
      </w:r>
    </w:p>
    <w:p>
      <w:pPr>
        <w:pStyle w:val="FirstParagraph"/>
      </w:pPr>
      <w:r>
        <w:t xml:space="preserve">The implementation and complete rerun outputs accompanying this manuscript are:</w:t>
      </w:r>
    </w:p>
    <w:p>
      <w:pPr>
        <w:pStyle w:val="Compact"/>
        <w:numPr>
          <w:ilvl w:val="0"/>
          <w:numId w:val="1004"/>
        </w:numPr>
      </w:pPr>
      <w:r>
        <w:rPr>
          <w:rStyle w:val="VerbatimChar"/>
        </w:rPr>
        <w:t xml:space="preserve">mayo_cyclic_detectors_v3.py</w:t>
      </w:r>
      <w:r>
        <w:t xml:space="preserve"> </w:t>
      </w:r>
      <w:r>
        <w:t xml:space="preserve">— detector families, fitting routines, population gains, and structural tests;</w:t>
      </w:r>
    </w:p>
    <w:p>
      <w:pPr>
        <w:pStyle w:val="Compact"/>
        <w:numPr>
          <w:ilvl w:val="0"/>
          <w:numId w:val="1004"/>
        </w:numPr>
      </w:pPr>
      <w:r>
        <w:rPr>
          <w:rStyle w:val="VerbatimChar"/>
        </w:rPr>
        <w:t xml:space="preserve">v3_simulation.py</w:t>
      </w:r>
      <w:r>
        <w:t xml:space="preserve"> </w:t>
      </w:r>
      <w:r>
        <w:t xml:space="preserve">— scenario construction, calibration, and Monte Carlo evaluation;</w:t>
      </w:r>
    </w:p>
    <w:p>
      <w:pPr>
        <w:pStyle w:val="Compact"/>
        <w:numPr>
          <w:ilvl w:val="0"/>
          <w:numId w:val="1004"/>
        </w:numPr>
      </w:pPr>
      <w:r>
        <w:rPr>
          <w:rStyle w:val="VerbatimChar"/>
        </w:rPr>
        <w:t xml:space="preserve">run_v3_full_parallel.py</w:t>
      </w:r>
      <w:r>
        <w:t xml:space="preserve"> </w:t>
      </w:r>
      <w:r>
        <w:t xml:space="preserve">— deterministic parallel production runner;</w:t>
      </w:r>
    </w:p>
    <w:p>
      <w:pPr>
        <w:pStyle w:val="Compact"/>
        <w:numPr>
          <w:ilvl w:val="0"/>
          <w:numId w:val="1004"/>
        </w:numPr>
      </w:pPr>
      <w:r>
        <w:rPr>
          <w:rStyle w:val="VerbatimChar"/>
        </w:rPr>
        <w:t xml:space="preserve">test_mayo_cyclic_detectors_v3.py</w:t>
      </w:r>
      <w:r>
        <w:t xml:space="preserve"> </w:t>
      </w:r>
      <w:r>
        <w:t xml:space="preserve">— automated structural tests;</w:t>
      </w:r>
    </w:p>
    <w:p>
      <w:pPr>
        <w:pStyle w:val="Compact"/>
        <w:numPr>
          <w:ilvl w:val="0"/>
          <w:numId w:val="1004"/>
        </w:numPr>
      </w:pPr>
      <w:r>
        <w:rPr>
          <w:rStyle w:val="VerbatimChar"/>
        </w:rPr>
        <w:t xml:space="preserve">v3_full_results.csv</w:t>
      </w:r>
      <w:r>
        <w:t xml:space="preserve"> </w:t>
      </w:r>
      <w:r>
        <w:t xml:space="preserve">— all 936 detector-level result rows;</w:t>
      </w:r>
    </w:p>
    <w:p>
      <w:pPr>
        <w:pStyle w:val="Compact"/>
        <w:numPr>
          <w:ilvl w:val="0"/>
          <w:numId w:val="1004"/>
        </w:numPr>
      </w:pPr>
      <w:r>
        <w:rPr>
          <w:rStyle w:val="VerbatimChar"/>
        </w:rPr>
        <w:t xml:space="preserve">v3_score_regression_summary.csv</w:t>
      </w:r>
      <w:r>
        <w:t xml:space="preserve"> </w:t>
      </w:r>
      <w:r>
        <w:t xml:space="preserve">— raw-score regression coefficients;</w:t>
      </w:r>
    </w:p>
    <w:p>
      <w:pPr>
        <w:pStyle w:val="Compact"/>
        <w:numPr>
          <w:ilvl w:val="0"/>
          <w:numId w:val="1004"/>
        </w:numPr>
      </w:pPr>
      <w:r>
        <w:rPr>
          <w:rStyle w:val="VerbatimChar"/>
        </w:rPr>
        <w:t xml:space="preserve">v3_crossover_estimates.csv</w:t>
      </w:r>
      <w:r>
        <w:t xml:space="preserve"> </w:t>
      </w:r>
      <w:r>
        <w:t xml:space="preserve">— estimated 50%-power crossover lengths;</w:t>
      </w:r>
    </w:p>
    <w:p>
      <w:pPr>
        <w:pStyle w:val="Compact"/>
        <w:numPr>
          <w:ilvl w:val="0"/>
          <w:numId w:val="1004"/>
        </w:numPr>
      </w:pPr>
      <w:r>
        <w:rPr>
          <w:rStyle w:val="VerbatimChar"/>
        </w:rPr>
        <w:t xml:space="preserve">v3_crossover_ratio_summary.csv</w:t>
      </w:r>
      <w:r>
        <w:t xml:space="preserve"> </w:t>
      </w:r>
      <w:r>
        <w:t xml:space="preserve">— median practical sample-length ratios.</w:t>
      </w:r>
    </w:p>
    <w:p>
      <w:pPr>
        <w:pStyle w:val="FirstParagraph"/>
      </w:pPr>
      <w:r>
        <w:t xml:space="preserve">The production run used base seed 20260713.</w:t>
      </w:r>
    </w:p>
    <w:bookmarkEnd w:id="96"/>
    <w:bookmarkStart w:id="97" w:name="references"/>
    <w:p>
      <w:pPr>
        <w:pStyle w:val="Heading1"/>
      </w:pPr>
      <w:r>
        <w:t xml:space="preserve">References</w:t>
      </w:r>
    </w:p>
    <w:p>
      <w:pPr>
        <w:numPr>
          <w:ilvl w:val="0"/>
          <w:numId w:val="1005"/>
        </w:numPr>
      </w:pPr>
      <w:r>
        <w:t xml:space="preserve">Schwarz, G. (1978). Estimating the dimension of a model.</w:t>
      </w:r>
      <w:r>
        <w:t xml:space="preserve"> </w:t>
      </w:r>
      <w:r>
        <w:rPr>
          <w:i/>
          <w:iCs/>
        </w:rPr>
        <w:t xml:space="preserve">The Annals of Statistics</w:t>
      </w:r>
      <w:r>
        <w:t xml:space="preserve">, 6(2), 461–464.</w:t>
      </w:r>
    </w:p>
    <w:p>
      <w:pPr>
        <w:numPr>
          <w:ilvl w:val="0"/>
          <w:numId w:val="1005"/>
        </w:numPr>
      </w:pPr>
      <w:r>
        <w:t xml:space="preserve">Krichevsky, R. E., and Trofimov, V. K. (1981). The performance of universal encoding.</w:t>
      </w:r>
      <w:r>
        <w:t xml:space="preserve"> </w:t>
      </w:r>
      <w:r>
        <w:rPr>
          <w:i/>
          <w:iCs/>
        </w:rPr>
        <w:t xml:space="preserve">IEEE Transactions on Information Theory</w:t>
      </w:r>
      <w:r>
        <w:t xml:space="preserve">, 27(2), 199–207.</w:t>
      </w:r>
    </w:p>
    <w:p>
      <w:pPr>
        <w:numPr>
          <w:ilvl w:val="0"/>
          <w:numId w:val="1005"/>
        </w:numPr>
      </w:pPr>
      <w:r>
        <w:t xml:space="preserve">Barron, A. R., Rissanen, J., and Yu, B. (1998). The minimum description length principle in coding and modeling.</w:t>
      </w:r>
      <w:r>
        <w:t xml:space="preserve"> </w:t>
      </w:r>
      <w:r>
        <w:rPr>
          <w:i/>
          <w:iCs/>
        </w:rPr>
        <w:t xml:space="preserve">IEEE Transactions on Information Theory</w:t>
      </w:r>
      <w:r>
        <w:t xml:space="preserve">, 44(6), 2743–2760.</w:t>
      </w:r>
    </w:p>
    <w:p>
      <w:pPr>
        <w:numPr>
          <w:ilvl w:val="0"/>
          <w:numId w:val="1005"/>
        </w:numPr>
      </w:pPr>
      <w:r>
        <w:t xml:space="preserve">Grünwald, P. D. (2007).</w:t>
      </w:r>
      <w:r>
        <w:t xml:space="preserve"> </w:t>
      </w:r>
      <w:r>
        <w:rPr>
          <w:i/>
          <w:iCs/>
        </w:rPr>
        <w:t xml:space="preserve">The Minimum Description Length Principle</w:t>
      </w:r>
      <w:r>
        <w:t xml:space="preserve">. MIT Press.</w:t>
      </w:r>
    </w:p>
    <w:p>
      <w:pPr>
        <w:numPr>
          <w:ilvl w:val="0"/>
          <w:numId w:val="1005"/>
        </w:numPr>
      </w:pPr>
      <w:r>
        <w:t xml:space="preserve">Rissanen, J. (2007).</w:t>
      </w:r>
      <w:r>
        <w:t xml:space="preserve"> </w:t>
      </w:r>
      <w:r>
        <w:rPr>
          <w:i/>
          <w:iCs/>
        </w:rPr>
        <w:t xml:space="preserve">Information and Complexity in Statistical Modeling</w:t>
      </w:r>
      <w:r>
        <w:t xml:space="preserve">. Springer.</w:t>
      </w:r>
    </w:p>
    <w:p>
      <w:pPr>
        <w:numPr>
          <w:ilvl w:val="0"/>
          <w:numId w:val="1005"/>
        </w:numPr>
      </w:pPr>
      <w:r>
        <w:t xml:space="preserve">Watanabe, S. (2009).</w:t>
      </w:r>
      <w:r>
        <w:t xml:space="preserve"> </w:t>
      </w:r>
      <w:r>
        <w:rPr>
          <w:i/>
          <w:iCs/>
        </w:rPr>
        <w:t xml:space="preserve">Algebraic Geometry and Statistical Learning Theory</w:t>
      </w:r>
      <w:r>
        <w:t xml:space="preserve">. Cambridge University Press.</w:t>
      </w:r>
    </w:p>
    <w:p>
      <w:pPr>
        <w:numPr>
          <w:ilvl w:val="0"/>
          <w:numId w:val="1005"/>
        </w:numPr>
      </w:pPr>
      <w:r>
        <w:t xml:space="preserve">Amari, S., and Nagaoka, H. (2000).</w:t>
      </w:r>
      <w:r>
        <w:t xml:space="preserve"> </w:t>
      </w:r>
      <w:r>
        <w:rPr>
          <w:i/>
          <w:iCs/>
        </w:rPr>
        <w:t xml:space="preserve">Methods of Information Geometry</w:t>
      </w:r>
      <w:r>
        <w:t xml:space="preserve">. American Mathematical Society and Oxford University Press.</w:t>
      </w:r>
    </w:p>
    <w:p>
      <w:pPr>
        <w:numPr>
          <w:ilvl w:val="0"/>
          <w:numId w:val="1005"/>
        </w:numPr>
      </w:pPr>
      <w:r>
        <w:t xml:space="preserve">Serre, J.-P. (1977).</w:t>
      </w:r>
      <w:r>
        <w:t xml:space="preserve"> </w:t>
      </w:r>
      <w:r>
        <w:rPr>
          <w:i/>
          <w:iCs/>
        </w:rPr>
        <w:t xml:space="preserve">Linear Representations of Finite Groups</w:t>
      </w:r>
      <w:r>
        <w:t xml:space="preserve">. Springer.</w:t>
      </w:r>
    </w:p>
    <w:p>
      <w:pPr>
        <w:numPr>
          <w:ilvl w:val="0"/>
          <w:numId w:val="1005"/>
        </w:numPr>
      </w:pPr>
      <w:r>
        <w:t xml:space="preserve">Rho, M., Tang, H., and Ye, Y. (2010). FragGeneScan: predicting genes in short and error-prone reads.</w:t>
      </w:r>
      <w:r>
        <w:t xml:space="preserve"> </w:t>
      </w:r>
      <w:r>
        <w:rPr>
          <w:i/>
          <w:iCs/>
        </w:rPr>
        <w:t xml:space="preserve">Nucleic Acids Research</w:t>
      </w:r>
      <w:r>
        <w:t xml:space="preserve">, 38(20), e191.</w:t>
      </w:r>
    </w:p>
    <w:p>
      <w:pPr>
        <w:numPr>
          <w:ilvl w:val="0"/>
          <w:numId w:val="1005"/>
        </w:numPr>
      </w:pPr>
      <w:r>
        <w:t xml:space="preserve">Eaton, M. L. (1989).</w:t>
      </w:r>
      <w:r>
        <w:t xml:space="preserve"> </w:t>
      </w:r>
      <w:r>
        <w:rPr>
          <w:i/>
          <w:iCs/>
        </w:rPr>
        <w:t xml:space="preserve">Group Invariance Applications in Statistics</w:t>
      </w:r>
      <w:r>
        <w:t xml:space="preserve">. Institute of Mathematical Statistics.</w:t>
      </w:r>
    </w:p>
    <w:p>
      <w:pPr>
        <w:numPr>
          <w:ilvl w:val="0"/>
          <w:numId w:val="1005"/>
        </w:numPr>
      </w:pPr>
      <w:r>
        <w:t xml:space="preserve">Csiszár, I., and Shields, P. C. (2004). Information theory and statistics: a tutorial.</w:t>
      </w:r>
      <w:r>
        <w:t xml:space="preserve"> </w:t>
      </w:r>
      <w:r>
        <w:rPr>
          <w:i/>
          <w:iCs/>
        </w:rPr>
        <w:t xml:space="preserve">Foundations and Trends in Communications and Information Theory</w:t>
      </w:r>
      <w:r>
        <w:t xml:space="preserve">, 1(4), 417–528.</w:t>
      </w:r>
    </w:p>
    <w:p>
      <w:pPr>
        <w:numPr>
          <w:ilvl w:val="0"/>
          <w:numId w:val="1005"/>
        </w:numPr>
      </w:pPr>
      <w:r>
        <w:t xml:space="preserve">Cancrini, N., Martinelli, F., Roberto, C., and Toninelli, C. (2008). Kinetically constrained spin models.</w:t>
      </w:r>
      <w:r>
        <w:t xml:space="preserve"> </w:t>
      </w:r>
      <w:r>
        <w:rPr>
          <w:i/>
          <w:iCs/>
        </w:rPr>
        <w:t xml:space="preserve">Probability Theory and Related Fields</w:t>
      </w:r>
      <w:r>
        <w:t xml:space="preserve">, 140, 459–504.</w:t>
      </w:r>
    </w:p>
    <w:bookmarkEnd w:id="97"/>
    <w:bookmarkStart w:id="98" w:name="appendix-a.-reproducibility-details"/>
    <w:p>
      <w:pPr>
        <w:pStyle w:val="Heading1"/>
      </w:pPr>
      <w:r>
        <w:t xml:space="preserve">Appendix A. Reproducibility details</w:t>
      </w:r>
    </w:p>
    <w:p>
      <w:pPr>
        <w:pStyle w:val="FirstParagraph"/>
      </w:pPr>
      <w:r>
        <w:t xml:space="preserve">For each configuration, null samples were drawn from a scenario-specific no-change distribution. The empirical 95th percentile of the three detector scores was computed using the</w:t>
      </w:r>
      <w:r>
        <w:t xml:space="preserve"> </w:t>
      </w:r>
      <w:r>
        <w:rPr>
          <w:rStyle w:val="VerbatimChar"/>
        </w:rPr>
        <w:t xml:space="preserve">higher</w:t>
      </w:r>
      <w:r>
        <w:t xml:space="preserve"> </w:t>
      </w:r>
      <w:r>
        <w:t xml:space="preserve">quantile convention. Alternative samples were then scored against those fixed thresholds. The raw score, explicit penalty, population gain, zero-threshold detection indicator, calibrated detection indicator, and selected orbit shift were recorded for every detector.</w:t>
      </w:r>
    </w:p>
    <w:p>
      <w:pPr>
        <w:pStyle w:val="BodyText"/>
      </w:pPr>
      <w:r>
        <w:t xml:space="preserve">Population gains were computed at the distribution level. The full gain was weighted JSD. The fundamental gain was the difference between the best two-segment and pooled expected log likelihoods inside the fundamental family. The shared-orbit gain maximized the aligned shared-state expected likelihood over nonidentity shifts.</w:t>
      </w:r>
    </w:p>
    <w:p>
      <w:pPr>
        <w:pStyle w:val="BodyText"/>
      </w:pPr>
      <w:r>
        <w:t xml:space="preserve">The crossover estimator first replaced the empirical power sequence by its cumulative maximum to suppress Monte Carlo reversals. When power crossed 0.5 within the tested grid, interpolation was performed linearly in log total length. Crossovers below or above the grid were flagged and excluded from slope regressions requiring internal estimates.</w:t>
      </w:r>
    </w:p>
    <w:bookmarkEnd w:id="98"/>
    <w:bookmarkStart w:id="99" w:name="appendix-b.-reading-the-empirical-slopes"/>
    <w:p>
      <w:pPr>
        <w:pStyle w:val="Heading1"/>
      </w:pPr>
      <w:r>
        <w:t xml:space="preserve">Appendix B. Reading the empirical slopes</w:t>
      </w:r>
    </w:p>
    <w:p>
      <w:pPr>
        <w:pStyle w:val="FirstParagraph"/>
      </w:pPr>
      <w:r>
        <w:t xml:space="preserve">The raw-score regression is the primary test of the theoretical penalty coefficients. Suppose</w:t>
      </w:r>
    </w:p>
    <w:p>
      <w:pPr>
        <w:pStyle w:val="BodyText"/>
      </w:pPr>
      <m:oMathPara>
        <m:oMathParaPr>
          <m:jc m:val="center"/>
        </m:oMathParaPr>
        <m:oMath>
          <m:r>
            <m:t>S</m:t>
          </m:r>
          <m:r>
            <m:rPr>
              <m:sty m:val="p"/>
            </m:rPr>
            <m:t>=</m:t>
          </m:r>
          <m:r>
            <m:t>L</m:t>
          </m:r>
          <m:r>
            <m:t>G</m:t>
          </m:r>
          <m:r>
            <m:rPr>
              <m:sty m:val="p"/>
            </m:rPr>
            <m:t>−</m:t>
          </m:r>
          <m:r>
            <m:t>c</m:t>
          </m:r>
          <m:r>
            <m:rPr>
              <m:sty m:val="p"/>
            </m:rPr>
            <m:t>log</m:t>
          </m:r>
          <m:r>
            <m:t>L</m:t>
          </m:r>
          <m:r>
            <m:rPr>
              <m:sty m:val="p"/>
            </m:rPr>
            <m:t>+</m:t>
          </m:r>
          <m:r>
            <m:t>b</m:t>
          </m:r>
          <m:r>
            <m:rPr>
              <m:sty m:val="p"/>
            </m:rPr>
            <m:t>+</m:t>
          </m:r>
          <m:r>
            <m:t>ϵ</m:t>
          </m:r>
          <m:r>
            <m:rPr>
              <m:sty m:val="p"/>
            </m:rPr>
            <m:t>.</m:t>
          </m:r>
        </m:oMath>
      </m:oMathPara>
    </w:p>
    <w:p>
      <w:pPr>
        <w:pStyle w:val="FirstParagraph"/>
      </w:pPr>
      <w:r>
        <w:t xml:space="preserve">Regressing the mean score on</w:t>
      </w:r>
      <w:r>
        <w:t xml:space="preserve"> </w:t>
      </w:r>
      <m:oMath>
        <m:r>
          <m:t>L</m:t>
        </m:r>
        <m:r>
          <m:t>G</m:t>
        </m:r>
      </m:oMath>
      <w:r>
        <w:t xml:space="preserve">,</w:t>
      </w:r>
      <w:r>
        <w:t xml:space="preserve"> </w:t>
      </w:r>
      <m:oMath>
        <m:r>
          <m:rPr>
            <m:sty m:val="p"/>
          </m:rPr>
          <m:t>log</m:t>
        </m:r>
        <m:r>
          <m:t>L</m:t>
        </m:r>
      </m:oMath>
      <w:r>
        <w:t xml:space="preserve">, and effect indicators should recover coefficient one on</w:t>
      </w:r>
      <w:r>
        <w:t xml:space="preserve"> </w:t>
      </w:r>
      <m:oMath>
        <m:r>
          <m:t>L</m:t>
        </m:r>
        <m:r>
          <m:t>G</m:t>
        </m:r>
      </m:oMath>
      <w:r>
        <w:t xml:space="preserve"> </w:t>
      </w:r>
      <w:r>
        <w:t xml:space="preserve">and coefficient</w:t>
      </w:r>
      <w:r>
        <w:t xml:space="preserve"> </w:t>
      </w:r>
      <m:oMath>
        <m:r>
          <m:rPr>
            <m:sty m:val="p"/>
          </m:rPr>
          <m:t>−</m:t>
        </m:r>
        <m:r>
          <m:t>c</m:t>
        </m:r>
      </m:oMath>
      <w:r>
        <w:t xml:space="preserve"> </w:t>
      </w:r>
      <w:r>
        <w:t xml:space="preserve">on</w:t>
      </w:r>
      <w:r>
        <w:t xml:space="preserve"> </w:t>
      </w:r>
      <m:oMath>
        <m:r>
          <m:rPr>
            <m:sty m:val="p"/>
          </m:rPr>
          <m:t>log</m:t>
        </m:r>
        <m:r>
          <m:t>L</m:t>
        </m:r>
      </m:oMath>
      <w:r>
        <w:t xml:space="preserve">. The extremely high</w:t>
      </w:r>
      <w:r>
        <w:t xml:space="preserve"> </w:t>
      </w:r>
      <m:oMath>
        <m:sSup>
          <m:e>
            <m:r>
              <m:t>R</m:t>
            </m:r>
          </m:e>
          <m:sup>
            <m:r>
              <m:t>2</m:t>
            </m:r>
          </m:sup>
        </m:sSup>
      </m:oMath>
      <w:r>
        <w:t xml:space="preserve"> </w:t>
      </w:r>
      <w:r>
        <w:t xml:space="preserve">values indicate that this affine approximation describes the simulated mean scores over the tested grid.</w:t>
      </w:r>
    </w:p>
    <w:p>
      <w:pPr>
        <w:pStyle w:val="BodyText"/>
      </w:pPr>
      <w:r>
        <w:t xml:space="preserve">The calibrated-power crossover slopes answer a different question. Configuration-specific null calibration adds an empirical threshold that may itself vary with length. Those crossovers are appropriate for comparing practical sample requirements at a common false-positive target, but their slopes are not expected to equal the raw MDL coefficient.</w:t>
      </w:r>
    </w:p>
    <w:bookmarkEnd w:id="99"/>
    <w:bookmarkStart w:id="100" w:name="acknowledgment"/>
    <w:p>
      <w:pPr>
        <w:pStyle w:val="Heading1"/>
      </w:pPr>
      <w:r>
        <w:t xml:space="preserve">Acknowledgment</w:t>
      </w:r>
    </w:p>
    <w:p>
      <w:pPr>
        <w:pStyle w:val="FirstParagraph"/>
      </w:pPr>
      <w:r>
        <w:t xml:space="preserve">This version was developed after methodological review identified that an unrestricted simplex model, an independently fitted invariant-subspace model, and a shared exact-orbit model had previously been treated as though they implied the same complexity law. Distinguishing those hypotheses led to the present framework and simulation design.</w:t>
      </w:r>
    </w:p>
    <w:bookmarkEnd w:id="100"/>
    <w:sectPr>
      <w:headerReference w:type="default" r:id="rId9"/>
      <w:footerReference w:type="default" r:id="rId10"/>
      <w:pgMar w:bottom="1152" w:footer="504" w:header="504" w:left="1224" w:right="1224" w:top="115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6969"/>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Aptos" w:hAnsi="Aptos"/>
        <w:color w:val="696969"/>
        <w:sz w:val="16"/>
      </w:rPr>
      <w:t>Geometric Complexity in Cyclic Regime Changes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jc w:val="both"/>
    </w:pPr>
    <w:rPr>
      <w:rFonts w:ascii="Times New Roman" w:cs="Times New Roman" w:eastAsia="Times New Roman" w:hAnsi="Times New Roman"/>
      <w:sz w:val="21"/>
    </w:rPr>
  </w:style>
  <w:style w:styleId="BodyText" w:type="paragraph">
    <w:name w:val="Body Text"/>
    <w:basedOn w:val="Normal"/>
    <w:link w:val="BodyTextChar"/>
    <w:qFormat/>
    <w:pPr>
      <w:spacing w:after="100" w:before="180" w:line="259" w:lineRule="auto"/>
      <w:jc w:val="both"/>
    </w:pPr>
    <w:rPr>
      <w:rFonts w:ascii="Times New Roman" w:cs="Times New Roman" w:eastAsia="Times New Roman" w:hAnsi="Times New Roman"/>
      <w:sz w:val="21"/>
    </w:rPr>
  </w:style>
  <w:style w:customStyle="1" w:styleId="FirstParagraph" w:type="paragraph">
    <w:name w:val="First Paragraph"/>
    <w:basedOn w:val="BodyText"/>
    <w:next w:val="BodyText"/>
    <w:qFormat/>
    <w:pPr>
      <w:spacing w:after="100" w:line="259" w:lineRule="auto"/>
      <w:jc w:val="both"/>
    </w:pPr>
    <w:rPr>
      <w:rFonts w:ascii="Times New Roman" w:cs="Times New Roman" w:eastAsia="Times New Roman" w:hAnsi="Times New Roman"/>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480"/>
      <w:jc w:val="center"/>
    </w:pPr>
    <w:rPr>
      <w:rFonts w:ascii="Aptos Display" w:asciiTheme="majorHAnsi" w:cs="Aptos Display" w:cstheme="majorBidi" w:eastAsia="Aptos Display" w:eastAsiaTheme="majorEastAsia" w:hAnsi="Aptos Display" w:hAnsiTheme="majorHAnsi"/>
      <w:b/>
      <w:bCs/>
      <w:color w:val="1F4E79"/>
      <w:sz w:val="40"/>
      <w:szCs w:val="36"/>
    </w:rPr>
  </w:style>
  <w:style w:styleId="Subtitle" w:type="paragraph">
    <w:name w:val="Subtitle"/>
    <w:basedOn w:val="Title"/>
    <w:next w:val="BodyText"/>
    <w:qFormat/>
    <w:pPr>
      <w:keepNext/>
      <w:keepLines/>
      <w:spacing w:after="240" w:before="240"/>
      <w:jc w:val="center"/>
    </w:pPr>
    <w:rPr>
      <w:rFonts w:ascii="Aptos" w:cs="Aptos" w:eastAsia="Aptos" w:hAnsi="Aptos"/>
      <w:i/>
      <w:color w:val="404040"/>
      <w:sz w:val="23"/>
      <w:szCs w:val="30"/>
    </w:rPr>
  </w:style>
  <w:style w:customStyle="1" w:styleId="Author" w:type="paragraph">
    <w:name w:val="Author"/>
    <w:next w:val="BodyText"/>
    <w:qFormat/>
    <w:pPr>
      <w:keepNext/>
      <w:keepLines/>
      <w:jc w:val="center"/>
    </w:pPr>
    <w:rPr>
      <w:rFonts w:ascii="Times New Roman" w:cs="Times New Roman" w:eastAsia="Times New Roman" w:hAnsi="Times New Roman"/>
      <w:b/>
      <w:sz w:val="22"/>
    </w:rPr>
  </w:style>
  <w:style w:styleId="Date" w:type="paragraph">
    <w:name w:val="Date"/>
    <w:next w:val="BodyText"/>
    <w:qFormat/>
    <w:pPr>
      <w:keepNext/>
      <w:keepLines/>
      <w:jc w:val="center"/>
    </w:pPr>
    <w:rPr>
      <w:rFonts w:ascii="Times New Roman" w:cs="Times New Roman" w:eastAsia="Times New Roman" w:hAnsi="Times New Roman"/>
      <w:sz w:val="20"/>
    </w:rPr>
  </w:style>
  <w:style w:customStyle="1" w:styleId="AbstractTitle" w:type="paragraph">
    <w:name w:val="Abstract Title"/>
    <w:basedOn w:val="Normal"/>
    <w:next w:val="Abstract"/>
    <w:qFormat/>
    <w:pPr>
      <w:keepNext/>
      <w:keepLines/>
      <w:spacing w:after="0" w:before="300"/>
      <w:jc w:val="center"/>
    </w:pPr>
    <w:rPr>
      <w:rFonts w:ascii="Aptos Display" w:cs="Aptos Display" w:eastAsia="Aptos Display" w:hAnsi="Aptos Display"/>
      <w:b/>
      <w:color w:val="1F4E79"/>
      <w:sz w:val="24"/>
      <w:szCs w:val="20"/>
    </w:rPr>
  </w:style>
  <w:style w:customStyle="1" w:styleId="Abstract" w:type="paragraph">
    <w:name w:val="Abstract"/>
    <w:basedOn w:val="Normal"/>
    <w:next w:val="BodyText"/>
    <w:qFormat/>
    <w:pPr>
      <w:keepNext/>
      <w:keepLines/>
      <w:spacing w:after="80" w:before="100" w:line="245" w:lineRule="auto"/>
      <w:jc w:val="both"/>
    </w:pPr>
    <w:rPr>
      <w:rFonts w:ascii="Times New Roman" w:cs="Times New Roman" w:eastAsia="Times New Roman" w:hAnsi="Times New Roman"/>
      <w:sz w:val="19"/>
      <w:szCs w:val="20"/>
    </w:rPr>
  </w:style>
  <w:style w:styleId="Bibliography" w:type="paragraph">
    <w:name w:val="Bibliography"/>
    <w:basedOn w:val="Normal"/>
    <w:next w:val="Bibliography"/>
    <w:qFormat/>
    <w:pPr>
      <w:spacing w:after="80"/>
      <w:ind w:hanging="360" w:left="360"/>
    </w:pPr>
    <w:rPr>
      <w:rFonts w:ascii="Times New Roman" w:cs="Times New Roman" w:eastAsia="Times New Roman" w:hAnsi="Times New Roman"/>
      <w:sz w:val="19"/>
    </w:rPr>
  </w:style>
  <w:style w:styleId="Heading1" w:type="paragraph">
    <w:name w:val="Heading 1"/>
    <w:basedOn w:val="Normal"/>
    <w:next w:val="BodyText"/>
    <w:uiPriority w:val="9"/>
    <w:qFormat/>
    <w:pPr>
      <w:keepNext/>
      <w:keepLines/>
      <w:spacing w:after="80" w:before="200"/>
      <w:outlineLvl w:val="0"/>
    </w:pPr>
    <w:rPr>
      <w:rFonts w:ascii="Aptos Display" w:asciiTheme="majorHAnsi" w:cs="Aptos Display" w:cstheme="majorBidi" w:eastAsia="Aptos Display" w:eastAsiaTheme="majorEastAsia" w:hAnsi="Aptos Display" w:hAnsiTheme="majorHAnsi"/>
      <w:b/>
      <w:bCs/>
      <w:color w:val="1F4E79"/>
      <w:sz w:val="28"/>
      <w:szCs w:val="32"/>
    </w:rPr>
  </w:style>
  <w:style w:styleId="Heading2" w:type="paragraph">
    <w:name w:val="Heading 2"/>
    <w:basedOn w:val="Normal"/>
    <w:next w:val="BodyText"/>
    <w:uiPriority w:val="9"/>
    <w:unhideWhenUsed/>
    <w:qFormat/>
    <w:pPr>
      <w:keepNext/>
      <w:keepLines/>
      <w:spacing w:after="80" w:before="140"/>
      <w:outlineLvl w:val="1"/>
    </w:pPr>
    <w:rPr>
      <w:rFonts w:ascii="Aptos Display" w:asciiTheme="majorHAnsi" w:cs="Aptos Display" w:cstheme="majorBidi" w:eastAsia="Aptos Display" w:eastAsiaTheme="majorEastAsia" w:hAnsi="Aptos Display" w:hAnsiTheme="majorHAnsi"/>
      <w:b/>
      <w:bCs/>
      <w:color w:val="2F5478"/>
      <w:sz w:val="23"/>
      <w:szCs w:val="28"/>
    </w:rPr>
  </w:style>
  <w:style w:styleId="Heading3" w:type="paragraph">
    <w:name w:val="Heading 3"/>
    <w:basedOn w:val="Normal"/>
    <w:next w:val="BodyText"/>
    <w:uiPriority w:val="9"/>
    <w:unhideWhenUsed/>
    <w:qFormat/>
    <w:pPr>
      <w:keepNext/>
      <w:keepLines/>
      <w:spacing w:after="80" w:before="140"/>
      <w:outlineLvl w:val="2"/>
    </w:pPr>
    <w:rPr>
      <w:rFonts w:ascii="Aptos" w:asciiTheme="majorHAnsi" w:cs="Aptos" w:cstheme="majorBidi" w:eastAsia="Aptos" w:eastAsiaTheme="majorEastAsia" w:hAnsi="Aptos" w:hAnsiTheme="majorHAnsi"/>
      <w:b/>
      <w:bCs/>
      <w:color w:val="40404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60"/>
      <w:jc w:val="center"/>
    </w:pPr>
    <w:rPr>
      <w:rFonts w:ascii="Times New Roman" w:cs="Times New Roman" w:eastAsia="Times New Roman" w:hAnsi="Times New Roman"/>
      <w:i/>
      <w:color w:val="464646"/>
      <w:sz w:val="18"/>
    </w:rPr>
  </w:style>
  <w:style w:customStyle="1" w:styleId="TableCaption" w:type="paragraph">
    <w:name w:val="Table Caption"/>
    <w:basedOn w:val="Caption"/>
    <w:pPr>
      <w:keepNext/>
      <w:spacing w:after="120" w:before="60"/>
      <w:jc w:val="center"/>
    </w:pPr>
    <w:rPr>
      <w:rFonts w:ascii="Times New Roman" w:cs="Times New Roman" w:eastAsia="Times New Roman" w:hAnsi="Times New Roman"/>
      <w:i/>
      <w:color w:val="464646"/>
      <w:sz w:val="18"/>
    </w:rPr>
  </w:style>
  <w:style w:customStyle="1" w:styleId="ImageCaption" w:type="paragraph">
    <w:name w:val="Image Caption"/>
    <w:basedOn w:val="Caption"/>
    <w:pPr>
      <w:keepNext/>
      <w:spacing w:after="120" w:before="60"/>
      <w:jc w:val="center"/>
    </w:pPr>
    <w:rPr>
      <w:rFonts w:ascii="Times New Roman" w:cs="Times New Roman" w:eastAsia="Times New Roman" w:hAnsi="Times New Roman"/>
      <w:i/>
      <w:color w:val="464646"/>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0" Type="http://schemas.openxmlformats.org/officeDocument/2006/relationships/image" Target="media/rId70.png"/><Relationship Id="rId58" Type="http://schemas.openxmlformats.org/officeDocument/2006/relationships/image" Target="media/rId58.png"/><Relationship Id="rId74" Type="http://schemas.openxmlformats.org/officeDocument/2006/relationships/image" Target="media/rId74.png"/><Relationship Id="rId62" Type="http://schemas.openxmlformats.org/officeDocument/2006/relationships/image" Target="media/rId62.png"/><Relationship Id="rId66" Type="http://schemas.openxmlformats.org/officeDocument/2006/relationships/image" Target="media/rId6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Complexity in Cyclic Regime Changes</dc:title>
  <dc:creator>Mac Mayo</dc:creator>
  <cp:keywords/>
  <dcterms:created xsi:type="dcterms:W3CDTF">2026-07-13T17:25:10Z</dcterms:created>
  <dcterms:modified xsi:type="dcterms:W3CDTF">2026-07-13T17:25:10Z</dcterms:modified>
  <dc:subject>Full, fundamental-subspace, and shared-orbit models under minimum description length</dc:subject>
  <dc:description>Rewritten v3 manuscript incorporating the complete Monte Carlo rerun.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Full, Fundamental-Subspace, and Shared-Orbit Models under Minimum Description Length</vt:lpwstr>
  </property>
</Properties>
</file>