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Symmetry-Induced Exact Decoding Under Free Actions</w:t>
      </w:r>
    </w:p>
    <w:p>
      <w:pPr>
        <w:pStyle w:val="Subtitle"/>
      </w:pPr>
      <w:r>
        <w:t>Shortest-repair factorization, free involutions, projective descent, and cubical cochains</w:t>
      </w:r>
    </w:p>
    <w:p>
      <w:pPr>
        <w:pStyle w:val="Heading1"/>
      </w:pPr>
      <w:r>
        <w:t>Abstract</w:t>
      </w:r>
    </w:p>
    <w:p>
      <w:pPr>
        <w:pStyle w:val="AbstractBody"/>
      </w:pPr>
      <w:r>
        <w:t>A finite symmetry can force a shortest-repair problem to decompose into independent orbit problems. This paper isolates that mechanism for binary states and makes the operation model explicit. We begin with a general shortest-repair factorization lemma for weighted directed product graphs: when legal moves act in one block at a time and the target is a finite union of product targets, the global optimum is the minimum, over global target modes, of a sum of local shortest-path costs. A free involution τ on a finite set X canonically supplies two-point blocks. For a binary state b, the defect D b records the disagreement on each τ-orbit. Paired translations preserve D; moreover D is a complete dynamical-sector invariant exactly when the paired-move subgroup spans the τ-invariant subspace. Under unit one-member edits, the exact distance to that invariant sector is wt(D b). After descent to one bit per orbit, global complementation yields the length-P repetition code and exact completion cost min(k,P−k). For reversible weighted operations we give the exact joint decoder after taking the full shortest-path closure of all primitive local costs; this corrects a common but consequential partial-triangle-closure error. We separately treat irreversible lower-only repairs as a directed shortest-repair problem. The real projective plane provides a geometric realization when the state coordinates are lifts of cells under S²→RP²: D=0 is precisely cellular deck-invariant descent, and in top degree the global-complement vector corresponds, under an explicitly noncanonical cellular basis identification, to the mod-2 fundamental class. Finally, a free (Z₂)ʳ-action turns each orbit into a cubical cochain complex. Exact state-induced edge defects remain integrable and orbitwise solvable, while independent noisy edge data lead exactly to nearest-coboundary decoding, equivalently a signed-graph frustration problem. This yields a precise hierarchy: coordinatewise factorization, cubically coupled but orbitwise exact decoding, noisy within-orbit optimization, and finally genuinely nonlocal decoding when operations or constraints couple distinct orbits.</w:t>
      </w:r>
    </w:p>
    <w:p>
      <w:pPr>
        <w:pStyle w:val="Keywords"/>
      </w:pPr>
      <w:r>
        <w:t>Keywords: free involution; group action; shortest-repair factorization; operation graph; repetition code; cubical cohomology; signed-graph frustration; real projective plane.</w:t>
      </w:r>
    </w:p>
    <w:p>
      <w:pPr>
        <w:pStyle w:val="Heading1"/>
      </w:pPr>
      <w:r>
        <w:t>1. Introduction</w:t>
      </w:r>
    </w:p>
    <w:p>
      <w:pPr/>
      <w:r>
        <w:t>Many repair and decoding problems look global only because the symmetry that supplies their natural blocks has not been made explicit. A free involution partitions a finite set into disjoint pairs; a free action of (Z₂)ʳ partitions it into hypercube orbits. If legal operations respect those orbits, the corresponding state graph can inherit a product structure, and shortest repair may collapse from search to a closed form. The motivating implementation for this paper arose in a puzzle engine with antipodally paired binary objects, but the mathematical question is independent of that implementation: what structural hypotheses make the repair objective factor, and what changes when those hypotheses are weakened?</w:t>
      </w:r>
    </w:p>
    <w:p>
      <w:pPr/>
      <w:r>
        <w:t>The binary C₂ case is elementary once recognized. With P two-point orbits, the invariant sector is a direct sum of P length-two repetition codes; after identifying globally complementary orbit states, completion is decoding to a length-P repetition code. Those code families are classical. The purpose of the paper is therefore not to present a new linear-code family. Instead, it treats the free action as a mechanism that generates a product operation graph and then tracks, with explicit hypotheses, the successive loss of factorization.</w:t>
      </w:r>
    </w:p>
    <w:p>
      <w:pPr>
        <w:pStyle w:val="Heading2"/>
      </w:pPr>
      <w:r>
        <w:t>1.1 Contributions and scope</w:t>
      </w:r>
    </w:p>
    <w:p>
      <w:pPr/>
      <w:r>
        <w:t>The mathematically defensible contributions are the following.</w:t>
      </w:r>
    </w:p>
    <w:p>
      <w:pPr>
        <w:pStyle w:val="ListBullet"/>
      </w:pPr>
      <w:r>
        <w:t>A precise operation-graph model that covers both reversible metrics and irreversible directed repair costs, together with a product shortest-repair factorization lemma for finite unions of product targets.</w:t>
      </w:r>
    </w:p>
    <w:p>
      <w:pPr>
        <w:pStyle w:val="ListBullet"/>
      </w:pPr>
      <w:r>
        <w:t>For a free involution, a complete characterization of when the defect D is merely conserved and when it actually classifies the dynamical sectors generated by legal paired translations.</w:t>
      </w:r>
    </w:p>
    <w:p>
      <w:pPr>
        <w:pStyle w:val="ListBullet"/>
      </w:pPr>
      <w:r>
        <w:t>Closed-form sector repair and global-complement completion as corollaries of the product structure, with the sequential and freely reversible operation models kept distinct.</w:t>
      </w:r>
    </w:p>
    <w:p>
      <w:pPr>
        <w:pStyle w:val="ListBullet"/>
      </w:pPr>
      <w:r>
        <w:t>An exact weighted joint decoder obtained from the full local metric closure: every primitive local cost, not only the paired-flip cost, must be closed under two-step alternatives.</w:t>
      </w:r>
    </w:p>
    <w:p>
      <w:pPr>
        <w:pStyle w:val="ListBullet"/>
      </w:pPr>
      <w:r>
        <w:t>A cellular RP² realization with the cochain degree and top-cell hypothesis stated explicitly, separating deck-invariant descent from the distinct H₁-based structure of projective-plane surface codes.</w:t>
      </w:r>
    </w:p>
    <w:p>
      <w:pPr>
        <w:pStyle w:val="ListBullet"/>
      </w:pPr>
      <w:r>
        <w:t>A free (Z₂)ʳ extension in which exact defects form a cubical coboundary, together with an exact equivalence between noisy nearest-coboundary decoding and signed-graph frustration.</w:t>
      </w:r>
    </w:p>
    <w:p>
      <w:pPr>
        <w:pStyle w:val="ListBullet"/>
      </w:pPr>
      <w:r>
        <w:t>A four-regime failure taxonomy that distinguishes coordinatewise coupling, within-orbit cubical coupling, noisy within-orbit optimization, and true cross-orbit nonlocality.</w:t>
      </w:r>
    </w:p>
    <w:p>
      <w:pPr/>
      <w:r>
        <w:t>The basic coding ingredients—repetition codes, syndromes, cosets, block metrics, weighted shortest paths, covering-space descent, cubical cochains, and signed-graph balance—are classical. The novelty claimed here is a symmetry-generated factorization framework and the exact location of its failure modes, not priority over those underlying theories. This positioning is deliberate: it makes the strongest claims easier to verify and the boundaries of the contribution harder to misread.</w:t>
      </w:r>
    </w:p>
    <w:p>
      <w:pPr>
        <w:pStyle w:val="Heading2"/>
      </w:pPr>
      <w:r>
        <w:t>1.2 Relation to prior work</w:t>
      </w:r>
    </w:p>
    <w:p>
      <w:pPr/>
      <w:r>
        <w:t>Classical coding theory supplies the repetition-code and syndrome interpretation (Slepian 1956; MacWilliams and Sloane 1977). Non-Hamming metrics and block decompositions have a mature literature, including poset metrics (Brualdi, Graves, and Lawrence 1995), poset-block metrics (Alves, Panek, and Firer 2008), directed-graph and weighted-poset metrics (Hyun, Kim, and Park 2017), and support-respecting metrics constructed from edge-weighted Hamming cubes (Machado and Firer 2020). The operation graph used below is therefore best viewed as a problem-generated shortest-path geometry rather than a claim of a new metric category.</w:t>
      </w:r>
    </w:p>
    <w:p>
      <w:pPr/>
      <w:r>
        <w:t>The topological portions likewise build on established machinery. Cubical chain and cochain complexes are standard (Kaczynski, Mischaikow, and Mrozek 2004; Pilarczyk and Real 2015), and cubical structures on graphs have been developed independently (Barceló et al. 2019). Projective-plane topological codes use the essential class in H₁(RP²;F₂) (Freedman and Meyer 2001; Bombín and Martin-Delgado 2007); the RP² observation below is different and deliberately limited. Finally, the noisy nearest-coboundary objective is exactly a signed-graph frustration objective, for which exact optimization methods and complexity connections are well established (Aref, Mason, and Wilson 2020).</w:t>
      </w:r>
    </w:p>
    <w:p>
      <w:pPr>
        <w:pStyle w:val="Heading1"/>
      </w:pPr>
      <w:r>
        <w:t>2. Shortest-repair problems on product operation graphs</w:t>
      </w:r>
    </w:p>
    <w:p>
      <w:pPr>
        <w:pStyle w:val="Heading2"/>
      </w:pPr>
      <w:r>
        <w:t>2.1 Directed operation costs and metrics</w:t>
      </w:r>
    </w:p>
    <w:p>
      <w:pPr/>
      <w:r>
        <w:t>Let Ω be a finite state space and let Γ be a directed graph on Ω. Each directed edge x→y is a legal primitive operation with nonnegative cost c(x,y). Define the shortest-repair cost ρΓ(x,y) as the minimum total cost of a directed path from x to y, with ρΓ(x,y)=∞ if y is unreachable from x. For a target set T⊆Ω, put ρΓ(x,T)=minimum over t∈T ofρΓ(x,t). If every primitive operation has a reverse operation of the same cost and Γ is connected, ρΓ is a metric. If some operations are irreversible—as with a lower-only repair—ρΓ is generally asymmetric and should be called a directed shortest-repair cost, not a metric.</w:t>
      </w:r>
    </w:p>
    <w:p>
      <w:pPr/>
      <w:r>
        <w:t>This distinction is load-bearing. A physical or software operation set may be naturally directed even when an abstract toggle model is reversible. All factorization results below are stated for the directed object ρΓ; metric statements are obtained as a special case.</w:t>
      </w:r>
    </w:p>
    <w:p>
      <w:pPr>
        <w:pStyle w:val="Heading2"/>
      </w:pPr>
      <w:r>
        <w:t>2.2 Product factorization</w:t>
      </w:r>
    </w:p>
    <w:p>
      <w:pPr>
        <w:pStyle w:val="Theorem"/>
        <w:shd w:fill="F3F5F7"/>
        <w:pBdr>
          <w:left w:val="single" w:sz="10" w:space="5" w:color="7F8C8D"/>
        </w:pBdr>
      </w:pPr>
      <w:r>
        <w:rPr>
          <w:b/>
        </w:rPr>
        <w:t xml:space="preserve">Theorem 1 (Product shortest-repair factorization). </w:t>
      </w:r>
      <w:r>
        <w:t>For i=1,…,m let Γᵢ be a finite weighted directed graph on Ωᵢ, and let Γ be their Cartesian operation product on Ω=∏ᵢΩᵢ: every primitive move changes exactly one coordinate and has the corresponding Γᵢ cost. For each λ∈Λ let T(λ)=T₁,λ×···×Tₘ,λ and let T=the union over λ∈Λ of T(λ). Then for every x=(x₁,…,xₘ),</w:t>
        <w:br/>
        <w:br/>
        <w:t>ρΓ(x,T) = minimum over λ∈Λ of [ Σᵢ ρΓᵢ(xᵢ,Tᵢ,λ) ].</w:t>
        <w:br/>
        <w:br/>
        <w:t>The formula remains valid with ∞ for unreachable local targets.</w:t>
      </w:r>
    </w:p>
    <w:p>
      <w:pPr>
        <w:pStyle w:val="Proof"/>
      </w:pPr>
      <w:r>
        <w:rPr>
          <w:b/>
        </w:rPr>
        <w:t xml:space="preserve">Proof. </w:t>
      </w:r>
      <w:r>
        <w:t>Fix λ. Any path in Γ from x to ∏ᵢTᵢ,λ projects to a path in each Γᵢ from xᵢ to Tᵢ,λ, and its total cost is the sum of the costs contributed by the coordinate projections. Hence every such path costs at least ΣᵢρΓᵢ(xᵢ,Tᵢ,λ). Conversely, choose for each i a shortest local path to Tᵢ,λ and concatenate those coordinate paths in any order; because moves change only one coordinate, this gives a global path of exactly the summed cost. Thus ρΓ(x,∏ᵢTᵢ,λ)=ΣᵢρΓᵢ(xᵢ,Tᵢ,λ). Taking the minimum over λ gives the result. ∎</w:t>
      </w:r>
    </w:p>
    <w:p>
      <w:pPr>
        <w:pStyle w:val="Remark"/>
      </w:pPr>
      <w:r>
        <w:rPr>
          <w:b/>
          <w:i/>
        </w:rPr>
        <w:t xml:space="preserve">Remark 1. </w:t>
      </w:r>
      <w:r>
        <w:rPr>
          <w:i/>
        </w:rPr>
        <w:t>The theorem is a standard Cartesian-product shortest-path fact. Its role here is organizational: a free group action will generate the blocks Ωᵢ canonically, and the later sections identify exactly which hypotheses preserve or destroy this product form. Cross-orbit generators, nonadditive/history-dependent costs, or targets that cannot be represented by a manageable union of products remove the closed-form conclusion.</w:t>
      </w:r>
    </w:p>
    <w:p>
      <w:pPr>
        <w:pStyle w:val="Heading1"/>
      </w:pPr>
      <w:r>
        <w:t>3. Free involutions and the binary defect</w:t>
      </w:r>
    </w:p>
    <w:p>
      <w:pPr>
        <w:pStyle w:val="Heading2"/>
      </w:pPr>
      <w:r>
        <w:t>3.1 State space and symmetric sector</w:t>
      </w:r>
    </w:p>
    <w:p>
      <w:pPr/>
      <w:r>
        <w:t>Let X be finite with |X|=2P and let τ:X→X be a fixed-point-free involution: τ²=id and τ(x)≠x. The τ-orbits are Oᵢ={xᵢ,τxᵢ}, i=1,…,P. Let V=F₂ˣ≅F₂²ᴾ. Ordering coordinates orbit by orbit, write</w:t>
      </w:r>
    </w:p>
    <w:p>
      <w:pPr>
        <w:pStyle w:val="Equation"/>
      </w:pPr>
      <w:r>
        <w:rPr>
          <w:rFonts w:ascii="Cambria Math" w:hAnsi="Cambria Math"/>
          <w:sz w:val="21"/>
        </w:rPr>
        <w:t>b = (a₁,c₁,…,aₚ,cₚ).</w:t>
      </w:r>
    </w:p>
    <w:p>
      <w:pPr/>
      <w:r>
        <w:t>Define the compressed defect map D:V→F₂ᴾ by</w:t>
      </w:r>
    </w:p>
    <w:p>
      <w:pPr>
        <w:pStyle w:val="Equation"/>
      </w:pPr>
      <w:r>
        <w:rPr>
          <w:rFonts w:ascii="Cambria Math" w:hAnsi="Cambria Math"/>
          <w:sz w:val="21"/>
        </w:rPr>
        <w:t>(Db)ᵢ = aᵢ + cᵢ,      so that      D = Iₚ ⊗ [1  1].</w:t>
      </w:r>
    </w:p>
    <w:p>
      <w:pPr/>
      <w:r>
        <w:t>The τ-invariant or symmetric sector is</w:t>
      </w:r>
    </w:p>
    <w:p>
      <w:pPr>
        <w:pStyle w:val="Equation"/>
      </w:pPr>
      <w:r>
        <w:rPr>
          <w:rFonts w:ascii="Cambria Math" w:hAnsi="Cambria Math"/>
          <w:sz w:val="21"/>
        </w:rPr>
        <w:t>S = ker D = {(q₁,q₁,…,qₚ,qₚ): qᵢ∈F₂} ≅ F₂ᴾ.</w:t>
      </w:r>
    </w:p>
    <w:p>
      <w:pPr/>
      <w:r>
        <w:t>Coding-theoretically, S is Rep₂ ⊕ ··· ⊕ Rep₂, a direct sum of P length-two repetition codes.</w:t>
      </w:r>
    </w:p>
    <w:p>
      <w:pPr>
        <w:pStyle w:val="Heading2"/>
      </w:pPr>
      <w:r>
        <w:t>3.2 Conserved defect versus complete sector label</w:t>
      </w:r>
    </w:p>
    <w:p>
      <w:pPr/>
      <w:r>
        <w:t>A paired translation is addition by a vector s∈S; it changes both members of every affected orbit by the same bit. Let U≤S be the subspace generated by the legal paired translations. The reachable set from b under those reversible paired translations is b+U.</w:t>
      </w:r>
    </w:p>
    <w:p>
      <w:pPr>
        <w:pStyle w:val="Theorem"/>
        <w:shd w:fill="F3F5F7"/>
        <w:pBdr>
          <w:left w:val="single" w:sz="10" w:space="5" w:color="7F8C8D"/>
        </w:pBdr>
      </w:pPr>
      <w:r>
        <w:rPr>
          <w:b/>
        </w:rPr>
        <w:t xml:space="preserve">Theorem 2 (Conservation and completeness of the defect). </w:t>
      </w:r>
      <w:r>
        <w:t>For every u∈U, D(b+u)=Db. Moreover, for b,b′∈V, Db=Db′ if and only if b′−b∈S. Consequently D is always an invariant of paired dynamics, and its fibers are exactly the dynamical sectors if and only if U=S.</w:t>
      </w:r>
    </w:p>
    <w:p>
      <w:pPr>
        <w:pStyle w:val="Proof"/>
      </w:pPr>
      <w:r>
        <w:rPr>
          <w:b/>
        </w:rPr>
        <w:t xml:space="preserve">Proof. </w:t>
      </w:r>
      <w:r>
        <w:t>Because U≤S=ker D, D(b+u)=Db+Du=Db. Also Db=Db′ iff D(b′−b)=0 iff b′−b∈ker D=S. Thus a fiber of D is b+S, whereas the paired-move orbit is b+U. These coincide for all b exactly when U=S. ∎</w:t>
      </w:r>
    </w:p>
    <w:p>
      <w:pPr>
        <w:pStyle w:val="Remark"/>
      </w:pPr>
      <w:r>
        <w:rPr>
          <w:b/>
          <w:i/>
        </w:rPr>
        <w:t xml:space="preserve">Remark 2. </w:t>
      </w:r>
      <w:r>
        <w:rPr>
          <w:i/>
        </w:rPr>
        <w:t>The distinction matters. Saying that an operation ‘acts identically on both members’ is not, by itself, enough unless the operation is defined algebraically. Here the legal paired dynamics are translations by τ-invariant states. Under a smaller paired-move subgroup, D is conserved but does not completely classify reachability.</w:t>
      </w:r>
    </w:p>
    <w:p>
      <w:pPr>
        <w:pStyle w:val="Heading2"/>
      </w:pPr>
      <w:r>
        <w:t>3.3 Modular representation viewpoint</w:t>
      </w:r>
    </w:p>
    <w:p>
      <w:pPr/>
      <w:r>
        <w:t>Let T:V→V be the coordinate-permutation operator (Tb)(x)=b(τx) and set N=I+T. Over F₂, N²=0 and Nb=0 iff Tb=b. On each orbit the matrix of N is [[1,1],[1,1]], so rank N=P and</w:t>
      </w:r>
    </w:p>
    <w:p>
      <w:pPr>
        <w:pStyle w:val="Equation"/>
      </w:pPr>
      <w:r>
        <w:rPr>
          <w:rFonts w:ascii="Cambria Math" w:hAnsi="Cambria Math"/>
          <w:sz w:val="21"/>
        </w:rPr>
        <w:t>ker N = im N = S.</w:t>
      </w:r>
    </w:p>
    <w:p>
      <w:pPr/>
      <w:r>
        <w:t>Thus the C₂-representation is not semisimple in characteristic two: the invariant subspace does not have a distinct ‘anti-invariant’ eigenspace complement. This is why Db is better described as a deck-invariance or descent defect than as an antisymmetric component.</w:t>
      </w:r>
    </w:p>
    <w:p>
      <w:pPr>
        <w:pStyle w:val="Heading1"/>
      </w:pPr>
      <w:r>
        <w:t>4. Exact decoders in the free-involution model</w:t>
      </w:r>
    </w:p>
    <w:p>
      <w:pPr>
        <w:pStyle w:val="Heading2"/>
      </w:pPr>
      <w:r>
        <w:t>4.1 Distance to the invariant sector</w:t>
      </w:r>
    </w:p>
    <w:p>
      <w:pPr>
        <w:pStyle w:val="Theorem"/>
        <w:shd w:fill="F3F5F7"/>
        <w:pBdr>
          <w:left w:val="single" w:sz="10" w:space="5" w:color="7F8C8D"/>
        </w:pBdr>
      </w:pPr>
      <w:r>
        <w:rPr>
          <w:b/>
        </w:rPr>
        <w:t xml:space="preserve">Theorem 3 (Exact sector-repair distance). </w:t>
      </w:r>
      <w:r>
        <w:t>Suppose a one-member toggle changes either aᵢ or cᵢ at unit cost, independently across orbits. Then the exact shortest-repair distance from b to S is</w:t>
        <w:br/>
        <w:br/>
        <w:t>d(b,S)=wt(Db).</w:t>
      </w:r>
    </w:p>
    <w:p>
      <w:pPr>
        <w:pStyle w:val="Proof"/>
      </w:pPr>
      <w:r>
        <w:rPr>
          <w:b/>
        </w:rPr>
        <w:t xml:space="preserve">Proof. </w:t>
      </w:r>
      <w:r>
        <w:t>The target S is the product ∏ᵢ{00,11}. On orbit i, a symmetric state already has local distance 0, whereas 01 or 10 has local distance 1 to {00,11}. By Theorem 1 the global distance is the sum of these local costs, namely the number of orbits with aᵢ+cᵢ=1. Equivalently d(b,S)=wt(Db). ∎</w:t>
      </w:r>
    </w:p>
    <w:p>
      <w:pPr/>
      <w:r>
        <w:t>The usual syndrome interpretation is immediate: Hτ=D is a parity-check matrix for Rep₂ ⊕ ··· ⊕ Rep₂, and Db is the syndrome. Because no check shares a coordinate with another orbit, the Tanner graph is a disjoint union of P blocks. No matching or path inference is present at this stage.</w:t>
      </w:r>
    </w:p>
    <w:p>
      <w:pPr>
        <w:pStyle w:val="Heading2"/>
      </w:pPr>
      <w:r>
        <w:t>4.2 Completion modulo global complement</w:t>
      </w:r>
    </w:p>
    <w:p>
      <w:pPr/>
      <w:r>
        <w:t>For b∈S write b=(q₁,q₁,…,qₚ,qₚ) and identify it with q=(q₁,…,qₚ)∈F₂ᴾ. Suppose the application treats q and q+1 as equivalent, where 1=(1,…,1). The solved set is then the two-word repetition code C=⟨1⟩={0,1}.</w:t>
      </w:r>
    </w:p>
    <w:p>
      <w:pPr>
        <w:pStyle w:val="Theorem"/>
        <w:shd w:fill="F3F5F7"/>
        <w:pBdr>
          <w:left w:val="single" w:sz="10" w:space="5" w:color="7F8C8D"/>
        </w:pBdr>
      </w:pPr>
      <w:r>
        <w:rPr>
          <w:b/>
        </w:rPr>
        <w:t xml:space="preserve">Theorem 4 (Global-complement completion). </w:t>
      </w:r>
      <w:r>
        <w:t>If flipping one symmetric orbit costs one, then for k=wt(q),</w:t>
        <w:br/>
        <w:br/>
        <w:t>d(q,C)=min{wt(q),wt(q+1)}=min{k,P−k}.</w:t>
      </w:r>
    </w:p>
    <w:p>
      <w:pPr>
        <w:pStyle w:val="Proof"/>
      </w:pPr>
      <w:r>
        <w:rPr>
          <w:b/>
        </w:rPr>
        <w:t xml:space="preserve">Proof. </w:t>
      </w:r>
      <w:r>
        <w:t>The only two codewords are 0ᴾ and 1ᴾ. Their Hamming distances from q are k and P−k, respectively. Taking the smaller gives the result. ∎</w:t>
      </w:r>
    </w:p>
    <w:p>
      <w:pPr>
        <w:pStyle w:val="Heading2"/>
      </w:pPr>
      <w:r>
        <w:t>4.3 Why sequential and joint optimization are different</w:t>
      </w:r>
    </w:p>
    <w:p>
      <w:pPr/>
      <w:r>
        <w:t>The expression wt(Db)+min(k,P−k) is globally exact only when the first-stage operation semantics determine the symmetric state q used by the second stage. A lower-only repair does this; a freely reversible one-member toggle does not, because an asymmetric pair may be sent either to 00 or to 11. The distinction is operational rather than algebraic and must be stated wherever a two-stage cost is advertised as globally optimal.</w:t>
      </w:r>
    </w:p>
    <w:p>
      <w:pPr>
        <w:pStyle w:val="Heading1"/>
      </w:pPr>
      <w:r>
        <w:t>5. Reversible weighted operations: the exact joint decoder</w:t>
      </w:r>
    </w:p>
    <w:p>
      <w:pPr>
        <w:pStyle w:val="Heading2"/>
      </w:pPr>
      <w:r>
        <w:t>5.1 Local shortest-path closure</w:t>
      </w:r>
    </w:p>
    <w:p>
      <w:pPr/>
      <w:r>
        <w:t>Consider one orbit with local state (a,c)∈F₂². Let the reversible primitive generators be eᵃ=(1,0), eᶜ=(0,1), and p=(1,1), with nonnegative costs hᵃ, hᶜ, and f. The local operation graph is the weighted Cayley graph of F₂² generated by these three nonzero elements. Primitive costs need not satisfy triangle inequalities, so the decoder must use the shortest-path closure rather than the raw labels. Define</w:t>
      </w:r>
    </w:p>
    <w:p>
      <w:pPr>
        <w:pStyle w:val="Equation"/>
      </w:pPr>
      <w:r>
        <w:rPr>
          <w:rFonts w:ascii="Cambria Math" w:hAnsi="Cambria Math"/>
          <w:sz w:val="21"/>
        </w:rPr>
        <w:t>A = min{hᵃ, f+hᶜ},      C = min{hᶜ, f+hᵃ},      F = min{f, hᵃ+hᶜ}.</w:t>
      </w:r>
    </w:p>
    <w:p>
      <w:pPr/>
      <w:r>
        <w:t>These are the exact distances from 00 to 10, 01, and 11, respectively. No longer path can improve them: in F₂² every generator has order two, so repeated uses of the same generator can be cancelled from a nonnegative-cost path, leaving only the direct generator or the two-generator alternative.</w:t>
      </w:r>
    </w:p>
    <w:p>
      <w:pPr>
        <w:pStyle w:val="Theorem"/>
        <w:shd w:fill="F3F5F7"/>
        <w:pBdr>
          <w:left w:val="single" w:sz="10" w:space="5" w:color="7F8C8D"/>
        </w:pBdr>
      </w:pPr>
      <w:r>
        <w:rPr>
          <w:b/>
        </w:rPr>
        <w:t xml:space="preserve">Theorem 5 (Exact weighted joint decoder). </w:t>
      </w:r>
      <w:r>
        <w:t>For orbit i let Aᵢ,Cᵢ,Fᵢ be the closed costs above, and let sᵢ∈{00,10,01,11}. The exact local costs to the two global targets are</w:t>
        <w:br/>
        <w:br/>
        <w:t>00: cᵢ(00→00)=0, cᵢ(10→00)=Aᵢ, cᵢ(01→00)=Cᵢ, cᵢ(11→00)=Fᵢ;</w:t>
        <w:br/>
        <w:t>11: cᵢ(11→11)=0, cᵢ(10→11)=Cᵢ, cᵢ(01→11)=Aᵢ, cᵢ(00→11)=Fᵢ.</w:t>
        <w:br/>
        <w:br/>
        <w:t>If operations do not cross orbits, the exact minimum cost to the solved set {(00)ᴾ,(11)ᴾ} is</w:t>
        <w:br/>
        <w:br/>
        <w:t>C* = min{ Σᵢ cᵢ(sᵢ→00),  Σᵢ cᵢ(sᵢ→11) }.</w:t>
      </w:r>
    </w:p>
    <w:p>
      <w:pPr>
        <w:pStyle w:val="Proof"/>
      </w:pPr>
      <w:r>
        <w:rPr>
          <w:b/>
        </w:rPr>
        <w:t xml:space="preserve">Proof. </w:t>
      </w:r>
      <w:r>
        <w:t>Translation invariance of the local Cayley graph gives the displayed local table from the three closed weights Aᵢ,Cᵢ,Fᵢ. The global solved set is the union of two product singletons: ∏ᵢ{00} and ∏ᵢ{11}. Theorem 1 therefore gives the minimum of the two targetwise sums. ∎</w:t>
      </w:r>
    </w:p>
    <w:p>
      <w:pPr>
        <w:pStyle w:val="Remark"/>
      </w:pPr>
      <w:r>
        <w:rPr>
          <w:b/>
          <w:i/>
        </w:rPr>
        <w:t xml:space="preserve">Remark 3 (The missing triangle closures are not optional). </w:t>
      </w:r>
      <w:r>
        <w:rPr>
          <w:i/>
        </w:rPr>
        <w:t>Closing only the paired cost F=min(f,hᵃ+hᶜ) is insufficient. For example, take f=1, hᵃ=1, hᶜ=3. Then 01→00 costs 2 by 01→10 (paired flip) followed by 10→00 (a-toggle), not the raw cost hᶜ=3. With two orbits in states 01 and 10, the partially closed formula gives 4 whereas the true optimum is 3. Theorem 5 closes all three primitive directions and removes this failure.</w:t>
      </w:r>
    </w:p>
    <w:p>
      <w:pPr/>
      <w:r>
        <w:t>When f=hᵃ=hᶜ=1, A=C=F=1. The joint optimum reduces to wt(Db)+min(n₀₀,n₁₁), where n₀₀ and n₁₁ count already symmetric clean and dirty pairs. This can be strictly smaller than a sequential lower-only repair because the reversible model is allowed to choose the orientation of each asymmetric repair.</w:t>
      </w:r>
    </w:p>
    <w:p>
      <w:pPr>
        <w:pStyle w:val="Heading1"/>
      </w:pPr>
      <w:r>
        <w:t>6. Irreversible lower-only repairs</w:t>
      </w:r>
    </w:p>
    <w:p>
      <w:pPr/>
      <w:r>
        <w:t>A repair operation in an application may be irreversible. The simplest canonical model has two unit-cost primitives on each orbit: (i) a reversible paired flip (a,c)↦(a+1,c+1); and (ii) a one-member heal 1→0 on either coordinate, available only when that coordinate is 1. The induced state graph is directed because a heal has no one-step inverse.</w:t>
      </w:r>
    </w:p>
    <w:p>
      <w:pPr>
        <w:pStyle w:val="Theorem"/>
        <w:shd w:fill="F3F5F7"/>
        <w:pBdr>
          <w:left w:val="single" w:sz="10" w:space="5" w:color="7F8C8D"/>
        </w:pBdr>
      </w:pPr>
      <w:r>
        <w:rPr>
          <w:b/>
        </w:rPr>
        <w:t xml:space="preserve">Theorem 6 (Exact directed canonical decoder). </w:t>
      </w:r>
      <w:r>
        <w:t>Let n₀₀,n₁₁,nA denote the numbers of local states 00, 11, and asymmetric states {01,10}. In the directed lower-only model above, the exact cost to the solved set {(00)ᴾ,(11)ᴾ} is</w:t>
        <w:br/>
        <w:br/>
        <w:t>Cdir = min{n₁₁+nA, n₀₀+2nA}</w:t>
        <w:br/>
        <w:t xml:space="preserve">      = nA + min{n₁₁, P−n₁₁}.</w:t>
        <w:br/>
        <w:br/>
        <w:t>Equivalently, if all asymmetric pairs are first healed to 00, then nA=wt(Db), the resulting symmetric orbit vector has k=n₁₁, and Cdir=wt(Db)+min(k,P−k).</w:t>
      </w:r>
    </w:p>
    <w:p>
      <w:pPr>
        <w:pStyle w:val="Proof"/>
      </w:pPr>
      <w:r>
        <w:rPr>
          <w:b/>
        </w:rPr>
        <w:t xml:space="preserve">Proof. </w:t>
      </w:r>
      <w:r>
        <w:t>The local directed distances to 00 are 0,1,1,1 for 00,11,01,10: a paired flip handles 11 and one heal handles each asymmetric state. The local distances to 11 are 1,0,2,2: 00 reaches 11 by one paired flip, whereas an asymmetric state must first heal to 00 and then flip to 11. Theorem 1 applied to the two global product targets gives min{n₁₁+nA,n₀₀+2nA}. Since P=n₀₀+n₁₁+nA, the second form follows. ∎</w:t>
      </w:r>
    </w:p>
    <w:p>
      <w:pPr/>
      <w:r>
        <w:t>This theorem gives a rigorous version of the sequential planner used by lower-only implementations. It also shows why importing the reversible weighted formula into a directed repair system is conceptually wrong even when the numerical answers happen to coincide in a special case.</w:t>
      </w:r>
    </w:p>
    <w:p>
      <w:r>
        <w:br w:type="page"/>
      </w:r>
    </w:p>
    <w:p>
      <w:pPr>
        <w:pStyle w:val="Heading2"/>
      </w:pPr>
      <w:r>
        <w:t>6.1 Decoder summary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2412"/>
            <w:vAlign w:val="center"/>
            <w:shd w:fill="D9E2F3"/>
          </w:tcPr>
          <w:p>
            <w:pPr>
              <w:spacing w:after="0"/>
            </w:pPr>
            <w:r/>
            <w:r>
              <w:rPr>
                <w:rFonts w:ascii="Times New Roman" w:hAnsi="Times New Roman"/>
                <w:b/>
                <w:sz w:val="17"/>
              </w:rPr>
              <w:t>Model</w:t>
            </w:r>
          </w:p>
        </w:tc>
        <w:tc>
          <w:tcPr>
            <w:tcW w:type="dxa" w:w="2412"/>
            <w:vAlign w:val="center"/>
            <w:shd w:fill="D9E2F3"/>
          </w:tcPr>
          <w:p>
            <w:pPr>
              <w:spacing w:after="0"/>
            </w:pPr>
            <w:r/>
            <w:r>
              <w:rPr>
                <w:rFonts w:ascii="Times New Roman" w:hAnsi="Times New Roman"/>
                <w:b/>
                <w:sz w:val="17"/>
              </w:rPr>
              <w:t>Local structure</w:t>
            </w:r>
          </w:p>
        </w:tc>
        <w:tc>
          <w:tcPr>
            <w:tcW w:type="dxa" w:w="2412"/>
            <w:vAlign w:val="center"/>
            <w:shd w:fill="D9E2F3"/>
          </w:tcPr>
          <w:p>
            <w:pPr>
              <w:spacing w:after="0"/>
            </w:pPr>
            <w:r/>
            <w:r>
              <w:rPr>
                <w:rFonts w:ascii="Times New Roman" w:hAnsi="Times New Roman"/>
                <w:b/>
                <w:sz w:val="17"/>
              </w:rPr>
              <w:t>Target</w:t>
            </w:r>
          </w:p>
        </w:tc>
        <w:tc>
          <w:tcPr>
            <w:tcW w:type="dxa" w:w="2412"/>
            <w:vAlign w:val="center"/>
            <w:shd w:fill="D9E2F3"/>
          </w:tcPr>
          <w:p>
            <w:pPr>
              <w:spacing w:after="0"/>
            </w:pPr>
            <w:r/>
            <w:r>
              <w:rPr>
                <w:rFonts w:ascii="Times New Roman" w:hAnsi="Times New Roman"/>
                <w:b/>
                <w:sz w:val="17"/>
              </w:rPr>
              <w:t>Exact cost</w:t>
            </w:r>
          </w:p>
        </w:tc>
      </w:tr>
      <w:tr>
        <w:trPr>
          <w:cantSplit/>
        </w:trPr>
        <w:tc>
          <w:tcPr>
            <w:tcW w:type="dxa" w:w="2412"/>
            <w:vAlign w:val="center"/>
          </w:tcPr>
          <w:p>
            <w:pPr>
              <w:spacing w:after="0"/>
            </w:pPr>
            <w:r/>
            <w:r>
              <w:rPr>
                <w:rFonts w:ascii="Times New Roman" w:hAnsi="Times New Roman"/>
                <w:b w:val="0"/>
                <w:sz w:val="16"/>
              </w:rPr>
              <w:t>Unit one-member repair</w:t>
            </w:r>
          </w:p>
        </w:tc>
        <w:tc>
          <w:tcPr>
            <w:tcW w:type="dxa" w:w="2412"/>
            <w:vAlign w:val="center"/>
          </w:tcPr>
          <w:p>
            <w:pPr>
              <w:spacing w:after="0"/>
            </w:pPr>
            <w:r/>
            <w:r>
              <w:rPr>
                <w:rFonts w:ascii="Times New Roman" w:hAnsi="Times New Roman"/>
                <w:b w:val="0"/>
                <w:sz w:val="16"/>
              </w:rPr>
              <w:t>P independent 2-point blocks</w:t>
            </w:r>
          </w:p>
        </w:tc>
        <w:tc>
          <w:tcPr>
            <w:tcW w:type="dxa" w:w="2412"/>
            <w:vAlign w:val="center"/>
          </w:tcPr>
          <w:p>
            <w:pPr>
              <w:spacing w:after="0"/>
            </w:pPr>
            <w:r/>
            <w:r>
              <w:rPr>
                <w:rFonts w:ascii="Times New Roman" w:hAnsi="Times New Roman"/>
                <w:b w:val="0"/>
                <w:sz w:val="16"/>
              </w:rPr>
              <w:t>τ-invariant sector S</w:t>
            </w:r>
          </w:p>
        </w:tc>
        <w:tc>
          <w:tcPr>
            <w:tcW w:type="dxa" w:w="2412"/>
            <w:vAlign w:val="center"/>
          </w:tcPr>
          <w:p>
            <w:pPr>
              <w:spacing w:after="0"/>
            </w:pPr>
            <w:r/>
            <w:r>
              <w:rPr>
                <w:rFonts w:ascii="Times New Roman" w:hAnsi="Times New Roman"/>
                <w:b w:val="0"/>
                <w:sz w:val="16"/>
              </w:rPr>
              <w:t>wt(Db)</w:t>
            </w:r>
          </w:p>
        </w:tc>
      </w:tr>
      <w:tr>
        <w:trPr>
          <w:cantSplit/>
        </w:trPr>
        <w:tc>
          <w:tcPr>
            <w:tcW w:type="dxa" w:w="2412"/>
            <w:vAlign w:val="center"/>
          </w:tcPr>
          <w:p>
            <w:pPr>
              <w:spacing w:after="0"/>
            </w:pPr>
            <w:r/>
            <w:r>
              <w:rPr>
                <w:rFonts w:ascii="Times New Roman" w:hAnsi="Times New Roman"/>
                <w:b w:val="0"/>
                <w:sz w:val="16"/>
              </w:rPr>
              <w:t>Symmetric completion</w:t>
            </w:r>
          </w:p>
        </w:tc>
        <w:tc>
          <w:tcPr>
            <w:tcW w:type="dxa" w:w="2412"/>
            <w:vAlign w:val="center"/>
          </w:tcPr>
          <w:p>
            <w:pPr>
              <w:spacing w:after="0"/>
            </w:pPr>
            <w:r/>
            <w:r>
              <w:rPr>
                <w:rFonts w:ascii="Times New Roman" w:hAnsi="Times New Roman"/>
                <w:b w:val="0"/>
                <w:sz w:val="16"/>
              </w:rPr>
              <w:t>P orbit bits</w:t>
            </w:r>
          </w:p>
        </w:tc>
        <w:tc>
          <w:tcPr>
            <w:tcW w:type="dxa" w:w="2412"/>
            <w:vAlign w:val="center"/>
          </w:tcPr>
          <w:p>
            <w:pPr>
              <w:spacing w:after="0"/>
            </w:pPr>
            <w:r/>
            <w:r>
              <w:rPr>
                <w:rFonts w:ascii="Times New Roman" w:hAnsi="Times New Roman"/>
                <w:b w:val="0"/>
                <w:sz w:val="16"/>
              </w:rPr>
              <w:t>{0ᴾ,1ᴾ}</w:t>
            </w:r>
          </w:p>
        </w:tc>
        <w:tc>
          <w:tcPr>
            <w:tcW w:type="dxa" w:w="2412"/>
            <w:vAlign w:val="center"/>
          </w:tcPr>
          <w:p>
            <w:pPr>
              <w:spacing w:after="0"/>
            </w:pPr>
            <w:r/>
            <w:r>
              <w:rPr>
                <w:rFonts w:ascii="Times New Roman" w:hAnsi="Times New Roman"/>
                <w:b w:val="0"/>
                <w:sz w:val="16"/>
              </w:rPr>
              <w:t>min(k,P−k)</w:t>
            </w:r>
          </w:p>
        </w:tc>
      </w:tr>
      <w:tr>
        <w:trPr>
          <w:cantSplit/>
        </w:trPr>
        <w:tc>
          <w:tcPr>
            <w:tcW w:type="dxa" w:w="2412"/>
            <w:vAlign w:val="center"/>
          </w:tcPr>
          <w:p>
            <w:pPr>
              <w:spacing w:after="0"/>
            </w:pPr>
            <w:r/>
            <w:r>
              <w:rPr>
                <w:rFonts w:ascii="Times New Roman" w:hAnsi="Times New Roman"/>
                <w:b w:val="0"/>
                <w:sz w:val="16"/>
              </w:rPr>
              <w:t>Weighted reversible</w:t>
            </w:r>
          </w:p>
        </w:tc>
        <w:tc>
          <w:tcPr>
            <w:tcW w:type="dxa" w:w="2412"/>
            <w:vAlign w:val="center"/>
          </w:tcPr>
          <w:p>
            <w:pPr>
              <w:spacing w:after="0"/>
            </w:pPr>
            <w:r/>
            <w:r>
              <w:rPr>
                <w:rFonts w:ascii="Times New Roman" w:hAnsi="Times New Roman"/>
                <w:b w:val="0"/>
                <w:sz w:val="16"/>
              </w:rPr>
              <w:t>Weighted Cayley graph F₂² per orbit</w:t>
            </w:r>
          </w:p>
        </w:tc>
        <w:tc>
          <w:tcPr>
            <w:tcW w:type="dxa" w:w="2412"/>
            <w:vAlign w:val="center"/>
          </w:tcPr>
          <w:p>
            <w:pPr>
              <w:spacing w:after="0"/>
            </w:pPr>
            <w:r/>
            <w:r>
              <w:rPr>
                <w:rFonts w:ascii="Times New Roman" w:hAnsi="Times New Roman"/>
                <w:b w:val="0"/>
                <w:sz w:val="16"/>
              </w:rPr>
              <w:t>{(00)ᴾ,(11)ᴾ}</w:t>
            </w:r>
          </w:p>
        </w:tc>
        <w:tc>
          <w:tcPr>
            <w:tcW w:type="dxa" w:w="2412"/>
            <w:vAlign w:val="center"/>
          </w:tcPr>
          <w:p>
            <w:pPr>
              <w:spacing w:after="0"/>
            </w:pPr>
            <w:r/>
            <w:r>
              <w:rPr>
                <w:rFonts w:ascii="Times New Roman" w:hAnsi="Times New Roman"/>
                <w:b w:val="0"/>
                <w:sz w:val="16"/>
              </w:rPr>
              <w:t>min of two sums using Aᵢ,Cᵢ,Fᵢ</w:t>
            </w:r>
          </w:p>
        </w:tc>
      </w:tr>
      <w:tr>
        <w:trPr>
          <w:cantSplit/>
        </w:trPr>
        <w:tc>
          <w:tcPr>
            <w:tcW w:type="dxa" w:w="2412"/>
            <w:vAlign w:val="center"/>
          </w:tcPr>
          <w:p>
            <w:pPr>
              <w:spacing w:after="0"/>
            </w:pPr>
            <w:r/>
            <w:r>
              <w:rPr>
                <w:rFonts w:ascii="Times New Roman" w:hAnsi="Times New Roman"/>
                <w:b w:val="0"/>
                <w:sz w:val="16"/>
              </w:rPr>
              <w:t>Lower-only directed</w:t>
            </w:r>
          </w:p>
        </w:tc>
        <w:tc>
          <w:tcPr>
            <w:tcW w:type="dxa" w:w="2412"/>
            <w:vAlign w:val="center"/>
          </w:tcPr>
          <w:p>
            <w:pPr>
              <w:spacing w:after="0"/>
            </w:pPr>
            <w:r/>
            <w:r>
              <w:rPr>
                <w:rFonts w:ascii="Times New Roman" w:hAnsi="Times New Roman"/>
                <w:b w:val="0"/>
                <w:sz w:val="16"/>
              </w:rPr>
              <w:t>Directed 4-state graph per orbit</w:t>
            </w:r>
          </w:p>
        </w:tc>
        <w:tc>
          <w:tcPr>
            <w:tcW w:type="dxa" w:w="2412"/>
            <w:vAlign w:val="center"/>
          </w:tcPr>
          <w:p>
            <w:pPr>
              <w:spacing w:after="0"/>
            </w:pPr>
            <w:r/>
            <w:r>
              <w:rPr>
                <w:rFonts w:ascii="Times New Roman" w:hAnsi="Times New Roman"/>
                <w:b w:val="0"/>
                <w:sz w:val="16"/>
              </w:rPr>
              <w:t>{(00)ᴾ,(11)ᴾ}</w:t>
            </w:r>
          </w:p>
        </w:tc>
        <w:tc>
          <w:tcPr>
            <w:tcW w:type="dxa" w:w="2412"/>
            <w:vAlign w:val="center"/>
          </w:tcPr>
          <w:p>
            <w:pPr>
              <w:spacing w:after="0"/>
            </w:pPr>
            <w:r/>
            <w:r>
              <w:rPr>
                <w:rFonts w:ascii="Times New Roman" w:hAnsi="Times New Roman"/>
                <w:b w:val="0"/>
                <w:sz w:val="16"/>
              </w:rPr>
              <w:t>nA+min(n₁₁,P−n₁₁)</w:t>
            </w:r>
          </w:p>
        </w:tc>
      </w:tr>
    </w:tbl>
    <w:p>
      <w:pPr>
        <w:pStyle w:val="SmallText"/>
        <w:jc w:val="center"/>
      </w:pPr>
      <w:r>
        <w:t>Table 1. Exact decoders and the operation assumptions under which each formula is valid.</w:t>
      </w:r>
    </w:p>
    <w:p>
      <w:pPr>
        <w:pStyle w:val="Heading1"/>
      </w:pPr>
      <w:r>
        <w:t>7. Coding-theoretic interpretation and operation geometry</w:t>
      </w:r>
    </w:p>
    <w:p>
      <w:pPr/>
      <w:r>
        <w:t>The free-involution code is classical. The first stage is Rep₂ ⊕ ··· ⊕ Rep₂; the second is Repₚ. The contribution is not a new code family, but the fact that the application symmetry generates these blocks and the operation graph determines the relevant notion of distance. Under ordinary Hamming distance on 2P coordinates a paired flip changes two coordinates. Under an operation graph it may be one atomic move. Conversely, an irreversible heal gives a directed cost that is not a metric at all.</w:t>
      </w:r>
    </w:p>
    <w:p>
      <w:pPr/>
      <w:r>
        <w:t>This places the construction adjacent to, rather than outside, the literature on alternative coding metrics. Poset-block spaces begin from a direct sum of coordinate blocks (Alves, Panek, and Firer 2008). Support-respecting metrics can be represented by weighted Hamming-cube edges and combined by conditional constructions (Machado and Firer 2020). Directed-graph metrics and weighted poset metrics supply additional non-Hamming geometries (Hyun, Kim, and Park 2017). The present framework specializes these ideas to blocks generated canonically by a group action and uses the operation graph itself—not an a priori metric family—as the primitive object.</w:t>
      </w:r>
    </w:p>
    <w:p>
      <w:pPr/>
      <w:r>
        <w:t>The factorization criterion is correspondingly transparent: if operations are block-local and costs add, a product or finite-union-of-products target decodes by Theorem 1. If a legal move simultaneously changes two distinct group orbits, if its cost depends on history or another block, or if the target imposes genuinely cross-orbit constraints, the product proof no longer applies.</w:t>
      </w:r>
    </w:p>
    <w:p>
      <w:pPr>
        <w:pStyle w:val="Heading1"/>
      </w:pPr>
      <w:r>
        <w:t>8. Geometric realization on the real projective plane</w:t>
      </w:r>
    </w:p>
    <w:p>
      <w:pPr>
        <w:pStyle w:val="Heading2"/>
      </w:pPr>
      <w:r>
        <w:t>8.1 Cellular deck-invariant descent</w:t>
      </w:r>
    </w:p>
    <w:p>
      <w:pPr/>
      <w:r>
        <w:t>Let π:S²→RP² be the antipodal double cover and let K be a finite triangulation of RP² with lifted triangulation K̃ on S². Fix a cochain degree k∈{0,1,2}, and let X be the set of k-simplices of K̃. The deck transformation τ acts freely on X, with each downstairs k-simplex having exactly two lifts. A binary state b∈F₂ˣ is then a cellular k-cochain on K̃.</w:t>
      </w:r>
    </w:p>
    <w:p>
      <w:pPr>
        <w:pStyle w:val="Theorem"/>
        <w:shd w:fill="F3F5F7"/>
        <w:pBdr>
          <w:left w:val="single" w:sz="10" w:space="5" w:color="7F8C8D"/>
        </w:pBdr>
      </w:pPr>
      <w:r>
        <w:rPr>
          <w:b/>
        </w:rPr>
        <w:t xml:space="preserve">Theorem 7 (Deck-invariant cellular descent). </w:t>
      </w:r>
      <w:r>
        <w:t>A cochain b∈Cᵏ(K̃;F₂) is the pullback π* c of a unique cochain c∈Cᵏ(K;F₂) if and only if τ* b=b. In the orbit coordinates above, this is equivalent to Db=0.</w:t>
      </w:r>
    </w:p>
    <w:p>
      <w:pPr>
        <w:pStyle w:val="Proof"/>
      </w:pPr>
      <w:r>
        <w:rPr>
          <w:b/>
        </w:rPr>
        <w:t xml:space="preserve">Proof. </w:t>
      </w:r>
      <w:r>
        <w:t>If b=π*c, the two lifts of any downstairs k-simplex receive the same coefficient, so τ*b=b. Conversely, if b is deck-invariant, assign to each downstairs k-simplex the common coefficient of its two lifts. This defines c uniquely and π*c=b. The condition that each pair of lift coefficients agree is exactly Db=0. ∎</w:t>
      </w:r>
    </w:p>
    <w:p>
      <w:pPr/>
      <w:r>
        <w:t>Thus the defect has an exact geometric meaning in this specialization: it measures failure of the cochain to descend through the double cover. The statement is degree-specific. A generic set of ‘antipodal objects’ need not be a set of cells, and no chain/cochain interpretation should be asserted without that additional structure.</w:t>
      </w:r>
    </w:p>
    <w:p>
      <w:pPr>
        <w:pStyle w:val="Heading2"/>
      </w:pPr>
      <w:r>
        <w:t>8.2 The global complement in top degree</w:t>
      </w:r>
    </w:p>
    <w:p>
      <w:pPr/>
      <w:r>
        <w:t>Now specialize to k=2, so the orbit coordinates q index the triangles of K. Let γ*=the sum of f* over f∈K₂ be the all-ones top cochain. The cellular basis gives a coordinate identification ι:C²(K;F₂)→C₂(K;F₂), f*↦f. This is not a natural chain/cochain isomorphism and is not Poincaré duality; it is only a basis-dependent identification.</w:t>
      </w:r>
    </w:p>
    <w:p>
      <w:pPr>
        <w:pStyle w:val="Theorem"/>
        <w:shd w:fill="F3F5F7"/>
        <w:pBdr>
          <w:left w:val="single" w:sz="10" w:space="5" w:color="7F8C8D"/>
        </w:pBdr>
      </w:pPr>
      <w:r>
        <w:rPr>
          <w:b/>
        </w:rPr>
        <w:t xml:space="preserve">Proposition 8 (Top-degree interpretation of global complement). </w:t>
      </w:r>
      <w:r>
        <w:t>Under the basis identification ι, the all-ones top cochain γ* maps to the mod-2 fundamental 2-cycle of RP² and therefore represents the nonzero class [RP²]∈H₂(RP²;F₂)≅F₂.</w:t>
      </w:r>
    </w:p>
    <w:p>
      <w:pPr>
        <w:pStyle w:val="Proof"/>
      </w:pPr>
      <w:r>
        <w:rPr>
          <w:b/>
        </w:rPr>
        <w:t xml:space="preserve">Proof. </w:t>
      </w:r>
      <w:r>
        <w:t>In a triangulation of a closed surface, every edge is incident to exactly two triangles. Hence the boundary of the sum of all 2-simplices vanishes over F₂. Because K has no 3-simplices, this nonzero 2-cycle cannot be a 2-boundary. It therefore represents the mod-2 fundamental class. ∎</w:t>
      </w:r>
    </w:p>
    <w:p>
      <w:pPr/>
      <w:r>
        <w:t>Accordingly, when and only when the application’s orbit coordinates are top cells, adding the global-complement vector 1 to q has a top-homological interpretation under ι. The state vector is not literally a homology class, and the statement does not extend automatically to noncellular antipodal data.</w:t>
      </w:r>
    </w:p>
    <w:p>
      <w:pPr>
        <w:pStyle w:val="Heading2"/>
      </w:pPr>
      <w:r>
        <w:t>8.3 Distinction from projective-plane surface codes</w:t>
      </w:r>
    </w:p>
    <w:p>
      <w:pPr/>
      <w:r>
        <w:t>Projective-plane surface codes use incidence-coupled chain complexes and the essential mod-2 class in H₁(RP²;F₂) to encode logical information (Freedman and Meyer 2001; Bombín and Martin-Delgado 2007). The involution code here has block-diagonal checks Hτ=Iₚ⊗[1 1]. Its basic syndrome contains no spatially separated defects that must be connected by inferred chains. The fact that H₁(RP²;F₂) and H₂(RP²;F₂) are both one-dimensional does not make these structures interchangeable. The present construction is classical and is not a surface code or a quantum code.</w:t>
      </w:r>
    </w:p>
    <w:p>
      <w:pPr>
        <w:pStyle w:val="Heading1"/>
      </w:pPr>
      <w:r>
        <w:t>9. Free (Z₂)ʳ-actions and cubical cochains</w:t>
      </w:r>
    </w:p>
    <w:p>
      <w:pPr>
        <w:pStyle w:val="Heading2"/>
      </w:pPr>
      <w:r>
        <w:t>9.1 Free action and cube structure</w:t>
      </w:r>
    </w:p>
    <w:p>
      <w:pPr/>
      <w:r>
        <w:t>Let G=(Z₂)ʳ act freely on X with commuting involutive generators τ₁,…,τᵣ. Freeness of the full G-action is essential: fixed-point-freeness of the individual generators alone does not rule out a fixed point of a product or a dependency among generators. Under a free action every orbit has 2ʳ elements and is a G-torsor. Choosing a basepoint identifies an orbit noncanonically with the vertex set F₂ʳ of the r-cube.</w:t>
      </w:r>
    </w:p>
    <w:p>
      <w:pPr/>
      <w:r>
        <w:t>Write Iʳ for the filled cubical complex and Qᵣ=(Iʳ) (one-skeleton) for its one-skeleton. These must be distinguished. Iʳ is contractible, while Qᵣ has a nontrivial cycle space for r≥2.</w:t>
      </w:r>
    </w:p>
    <w:p>
      <w:pPr>
        <w:pStyle w:val="Heading2"/>
      </w:pPr>
      <w:r>
        <w:t>9.2 The defect field as a coboundary</w:t>
      </w:r>
    </w:p>
    <w:p>
      <w:pPr/>
      <w:r>
        <w:t>On one G-orbit, regard b:F₂ʳ→F₂ as a 0-cochain. For each undirected cube edge e={v,v+eⱼ}, define</w:t>
      </w:r>
    </w:p>
    <w:p>
      <w:pPr>
        <w:pStyle w:val="Equation"/>
      </w:pPr>
      <w:r>
        <w:rPr>
          <w:rFonts w:ascii="Cambria Math" w:hAnsi="Cambria Math"/>
          <w:sz w:val="21"/>
        </w:rPr>
        <w:t>Δ(e)=b(v)+b(v+eⱼ).</w:t>
      </w:r>
    </w:p>
    <w:p>
      <w:pPr/>
      <w:r>
        <w:t>Because coefficients are in F₂, edge orientation is immaterial. This gives exactly Δ=δ⁰b∈C¹(Iʳ;F₂). Around every square the four edge values sum to zero; equivalently δ¹δ⁰=0. Thus every state-induced defect is both a 1-coboundary and a 1-cocycle.</w:t>
      </w:r>
    </w:p>
    <w:p>
      <w:pPr>
        <w:pStyle w:val="Heading2"/>
      </w:pPr>
      <w:r>
        <w:t>9.3 Exact orbit repair</w:t>
      </w:r>
    </w:p>
    <w:p>
      <w:pPr>
        <w:pStyle w:val="Theorem"/>
        <w:shd w:fill="F3F5F7"/>
        <w:pBdr>
          <w:left w:val="single" w:sz="10" w:space="5" w:color="7F8C8D"/>
        </w:pBdr>
      </w:pPr>
      <w:r>
        <w:rPr>
          <w:b/>
        </w:rPr>
        <w:t xml:space="preserve">Theorem 9 (Exact repair under a free (Z₂)ʳ-action). </w:t>
      </w:r>
      <w:r>
        <w:t>Let the G-action on X be free, and let unit-cost single-vertex toggles be the only repair moves. On each orbit o, let kₒ be the number of vertices with b=1. The exact cost to the G-invariant sector is</w:t>
        <w:br/>
        <w:br/>
        <w:t>Csec = Σₒ min{kₒ, 2ʳ−kₒ}.</w:t>
        <w:br/>
        <w:br/>
        <w:t>If the decoder receives only an exact edge defect Δ=δ⁰b rather than b itself, then b is recoverable on each connected orbit up to an additive constant; choosing the lighter of b and b+1 gives the same formula.</w:t>
      </w:r>
    </w:p>
    <w:p>
      <w:pPr>
        <w:pStyle w:val="Proof"/>
      </w:pPr>
      <w:r>
        <w:rPr>
          <w:b/>
        </w:rPr>
        <w:t xml:space="preserve">Proof. </w:t>
      </w:r>
      <w:r>
        <w:t>A state is G-invariant on an orbit iff it is constant there, because G acts transitively. Thus the two invariant local targets are 0…0 (2ʳ entries) and 1…1 (2ʳ entries), at Hamming distances kₒ and 2ʳ−kₒ. Distinct G-orbits are disjoint operation blocks, so Theorem 1 gives the sum. If only Δ is known, fix b at one base vertex and integrate Δ along cube edges. Exactness ensures path independence; changing the base value replaces b by b+1. ∎</w:t>
      </w:r>
    </w:p>
    <w:p>
      <w:pPr/>
      <w:r>
        <w:t>For r=1, an orbit has two vertices and min(k,2−k) is 1 exactly when the pair is asymmetric, recovering Theorem 3. For r≥2, a vertex toggle changes r incident edge-defect coordinates at once, so coordinatewise syndrome factorization disappears. Orbitwise factorization nevertheless survives.</w:t>
      </w:r>
    </w:p>
    <w:p>
      <w:pPr>
        <w:pStyle w:val="Heading1"/>
      </w:pPr>
      <w:r>
        <w:t>10. Independent edge data: cohomology and signed frustration</w:t>
      </w:r>
    </w:p>
    <w:p>
      <w:pPr>
        <w:pStyle w:val="Heading2"/>
      </w:pPr>
      <w:r>
        <w:t>10.1 Closed, exact, and arbitrary edge fields</w:t>
      </w:r>
    </w:p>
    <w:p>
      <w:pPr/>
      <w:r>
        <w:t>Once an edge field η∈C¹ is treated as independently measured data rather than as δ⁰b by definition, three spaces must be kept distinct: Z¹=ker δ¹ (closed fields), B¹=im δ⁰ (exact fields), and H¹=Z¹/B¹. A nonzero class in H¹ obstructs integration of a closed field. It does not, however, characterize all decoding difficulty, because arbitrary noisy data can fail to be closed even when H¹=0.</w:t>
      </w:r>
    </w:p>
    <w:p>
      <w:pPr/>
      <w:r>
        <w:t>For the filled cube Iʳ, H¹(Iʳ;F₂)=0, so every closed edge field is exact. For the graph Qᵣ, by contrast, dim H¹(Qᵣ;F₂)=|E|−|V|+1=r2ʳ⁻¹−2ʳ+1=2ʳ⁻¹(r−2)+1 for r≥2. The difference is precisely why one must not substitute the one-skeleton for the filled cubical complex when discussing cohomological obstruction.</w:t>
      </w:r>
    </w:p>
    <w:p>
      <w:pPr>
        <w:pStyle w:val="Heading2"/>
      </w:pPr>
      <w:r>
        <w:t>10.2 Nearest coboundary equals signed-graph frustration</w:t>
      </w:r>
    </w:p>
    <w:p>
      <w:pPr>
        <w:pStyle w:val="Theorem"/>
        <w:shd w:fill="F3F5F7"/>
        <w:pBdr>
          <w:left w:val="single" w:sz="10" w:space="5" w:color="7F8C8D"/>
        </w:pBdr>
      </w:pPr>
      <w:r>
        <w:rPr>
          <w:b/>
        </w:rPr>
        <w:t xml:space="preserve">Theorem 10 (Nearest-coboundary / frustration equivalence). </w:t>
      </w:r>
      <w:r>
        <w:t>Let L=(V,E) be any finite connected graph and let η∈F₂ᴱ be an observed edge field. With Hamming edge cost,</w:t>
        <w:br/>
        <w:br/>
        <w:t>dH(η,B¹) = minimum over x∈F₂ⱽ of |{uv∈E : η(uv)≠x(u)+x(v) (mod 2)}|.</w:t>
        <w:br/>
        <w:br/>
        <w:t>Assign each edge the sign σ(uv)=1−2η(uv) and each vertex the spin s(v)=1−2x(v). Then the same objective is the minimum number of edges for which σ(uv)≠s(u)s(v). Hence dH(η,B¹) is the frustration index (line index of balance) of the corresponding signed graph, under the standard edge-sign-flip convention. Positive edge weights give the weighted frustration objective.</w:t>
      </w:r>
    </w:p>
    <w:p>
      <w:pPr>
        <w:pStyle w:val="Proof"/>
      </w:pPr>
      <w:r>
        <w:rPr>
          <w:b/>
        </w:rPr>
        <w:t xml:space="preserve">Proof. </w:t>
      </w:r>
      <w:r>
        <w:t>Every exact 1-cochain has the form β=δ⁰x, with β(uv)=x(u)+x(v) modulo two. Therefore the Hamming distance from η to B¹ is exactly the minimum number of edges on which η and δ⁰x disagree. For binary x, the sign associated with x(u)+x(v) modulo two is s(u)s(v), so disagreement is equivalent to σ(uv)≠s(u)s(v). A signed graph is balanced precisely when such a vertex signing satisfies every edge; minimizing the unsatisfied edges is its frustration index. ∎</w:t>
      </w:r>
    </w:p>
    <w:p>
      <w:pPr/>
      <w:r>
        <w:t>This result identifies the first genuinely nontrivial optimization problem in the hierarchy. It is not made hard by nonzero H¹ alone: even on a filled cube with H¹=0, noisy η may violate square closure and nearest-exact decoding is a global edge-consistency problem. The signed-graph literature therefore supplies the correct prior art and algorithmic baseline (Aref, Mason, and Wilson 2020).</w:t>
      </w:r>
    </w:p>
    <w:p>
      <w:pPr>
        <w:pStyle w:val="Heading2"/>
      </w:pPr>
      <w:r>
        <w:t>10.3 Four regimes of factorization</w:t>
      </w:r>
    </w:p>
    <w:p>
      <w:pPr>
        <w:pStyle w:val="ListNumber"/>
      </w:pPr>
      <w:r>
        <w:t>C₂ exact-state regime: each one-member edit changes one defect coordinate; decoding factorizes coordinatewise and costs wt(Db).</w:t>
      </w:r>
    </w:p>
    <w:p>
      <w:pPr>
        <w:pStyle w:val="ListNumber"/>
      </w:pPr>
      <w:r>
        <w:t>(Z₂)ʳ exact-state or exact-syndrome regime: edge checks are coupled inside each G-orbit by δ¹δ⁰=0, but distinct orbits remain independent and exact integration yields a closed form.</w:t>
      </w:r>
    </w:p>
    <w:p>
      <w:pPr>
        <w:pStyle w:val="ListNumber"/>
      </w:pPr>
      <w:r>
        <w:t>Independent noisy-edge regime: nearest-coboundary decoding can require nontrivial signed-frustration optimization inside each orbit, while the total objective still sums over disconnected orbits.</w:t>
      </w:r>
    </w:p>
    <w:p>
      <w:pPr>
        <w:pStyle w:val="ListNumber"/>
      </w:pPr>
      <w:r>
        <w:t>Cross-orbit regime: generators, constraints, or costs couple distinct orbits. The Cartesian product operation graph is lost, so Theorem 1 no longer gives an orbitwise sum and genuinely nonlocal decoding can appear.</w:t>
      </w:r>
    </w:p>
    <w:p>
      <w:pPr/>
      <w:r>
        <w:t>This four-regime statement is the paper’s main structural conclusion. The first transition removes coordinatewise independence; the second removes closed-form within-orbit integration under noisy measurements; the third removes orbitwise independence itself.</w:t>
      </w:r>
    </w:p>
    <w:p>
      <w:pPr>
        <w:pStyle w:val="Heading1"/>
      </w:pPr>
      <w:r>
        <w:t>11. Boundaries of the theorem and extensions</w:t>
      </w:r>
    </w:p>
    <w:p>
      <w:pPr>
        <w:pStyle w:val="Heading2"/>
      </w:pPr>
      <w:r>
        <w:t>11.1 Cross-orbit constraints</w:t>
      </w:r>
    </w:p>
    <w:p>
      <w:pPr/>
      <w:r>
        <w:t>A stacked check system such as H=[Hτ;H∂] does not automatically inherit a two-stage optimum. A local involution correction can change the residual seen by H∂, and a globally optimal path may deliberately leave a locally more expensive representative because it is cheaper for the coupled constraints. Exact preprocessing is therefore justified only when the operation graph and target constraints admit a product or finite-union-of-products representation to which Theorem 1 applies, or when an additional decomposition theorem is proved for the specific coupling. No stronger hybrid-code claim is made here.</w:t>
      </w:r>
    </w:p>
    <w:p>
      <w:pPr>
        <w:pStyle w:val="Heading2"/>
      </w:pPr>
      <w:r>
        <w:t>11.2 Larger alphabets</w:t>
      </w:r>
    </w:p>
    <w:p>
      <w:pPr/>
      <w:r>
        <w:t>If b:X→A for an abelian group A, define an oriented orbit defect Δᵢ=b(xᵢ)−b(τxᵢ). Common translation of both members preserves Δᵢ, and the invariant sector remains equality within each orbit. Unlike the binary case, reversing the chosen orbit representative changes the sign of Δᵢ unless A has exponent two. The repair problem is then controlled by the chosen Cayley or directed operation cost on A. Orbit factorization can survive, but no universal wt(Δ) formula remains without specifying that geometry.</w:t>
      </w:r>
    </w:p>
    <w:p>
      <w:pPr>
        <w:pStyle w:val="Heading2"/>
      </w:pPr>
      <w:r>
        <w:t>11.3 Projective and axial data</w:t>
      </w:r>
    </w:p>
    <w:p>
      <w:pPr/>
      <w:r>
        <w:t>For unsigned directions v∼−v, the natural sample space is projective rather than spherical. The identification layer of the present framework—canonical representatives, antipodal identity, and projective distance d([v],[w])=min{d(v,w),d(v,−w)}—is standard in directional statistics (Bingham 1974; Mardia 1975; Kurz et al. 2019). This is an application of the quotient representation only; it does not imply that such a data set has the binary decoder or global-complement target studied above.</w:t>
      </w:r>
    </w:p>
    <w:p>
      <w:pPr>
        <w:pStyle w:val="Heading1"/>
      </w:pPr>
      <w:r>
        <w:t>12. Implementation and reproducibility</w:t>
      </w:r>
    </w:p>
    <w:p>
      <w:pPr/>
      <w:r>
        <w:t>The mathematical kernel requires only an orbit identification and an operation model. For the free-involution case a generic implementation can expose partner(id), defect(state), sectorRepair(state), and completion(state), while domain-specific geometry is confined to canonical identity and partner construction. The asymptotic cost of the closed-form C₂ decoders is O(P) time and O(P) storage, or O(1) auxiliary storage if repairs are streamed.</w:t>
      </w:r>
    </w:p>
    <w:p>
      <w:pPr/>
      <w:r>
        <w:t>The motivating WORM implementation uses motion-stable identifiers to keep antipodal pairing invariant under object motion and a lower-only heal together with paired flips. The relevant mathematical statement for that operation semantics is Theorem 6, not the reversible weighted theorem. Implementation details are intentionally treated as a case study rather than as evidence for mathematical novelty.</w:t>
      </w:r>
    </w:p>
    <w:p>
      <w:pPr>
        <w:pStyle w:val="Heading2"/>
      </w:pPr>
      <w:r>
        <w:t>12.1 Independent computational validation</w:t>
      </w:r>
    </w:p>
    <w:p>
      <w:pPr/>
      <w:r>
        <w:t>The closed forms were independently checked against brute-force shortest-path computations on small state spaces. The validation is corroborative rather than a substitute for proof; its purpose is to catch specification mistakes, especially cost-model mistakes that can survive hand derivations. The accompanying verifier uses BFS or Dijkstra for the declared primitive operation graphs and does not call the closed-form decoder as an oracle.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2412"/>
            <w:vAlign w:val="center"/>
            <w:shd w:fill="D9E2F3"/>
          </w:tcPr>
          <w:p>
            <w:pPr>
              <w:spacing w:after="0"/>
            </w:pPr>
            <w:r/>
            <w:r>
              <w:rPr>
                <w:rFonts w:ascii="Times New Roman" w:hAnsi="Times New Roman"/>
                <w:b/>
                <w:sz w:val="17"/>
              </w:rPr>
              <w:t>Result checked</w:t>
            </w:r>
          </w:p>
        </w:tc>
        <w:tc>
          <w:tcPr>
            <w:tcW w:type="dxa" w:w="2412"/>
            <w:vAlign w:val="center"/>
            <w:shd w:fill="D9E2F3"/>
          </w:tcPr>
          <w:p>
            <w:pPr>
              <w:spacing w:after="0"/>
            </w:pPr>
            <w:r/>
            <w:r>
              <w:rPr>
                <w:rFonts w:ascii="Times New Roman" w:hAnsi="Times New Roman"/>
                <w:b/>
                <w:sz w:val="17"/>
              </w:rPr>
              <w:t>Independent method</w:t>
            </w:r>
          </w:p>
        </w:tc>
        <w:tc>
          <w:tcPr>
            <w:tcW w:type="dxa" w:w="2412"/>
            <w:vAlign w:val="center"/>
            <w:shd w:fill="D9E2F3"/>
          </w:tcPr>
          <w:p>
            <w:pPr>
              <w:spacing w:after="0"/>
            </w:pPr>
            <w:r/>
            <w:r>
              <w:rPr>
                <w:rFonts w:ascii="Times New Roman" w:hAnsi="Times New Roman"/>
                <w:b/>
                <w:sz w:val="17"/>
              </w:rPr>
              <w:t>Coverage in verifier</w:t>
            </w:r>
          </w:p>
        </w:tc>
        <w:tc>
          <w:tcPr>
            <w:tcW w:type="dxa" w:w="2412"/>
            <w:vAlign w:val="center"/>
            <w:shd w:fill="D9E2F3"/>
          </w:tcPr>
          <w:p>
            <w:pPr>
              <w:spacing w:after="0"/>
            </w:pPr>
            <w:r/>
            <w:r>
              <w:rPr>
                <w:rFonts w:ascii="Times New Roman" w:hAnsi="Times New Roman"/>
                <w:b/>
                <w:sz w:val="17"/>
              </w:rPr>
              <w:t>Outcome</w:t>
            </w:r>
          </w:p>
        </w:tc>
      </w:tr>
      <w:tr>
        <w:trPr>
          <w:cantSplit/>
        </w:trPr>
        <w:tc>
          <w:tcPr>
            <w:tcW w:type="dxa" w:w="2412"/>
            <w:vAlign w:val="center"/>
          </w:tcPr>
          <w:p>
            <w:pPr>
              <w:spacing w:after="0"/>
            </w:pPr>
            <w:r/>
            <w:r>
              <w:rPr>
                <w:rFonts w:ascii="Times New Roman" w:hAnsi="Times New Roman"/>
                <w:b w:val="0"/>
                <w:sz w:val="15"/>
              </w:rPr>
              <w:t>Theorem 3: d(b,S)=wt(Db)</w:t>
            </w:r>
          </w:p>
        </w:tc>
        <w:tc>
          <w:tcPr>
            <w:tcW w:type="dxa" w:w="2412"/>
            <w:vAlign w:val="center"/>
          </w:tcPr>
          <w:p>
            <w:pPr>
              <w:spacing w:after="0"/>
            </w:pPr>
            <w:r/>
            <w:r>
              <w:rPr>
                <w:rFonts w:ascii="Times New Roman" w:hAnsi="Times New Roman"/>
                <w:b w:val="0"/>
                <w:sz w:val="15"/>
              </w:rPr>
              <w:t>BFS over one-member toggles</w:t>
            </w:r>
          </w:p>
        </w:tc>
        <w:tc>
          <w:tcPr>
            <w:tcW w:type="dxa" w:w="2412"/>
            <w:vAlign w:val="center"/>
          </w:tcPr>
          <w:p>
            <w:pPr>
              <w:spacing w:after="0"/>
            </w:pPr>
            <w:r/>
            <w:r>
              <w:rPr>
                <w:rFonts w:ascii="Times New Roman" w:hAnsi="Times New Roman"/>
                <w:b w:val="0"/>
                <w:sz w:val="15"/>
              </w:rPr>
              <w:t>340 states, P=1,…,4</w:t>
            </w:r>
          </w:p>
        </w:tc>
        <w:tc>
          <w:tcPr>
            <w:tcW w:type="dxa" w:w="2412"/>
            <w:vAlign w:val="center"/>
          </w:tcPr>
          <w:p>
            <w:pPr>
              <w:spacing w:after="0"/>
            </w:pPr>
            <w:r/>
            <w:r>
              <w:rPr>
                <w:rFonts w:ascii="Times New Roman" w:hAnsi="Times New Roman"/>
                <w:b w:val="0"/>
                <w:sz w:val="15"/>
              </w:rPr>
              <w:t>All exact</w:t>
            </w:r>
          </w:p>
        </w:tc>
      </w:tr>
      <w:tr>
        <w:trPr>
          <w:cantSplit/>
        </w:trPr>
        <w:tc>
          <w:tcPr>
            <w:tcW w:type="dxa" w:w="2412"/>
            <w:vAlign w:val="center"/>
          </w:tcPr>
          <w:p>
            <w:pPr>
              <w:spacing w:after="0"/>
            </w:pPr>
            <w:r/>
            <w:r>
              <w:rPr>
                <w:rFonts w:ascii="Times New Roman" w:hAnsi="Times New Roman"/>
                <w:b w:val="0"/>
                <w:sz w:val="15"/>
              </w:rPr>
              <w:t>Theorem 4: min(k,P−k)</w:t>
            </w:r>
          </w:p>
        </w:tc>
        <w:tc>
          <w:tcPr>
            <w:tcW w:type="dxa" w:w="2412"/>
            <w:vAlign w:val="center"/>
          </w:tcPr>
          <w:p>
            <w:pPr>
              <w:spacing w:after="0"/>
            </w:pPr>
            <w:r/>
            <w:r>
              <w:rPr>
                <w:rFonts w:ascii="Times New Roman" w:hAnsi="Times New Roman"/>
                <w:b w:val="0"/>
                <w:sz w:val="15"/>
              </w:rPr>
              <w:t>Direct distance to both codewords</w:t>
            </w:r>
          </w:p>
        </w:tc>
        <w:tc>
          <w:tcPr>
            <w:tcW w:type="dxa" w:w="2412"/>
            <w:vAlign w:val="center"/>
          </w:tcPr>
          <w:p>
            <w:pPr>
              <w:spacing w:after="0"/>
            </w:pPr>
            <w:r/>
            <w:r>
              <w:rPr>
                <w:rFonts w:ascii="Times New Roman" w:hAnsi="Times New Roman"/>
                <w:b w:val="0"/>
                <w:sz w:val="15"/>
              </w:rPr>
              <w:t>510 orbit vectors, P=1,…,8</w:t>
            </w:r>
          </w:p>
        </w:tc>
        <w:tc>
          <w:tcPr>
            <w:tcW w:type="dxa" w:w="2412"/>
            <w:vAlign w:val="center"/>
          </w:tcPr>
          <w:p>
            <w:pPr>
              <w:spacing w:after="0"/>
            </w:pPr>
            <w:r/>
            <w:r>
              <w:rPr>
                <w:rFonts w:ascii="Times New Roman" w:hAnsi="Times New Roman"/>
                <w:b w:val="0"/>
                <w:sz w:val="15"/>
              </w:rPr>
              <w:t>All exact</w:t>
            </w:r>
          </w:p>
        </w:tc>
      </w:tr>
      <w:tr>
        <w:trPr>
          <w:cantSplit/>
        </w:trPr>
        <w:tc>
          <w:tcPr>
            <w:tcW w:type="dxa" w:w="2412"/>
            <w:vAlign w:val="center"/>
          </w:tcPr>
          <w:p>
            <w:pPr>
              <w:spacing w:after="0"/>
            </w:pPr>
            <w:r/>
            <w:r>
              <w:rPr>
                <w:rFonts w:ascii="Times New Roman" w:hAnsi="Times New Roman"/>
                <w:b w:val="0"/>
                <w:sz w:val="15"/>
              </w:rPr>
              <w:t>Theorem 5: local metric closure</w:t>
            </w:r>
          </w:p>
        </w:tc>
        <w:tc>
          <w:tcPr>
            <w:tcW w:type="dxa" w:w="2412"/>
            <w:vAlign w:val="center"/>
          </w:tcPr>
          <w:p>
            <w:pPr>
              <w:spacing w:after="0"/>
            </w:pPr>
            <w:r/>
            <w:r>
              <w:rPr>
                <w:rFonts w:ascii="Times New Roman" w:hAnsi="Times New Roman"/>
                <w:b w:val="0"/>
                <w:sz w:val="15"/>
              </w:rPr>
              <w:t>Dijkstra on weighted F₂² Cayley graph</w:t>
            </w:r>
          </w:p>
        </w:tc>
        <w:tc>
          <w:tcPr>
            <w:tcW w:type="dxa" w:w="2412"/>
            <w:vAlign w:val="center"/>
          </w:tcPr>
          <w:p>
            <w:pPr>
              <w:spacing w:after="0"/>
            </w:pPr>
            <w:r/>
            <w:r>
              <w:rPr>
                <w:rFonts w:ascii="Times New Roman" w:hAnsi="Times New Roman"/>
                <w:b w:val="0"/>
                <w:sz w:val="15"/>
              </w:rPr>
              <w:t>All 64 cost triples in {1,2,3,4}³; 256 state-cost checks</w:t>
            </w:r>
          </w:p>
        </w:tc>
        <w:tc>
          <w:tcPr>
            <w:tcW w:type="dxa" w:w="2412"/>
            <w:vAlign w:val="center"/>
          </w:tcPr>
          <w:p>
            <w:pPr>
              <w:spacing w:after="0"/>
            </w:pPr>
            <w:r/>
            <w:r>
              <w:rPr>
                <w:rFonts w:ascii="Times New Roman" w:hAnsi="Times New Roman"/>
                <w:b w:val="0"/>
                <w:sz w:val="15"/>
              </w:rPr>
              <w:t>All exact</w:t>
            </w:r>
          </w:p>
        </w:tc>
      </w:tr>
      <w:tr>
        <w:trPr>
          <w:cantSplit/>
        </w:trPr>
        <w:tc>
          <w:tcPr>
            <w:tcW w:type="dxa" w:w="2412"/>
            <w:vAlign w:val="center"/>
          </w:tcPr>
          <w:p>
            <w:pPr>
              <w:spacing w:after="0"/>
            </w:pPr>
            <w:r/>
            <w:r>
              <w:rPr>
                <w:rFonts w:ascii="Times New Roman" w:hAnsi="Times New Roman"/>
                <w:b w:val="0"/>
                <w:sz w:val="15"/>
              </w:rPr>
              <w:t>Theorem 5: global weighted decoder</w:t>
            </w:r>
          </w:p>
        </w:tc>
        <w:tc>
          <w:tcPr>
            <w:tcW w:type="dxa" w:w="2412"/>
            <w:vAlign w:val="center"/>
          </w:tcPr>
          <w:p>
            <w:pPr>
              <w:spacing w:after="0"/>
            </w:pPr>
            <w:r/>
            <w:r>
              <w:rPr>
                <w:rFonts w:ascii="Times New Roman" w:hAnsi="Times New Roman"/>
                <w:b w:val="0"/>
                <w:sz w:val="15"/>
              </w:rPr>
              <w:t>Global Dijkstra with heterogeneous orbit costs</w:t>
            </w:r>
          </w:p>
        </w:tc>
        <w:tc>
          <w:tcPr>
            <w:tcW w:type="dxa" w:w="2412"/>
            <w:vAlign w:val="center"/>
          </w:tcPr>
          <w:p>
            <w:pPr>
              <w:spacing w:after="0"/>
            </w:pPr>
            <w:r/>
            <w:r>
              <w:rPr>
                <w:rFonts w:ascii="Times New Roman" w:hAnsi="Times New Roman"/>
                <w:b w:val="0"/>
                <w:sz w:val="15"/>
              </w:rPr>
              <w:t>3,200 randomized cases, P=1,…,4, costs 1,…,6</w:t>
            </w:r>
          </w:p>
        </w:tc>
        <w:tc>
          <w:tcPr>
            <w:tcW w:type="dxa" w:w="2412"/>
            <w:vAlign w:val="center"/>
          </w:tcPr>
          <w:p>
            <w:pPr>
              <w:spacing w:after="0"/>
            </w:pPr>
            <w:r/>
            <w:r>
              <w:rPr>
                <w:rFonts w:ascii="Times New Roman" w:hAnsi="Times New Roman"/>
                <w:b w:val="0"/>
                <w:sz w:val="15"/>
              </w:rPr>
              <w:t>All exact</w:t>
            </w:r>
          </w:p>
        </w:tc>
      </w:tr>
      <w:tr>
        <w:trPr>
          <w:cantSplit/>
        </w:trPr>
        <w:tc>
          <w:tcPr>
            <w:tcW w:type="dxa" w:w="2412"/>
            <w:vAlign w:val="center"/>
          </w:tcPr>
          <w:p>
            <w:pPr>
              <w:spacing w:after="0"/>
            </w:pPr>
            <w:r/>
            <w:r>
              <w:rPr>
                <w:rFonts w:ascii="Times New Roman" w:hAnsi="Times New Roman"/>
                <w:b w:val="0"/>
                <w:sz w:val="15"/>
              </w:rPr>
              <w:t>Theorem 6: directed lower-only decoder</w:t>
            </w:r>
          </w:p>
        </w:tc>
        <w:tc>
          <w:tcPr>
            <w:tcW w:type="dxa" w:w="2412"/>
            <w:vAlign w:val="center"/>
          </w:tcPr>
          <w:p>
            <w:pPr>
              <w:spacing w:after="0"/>
            </w:pPr>
            <w:r/>
            <w:r>
              <w:rPr>
                <w:rFonts w:ascii="Times New Roman" w:hAnsi="Times New Roman"/>
                <w:b w:val="0"/>
                <w:sz w:val="15"/>
              </w:rPr>
              <w:t>Global Dijkstra on directed operation graph</w:t>
            </w:r>
          </w:p>
        </w:tc>
        <w:tc>
          <w:tcPr>
            <w:tcW w:type="dxa" w:w="2412"/>
            <w:vAlign w:val="center"/>
          </w:tcPr>
          <w:p>
            <w:pPr>
              <w:spacing w:after="0"/>
            </w:pPr>
            <w:r/>
            <w:r>
              <w:rPr>
                <w:rFonts w:ascii="Times New Roman" w:hAnsi="Times New Roman"/>
                <w:b w:val="0"/>
                <w:sz w:val="15"/>
              </w:rPr>
              <w:t>340 states, P=1,…,4</w:t>
            </w:r>
          </w:p>
        </w:tc>
        <w:tc>
          <w:tcPr>
            <w:tcW w:type="dxa" w:w="2412"/>
            <w:vAlign w:val="center"/>
          </w:tcPr>
          <w:p>
            <w:pPr>
              <w:spacing w:after="0"/>
            </w:pPr>
            <w:r/>
            <w:r>
              <w:rPr>
                <w:rFonts w:ascii="Times New Roman" w:hAnsi="Times New Roman"/>
                <w:b w:val="0"/>
                <w:sz w:val="15"/>
              </w:rPr>
              <w:t>All exact</w:t>
            </w:r>
          </w:p>
        </w:tc>
      </w:tr>
      <w:tr>
        <w:trPr>
          <w:cantSplit/>
        </w:trPr>
        <w:tc>
          <w:tcPr>
            <w:tcW w:type="dxa" w:w="2412"/>
            <w:vAlign w:val="center"/>
          </w:tcPr>
          <w:p>
            <w:pPr>
              <w:spacing w:after="0"/>
            </w:pPr>
            <w:r/>
            <w:r>
              <w:rPr>
                <w:rFonts w:ascii="Times New Roman" w:hAnsi="Times New Roman"/>
                <w:b w:val="0"/>
                <w:sz w:val="15"/>
              </w:rPr>
              <w:t>Theorem 9: free (Z₂)ʳ orbit repair</w:t>
            </w:r>
          </w:p>
        </w:tc>
        <w:tc>
          <w:tcPr>
            <w:tcW w:type="dxa" w:w="2412"/>
            <w:vAlign w:val="center"/>
          </w:tcPr>
          <w:p>
            <w:pPr>
              <w:spacing w:after="0"/>
            </w:pPr>
            <w:r/>
            <w:r>
              <w:rPr>
                <w:rFonts w:ascii="Times New Roman" w:hAnsi="Times New Roman"/>
                <w:b w:val="0"/>
                <w:sz w:val="15"/>
              </w:rPr>
              <w:t>Distance to two constant states</w:t>
            </w:r>
          </w:p>
        </w:tc>
        <w:tc>
          <w:tcPr>
            <w:tcW w:type="dxa" w:w="2412"/>
            <w:vAlign w:val="center"/>
          </w:tcPr>
          <w:p>
            <w:pPr>
              <w:spacing w:after="0"/>
            </w:pPr>
            <w:r/>
            <w:r>
              <w:rPr>
                <w:rFonts w:ascii="Times New Roman" w:hAnsi="Times New Roman"/>
                <w:b w:val="0"/>
                <w:sz w:val="15"/>
              </w:rPr>
              <w:t>65,812 orbit states, r=1,…,4</w:t>
            </w:r>
          </w:p>
        </w:tc>
        <w:tc>
          <w:tcPr>
            <w:tcW w:type="dxa" w:w="2412"/>
            <w:vAlign w:val="center"/>
          </w:tcPr>
          <w:p>
            <w:pPr>
              <w:spacing w:after="0"/>
            </w:pPr>
            <w:r/>
            <w:r>
              <w:rPr>
                <w:rFonts w:ascii="Times New Roman" w:hAnsi="Times New Roman"/>
                <w:b w:val="0"/>
                <w:sz w:val="15"/>
              </w:rPr>
              <w:t>All exact</w:t>
            </w:r>
          </w:p>
        </w:tc>
      </w:tr>
      <w:tr>
        <w:trPr>
          <w:cantSplit/>
        </w:trPr>
        <w:tc>
          <w:tcPr>
            <w:tcW w:type="dxa" w:w="2412"/>
            <w:vAlign w:val="center"/>
          </w:tcPr>
          <w:p>
            <w:pPr>
              <w:spacing w:after="0"/>
            </w:pPr>
            <w:r/>
            <w:r>
              <w:rPr>
                <w:rFonts w:ascii="Times New Roman" w:hAnsi="Times New Roman"/>
                <w:b w:val="0"/>
                <w:sz w:val="15"/>
              </w:rPr>
              <w:t>Theorem 10: frustration equivalence</w:t>
            </w:r>
          </w:p>
        </w:tc>
        <w:tc>
          <w:tcPr>
            <w:tcW w:type="dxa" w:w="2412"/>
            <w:vAlign w:val="center"/>
          </w:tcPr>
          <w:p>
            <w:pPr>
              <w:spacing w:after="0"/>
            </w:pPr>
            <w:r/>
            <w:r>
              <w:rPr>
                <w:rFonts w:ascii="Times New Roman" w:hAnsi="Times New Roman"/>
                <w:b w:val="0"/>
                <w:sz w:val="15"/>
              </w:rPr>
              <w:t>Enumeration of vertex bits versus signed spins</w:t>
            </w:r>
          </w:p>
        </w:tc>
        <w:tc>
          <w:tcPr>
            <w:tcW w:type="dxa" w:w="2412"/>
            <w:vAlign w:val="center"/>
          </w:tcPr>
          <w:p>
            <w:pPr>
              <w:spacing w:after="0"/>
            </w:pPr>
            <w:r/>
            <w:r>
              <w:rPr>
                <w:rFonts w:ascii="Times New Roman" w:hAnsi="Times New Roman"/>
                <w:b w:val="0"/>
                <w:sz w:val="15"/>
              </w:rPr>
              <w:t>400 random edge fields on Q₂ and Q₃</w:t>
            </w:r>
          </w:p>
        </w:tc>
        <w:tc>
          <w:tcPr>
            <w:tcW w:type="dxa" w:w="2412"/>
            <w:vAlign w:val="center"/>
          </w:tcPr>
          <w:p>
            <w:pPr>
              <w:spacing w:after="0"/>
            </w:pPr>
            <w:r/>
            <w:r>
              <w:rPr>
                <w:rFonts w:ascii="Times New Roman" w:hAnsi="Times New Roman"/>
                <w:b w:val="0"/>
                <w:sz w:val="15"/>
              </w:rPr>
              <w:t>All exact</w:t>
            </w:r>
          </w:p>
        </w:tc>
      </w:tr>
    </w:tbl>
    <w:p>
      <w:pPr>
        <w:pStyle w:val="SmallText"/>
        <w:jc w:val="center"/>
      </w:pPr>
      <w:r>
        <w:t>Table 2. Independent computational checks included with this revision.</w:t>
      </w:r>
    </w:p>
    <w:p>
      <w:pPr/>
      <w:r>
        <w:t>The weighted test set deliberately includes asymmetric cost profiles that violate either hᵃ≤f+hᶜ or hᶜ≤f+hᵃ. Those are precisely the cases that expose a partial metric-closure error. The verifier also samples heterogeneous costs independently by orbit, so the global formula is tested beyond a single repeated local profile.</w:t>
      </w:r>
    </w:p>
    <w:p>
      <w:pPr>
        <w:pStyle w:val="Heading1"/>
      </w:pPr>
      <w:r>
        <w:t>13. Limitations and claim discipline</w:t>
      </w:r>
    </w:p>
    <w:p>
      <w:pPr>
        <w:pStyle w:val="ListBullet"/>
      </w:pPr>
      <w:r>
        <w:t>The binary codes themselves are classical repetition codes. The manuscript claims a symmetry-induced factorization framework, not a new linear-code family.</w:t>
      </w:r>
    </w:p>
    <w:p>
      <w:pPr>
        <w:pStyle w:val="ListBullet"/>
      </w:pPr>
      <w:r>
        <w:t>Theorem 1 is a product-graph shortest-path fact. The contribution is the derivation of its hypotheses from free actions and the failure taxonomy, not priority over Cartesian-product graph distances.</w:t>
      </w:r>
    </w:p>
    <w:p>
      <w:pPr>
        <w:pStyle w:val="ListBullet"/>
      </w:pPr>
      <w:r>
        <w:t>The weighted joint decoder assumes reversible local generators. Lower-only operations belong to the directed model of Theorem 6.</w:t>
      </w:r>
    </w:p>
    <w:p>
      <w:pPr>
        <w:pStyle w:val="ListBullet"/>
      </w:pPr>
      <w:r>
        <w:t>The RP² homology statement requires cellular coordinates in top degree. A generic antipodal discretization does not automatically define a 2-cochain or a fundamental-class interpretation.</w:t>
      </w:r>
    </w:p>
    <w:p>
      <w:pPr>
        <w:pStyle w:val="ListBullet"/>
      </w:pPr>
      <w:r>
        <w:t>The cubical cochain complex is standard. The new role assigned to it here is diagnostic: it separates exact state-induced defects, noisy nearest-coboundary decoding, and true topological obstruction.</w:t>
      </w:r>
    </w:p>
    <w:p>
      <w:pPr>
        <w:pStyle w:val="ListBullet"/>
      </w:pPr>
      <w:r>
        <w:t>Nearest-coboundary decoding on arbitrary noisy edge data is not claimed to be a new optimization problem; Theorem 10 identifies it exactly with signed-graph frustration so that established complexity and algorithmic results apply.</w:t>
      </w:r>
    </w:p>
    <w:p>
      <w:pPr>
        <w:pStyle w:val="ListBullet"/>
      </w:pPr>
      <w:r>
        <w:t>No quantum-code, fault-tolerance, threshold, or stabilizer claim follows from the use of F₂, syndromes, homology, or RP².</w:t>
      </w:r>
    </w:p>
    <w:p>
      <w:pPr>
        <w:pStyle w:val="Heading1"/>
      </w:pPr>
      <w:r>
        <w:t>14. Conclusion</w:t>
      </w:r>
    </w:p>
    <w:p>
      <w:pPr/>
      <w:r>
        <w:t>A free symmetry can make a shortest-repair problem easy for a concrete reason: it can generate a product operation graph. In the free-involution binary model, the defect Db records pair disagreement, paired translations conserve it, and it completely labels paired-move sectors exactly when the legal paired translations span the invariant subspace. Unit one-member repair then gives d(b,S)=wt(Db), and global-complement completion gives min(k,P−k). These are elementary repetition-code facts once the symmetry has exposed the blocks.</w:t>
      </w:r>
    </w:p>
    <w:p>
      <w:pPr/>
      <w:r>
        <w:t>The operation model is the decisive next layer. Reversible weighted operations require the full local shortest-path closure A=min(hᵃ,f+hᶜ), C=min(hᶜ,f+hᵃ), and F=min(f,hᵃ+hᶜ); after that closure, the global optimum is the minimum of two sums. Irreversible lower-only repair is instead a directed problem with its own exact formula. Treating both under an undifferentiated ‘operation metric’ hides exactly the assumption that controls the optimum.</w:t>
      </w:r>
    </w:p>
    <w:p>
      <w:pPr/>
      <w:r>
        <w:t>The same structural viewpoint clarifies the topological extensions. On RP², the defect is cellular failure of deck-invariant descent when the coordinates are lifted cells, and the top-degree all-ones vector has a carefully limited mod-2 fundamental-class interpretation. Under a free (Z₂)ʳ action, exact defects become cubical coboundaries: coordinatewise independence disappears but orbitwise exact solvability survives. Promoting edge defects to independent noisy data produces nearest-coboundary decoding, exactly the signed-frustration problem. Only when operations or constraints finally couple distinct orbits is the remaining product decomposition lost.</w:t>
      </w:r>
    </w:p>
    <w:p>
      <w:pPr/>
      <w:r>
        <w:t>The resulting hierarchy—independent checks, cubically coupled exact checks, noisy within-orbit optimization, and cross-orbit nonlocality—is the central reusable statement. It identifies not merely an easy decoder, but the structural reason it is easy and the precise mathematical changes that make it stop being easy.</w:t>
      </w:r>
    </w:p>
    <w:p>
      <w:r>
        <w:br w:type="page"/>
      </w:r>
    </w:p>
    <w:p>
      <w:pPr>
        <w:pStyle w:val="Heading1"/>
      </w:pPr>
      <w:r>
        <w:t>Appendix A. Local transition tables</w:t>
      </w:r>
    </w:p>
    <w:p>
      <w:pPr>
        <w:pStyle w:val="Heading2"/>
      </w:pPr>
      <w:r>
        <w:t>A.1 Reversible weighted orbit</w:t>
      </w:r>
    </w:p>
    <w:p>
      <w:pPr/>
      <w:r>
        <w:t>For one orbit with generators eᵃ,eᶜ,p=eᵃ+eᶜ, every source-target difference is one of 0,eᵃ,eᶜ,p. Because the Cayley graph is translation invariant, the complete shortest-path table is determined by the three distances from 0. After closure, w(0)=0, w(eᵃ)=A, w(eᶜ)=C, w(p)=F. Therefore c(s→t)=w(s+t), giving the table below.</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cantSplit/>
        </w:trPr>
        <w:tc>
          <w:tcPr>
            <w:tcW w:type="dxa" w:w="1930"/>
            <w:vAlign w:val="center"/>
            <w:shd w:fill="D9E2F3"/>
          </w:tcPr>
          <w:p>
            <w:pPr>
              <w:spacing w:after="0"/>
            </w:pPr>
            <w:r/>
            <w:r>
              <w:rPr>
                <w:rFonts w:ascii="Times New Roman" w:hAnsi="Times New Roman"/>
                <w:b/>
                <w:sz w:val="17"/>
              </w:rPr>
              <w:t>source \ target</w:t>
            </w:r>
          </w:p>
        </w:tc>
        <w:tc>
          <w:tcPr>
            <w:tcW w:type="dxa" w:w="1930"/>
            <w:vAlign w:val="center"/>
            <w:shd w:fill="D9E2F3"/>
          </w:tcPr>
          <w:p>
            <w:pPr>
              <w:spacing w:after="0"/>
            </w:pPr>
            <w:r/>
            <w:r>
              <w:rPr>
                <w:rFonts w:ascii="Times New Roman" w:hAnsi="Times New Roman"/>
                <w:b/>
                <w:sz w:val="17"/>
              </w:rPr>
              <w:t>00</w:t>
            </w:r>
          </w:p>
        </w:tc>
        <w:tc>
          <w:tcPr>
            <w:tcW w:type="dxa" w:w="1930"/>
            <w:vAlign w:val="center"/>
            <w:shd w:fill="D9E2F3"/>
          </w:tcPr>
          <w:p>
            <w:pPr>
              <w:spacing w:after="0"/>
            </w:pPr>
            <w:r/>
            <w:r>
              <w:rPr>
                <w:rFonts w:ascii="Times New Roman" w:hAnsi="Times New Roman"/>
                <w:b/>
                <w:sz w:val="17"/>
              </w:rPr>
              <w:t>10</w:t>
            </w:r>
          </w:p>
        </w:tc>
        <w:tc>
          <w:tcPr>
            <w:tcW w:type="dxa" w:w="1930"/>
            <w:vAlign w:val="center"/>
            <w:shd w:fill="D9E2F3"/>
          </w:tcPr>
          <w:p>
            <w:pPr>
              <w:spacing w:after="0"/>
            </w:pPr>
            <w:r/>
            <w:r>
              <w:rPr>
                <w:rFonts w:ascii="Times New Roman" w:hAnsi="Times New Roman"/>
                <w:b/>
                <w:sz w:val="17"/>
              </w:rPr>
              <w:t>01</w:t>
            </w:r>
          </w:p>
        </w:tc>
        <w:tc>
          <w:tcPr>
            <w:tcW w:type="dxa" w:w="1930"/>
            <w:vAlign w:val="center"/>
            <w:shd w:fill="D9E2F3"/>
          </w:tcPr>
          <w:p>
            <w:pPr>
              <w:spacing w:after="0"/>
            </w:pPr>
            <w:r/>
            <w:r>
              <w:rPr>
                <w:rFonts w:ascii="Times New Roman" w:hAnsi="Times New Roman"/>
                <w:b/>
                <w:sz w:val="17"/>
              </w:rPr>
              <w:t>11</w:t>
            </w:r>
          </w:p>
        </w:tc>
      </w:tr>
      <w:tr>
        <w:trPr>
          <w:cantSplit/>
        </w:trPr>
        <w:tc>
          <w:tcPr>
            <w:tcW w:type="dxa" w:w="1930"/>
            <w:vAlign w:val="center"/>
          </w:tcPr>
          <w:p>
            <w:pPr>
              <w:spacing w:after="0"/>
            </w:pPr>
            <w:r/>
            <w:r>
              <w:rPr>
                <w:rFonts w:ascii="Times New Roman" w:hAnsi="Times New Roman"/>
                <w:b/>
                <w:sz w:val="17"/>
              </w:rPr>
              <w:t>00</w:t>
            </w:r>
          </w:p>
        </w:tc>
        <w:tc>
          <w:tcPr>
            <w:tcW w:type="dxa" w:w="1930"/>
            <w:vAlign w:val="center"/>
          </w:tcPr>
          <w:p>
            <w:pPr>
              <w:spacing w:after="0"/>
            </w:pPr>
            <w:r/>
            <w:r>
              <w:rPr>
                <w:rFonts w:ascii="Times New Roman" w:hAnsi="Times New Roman"/>
                <w:b w:val="0"/>
                <w:sz w:val="17"/>
              </w:rPr>
              <w:t>0</w:t>
            </w:r>
          </w:p>
        </w:tc>
        <w:tc>
          <w:tcPr>
            <w:tcW w:type="dxa" w:w="1930"/>
            <w:vAlign w:val="center"/>
          </w:tcPr>
          <w:p>
            <w:pPr>
              <w:spacing w:after="0"/>
            </w:pPr>
            <w:r/>
            <w:r>
              <w:rPr>
                <w:rFonts w:ascii="Times New Roman" w:hAnsi="Times New Roman"/>
                <w:b w:val="0"/>
                <w:sz w:val="17"/>
              </w:rPr>
              <w:t>A</w:t>
            </w:r>
          </w:p>
        </w:tc>
        <w:tc>
          <w:tcPr>
            <w:tcW w:type="dxa" w:w="1930"/>
            <w:vAlign w:val="center"/>
          </w:tcPr>
          <w:p>
            <w:pPr>
              <w:spacing w:after="0"/>
            </w:pPr>
            <w:r/>
            <w:r>
              <w:rPr>
                <w:rFonts w:ascii="Times New Roman" w:hAnsi="Times New Roman"/>
                <w:b w:val="0"/>
                <w:sz w:val="17"/>
              </w:rPr>
              <w:t>C</w:t>
            </w:r>
          </w:p>
        </w:tc>
        <w:tc>
          <w:tcPr>
            <w:tcW w:type="dxa" w:w="1930"/>
            <w:vAlign w:val="center"/>
          </w:tcPr>
          <w:p>
            <w:pPr>
              <w:spacing w:after="0"/>
            </w:pPr>
            <w:r/>
            <w:r>
              <w:rPr>
                <w:rFonts w:ascii="Times New Roman" w:hAnsi="Times New Roman"/>
                <w:b w:val="0"/>
                <w:sz w:val="17"/>
              </w:rPr>
              <w:t>F</w:t>
            </w:r>
          </w:p>
        </w:tc>
      </w:tr>
      <w:tr>
        <w:trPr>
          <w:cantSplit/>
        </w:trPr>
        <w:tc>
          <w:tcPr>
            <w:tcW w:type="dxa" w:w="1930"/>
            <w:vAlign w:val="center"/>
          </w:tcPr>
          <w:p>
            <w:pPr>
              <w:spacing w:after="0"/>
            </w:pPr>
            <w:r/>
            <w:r>
              <w:rPr>
                <w:rFonts w:ascii="Times New Roman" w:hAnsi="Times New Roman"/>
                <w:b/>
                <w:sz w:val="17"/>
              </w:rPr>
              <w:t>10</w:t>
            </w:r>
          </w:p>
        </w:tc>
        <w:tc>
          <w:tcPr>
            <w:tcW w:type="dxa" w:w="1930"/>
            <w:vAlign w:val="center"/>
          </w:tcPr>
          <w:p>
            <w:pPr>
              <w:spacing w:after="0"/>
            </w:pPr>
            <w:r/>
            <w:r>
              <w:rPr>
                <w:rFonts w:ascii="Times New Roman" w:hAnsi="Times New Roman"/>
                <w:b w:val="0"/>
                <w:sz w:val="17"/>
              </w:rPr>
              <w:t>A</w:t>
            </w:r>
          </w:p>
        </w:tc>
        <w:tc>
          <w:tcPr>
            <w:tcW w:type="dxa" w:w="1930"/>
            <w:vAlign w:val="center"/>
          </w:tcPr>
          <w:p>
            <w:pPr>
              <w:spacing w:after="0"/>
            </w:pPr>
            <w:r/>
            <w:r>
              <w:rPr>
                <w:rFonts w:ascii="Times New Roman" w:hAnsi="Times New Roman"/>
                <w:b w:val="0"/>
                <w:sz w:val="17"/>
              </w:rPr>
              <w:t>0</w:t>
            </w:r>
          </w:p>
        </w:tc>
        <w:tc>
          <w:tcPr>
            <w:tcW w:type="dxa" w:w="1930"/>
            <w:vAlign w:val="center"/>
          </w:tcPr>
          <w:p>
            <w:pPr>
              <w:spacing w:after="0"/>
            </w:pPr>
            <w:r/>
            <w:r>
              <w:rPr>
                <w:rFonts w:ascii="Times New Roman" w:hAnsi="Times New Roman"/>
                <w:b w:val="0"/>
                <w:sz w:val="17"/>
              </w:rPr>
              <w:t>F</w:t>
            </w:r>
          </w:p>
        </w:tc>
        <w:tc>
          <w:tcPr>
            <w:tcW w:type="dxa" w:w="1930"/>
            <w:vAlign w:val="center"/>
          </w:tcPr>
          <w:p>
            <w:pPr>
              <w:spacing w:after="0"/>
            </w:pPr>
            <w:r/>
            <w:r>
              <w:rPr>
                <w:rFonts w:ascii="Times New Roman" w:hAnsi="Times New Roman"/>
                <w:b w:val="0"/>
                <w:sz w:val="17"/>
              </w:rPr>
              <w:t>C</w:t>
            </w:r>
          </w:p>
        </w:tc>
      </w:tr>
      <w:tr>
        <w:trPr>
          <w:cantSplit/>
        </w:trPr>
        <w:tc>
          <w:tcPr>
            <w:tcW w:type="dxa" w:w="1930"/>
            <w:vAlign w:val="center"/>
          </w:tcPr>
          <w:p>
            <w:pPr>
              <w:spacing w:after="0"/>
            </w:pPr>
            <w:r/>
            <w:r>
              <w:rPr>
                <w:rFonts w:ascii="Times New Roman" w:hAnsi="Times New Roman"/>
                <w:b/>
                <w:sz w:val="17"/>
              </w:rPr>
              <w:t>01</w:t>
            </w:r>
          </w:p>
        </w:tc>
        <w:tc>
          <w:tcPr>
            <w:tcW w:type="dxa" w:w="1930"/>
            <w:vAlign w:val="center"/>
          </w:tcPr>
          <w:p>
            <w:pPr>
              <w:spacing w:after="0"/>
            </w:pPr>
            <w:r/>
            <w:r>
              <w:rPr>
                <w:rFonts w:ascii="Times New Roman" w:hAnsi="Times New Roman"/>
                <w:b w:val="0"/>
                <w:sz w:val="17"/>
              </w:rPr>
              <w:t>C</w:t>
            </w:r>
          </w:p>
        </w:tc>
        <w:tc>
          <w:tcPr>
            <w:tcW w:type="dxa" w:w="1930"/>
            <w:vAlign w:val="center"/>
          </w:tcPr>
          <w:p>
            <w:pPr>
              <w:spacing w:after="0"/>
            </w:pPr>
            <w:r/>
            <w:r>
              <w:rPr>
                <w:rFonts w:ascii="Times New Roman" w:hAnsi="Times New Roman"/>
                <w:b w:val="0"/>
                <w:sz w:val="17"/>
              </w:rPr>
              <w:t>F</w:t>
            </w:r>
          </w:p>
        </w:tc>
        <w:tc>
          <w:tcPr>
            <w:tcW w:type="dxa" w:w="1930"/>
            <w:vAlign w:val="center"/>
          </w:tcPr>
          <w:p>
            <w:pPr>
              <w:spacing w:after="0"/>
            </w:pPr>
            <w:r/>
            <w:r>
              <w:rPr>
                <w:rFonts w:ascii="Times New Roman" w:hAnsi="Times New Roman"/>
                <w:b w:val="0"/>
                <w:sz w:val="17"/>
              </w:rPr>
              <w:t>0</w:t>
            </w:r>
          </w:p>
        </w:tc>
        <w:tc>
          <w:tcPr>
            <w:tcW w:type="dxa" w:w="1930"/>
            <w:vAlign w:val="center"/>
          </w:tcPr>
          <w:p>
            <w:pPr>
              <w:spacing w:after="0"/>
            </w:pPr>
            <w:r/>
            <w:r>
              <w:rPr>
                <w:rFonts w:ascii="Times New Roman" w:hAnsi="Times New Roman"/>
                <w:b w:val="0"/>
                <w:sz w:val="17"/>
              </w:rPr>
              <w:t>A</w:t>
            </w:r>
          </w:p>
        </w:tc>
      </w:tr>
      <w:tr>
        <w:trPr>
          <w:cantSplit/>
        </w:trPr>
        <w:tc>
          <w:tcPr>
            <w:tcW w:type="dxa" w:w="1930"/>
            <w:vAlign w:val="center"/>
          </w:tcPr>
          <w:p>
            <w:pPr>
              <w:spacing w:after="0"/>
            </w:pPr>
            <w:r/>
            <w:r>
              <w:rPr>
                <w:rFonts w:ascii="Times New Roman" w:hAnsi="Times New Roman"/>
                <w:b/>
                <w:sz w:val="17"/>
              </w:rPr>
              <w:t>11</w:t>
            </w:r>
          </w:p>
        </w:tc>
        <w:tc>
          <w:tcPr>
            <w:tcW w:type="dxa" w:w="1930"/>
            <w:vAlign w:val="center"/>
          </w:tcPr>
          <w:p>
            <w:pPr>
              <w:spacing w:after="0"/>
            </w:pPr>
            <w:r/>
            <w:r>
              <w:rPr>
                <w:rFonts w:ascii="Times New Roman" w:hAnsi="Times New Roman"/>
                <w:b w:val="0"/>
                <w:sz w:val="17"/>
              </w:rPr>
              <w:t>F</w:t>
            </w:r>
          </w:p>
        </w:tc>
        <w:tc>
          <w:tcPr>
            <w:tcW w:type="dxa" w:w="1930"/>
            <w:vAlign w:val="center"/>
          </w:tcPr>
          <w:p>
            <w:pPr>
              <w:spacing w:after="0"/>
            </w:pPr>
            <w:r/>
            <w:r>
              <w:rPr>
                <w:rFonts w:ascii="Times New Roman" w:hAnsi="Times New Roman"/>
                <w:b w:val="0"/>
                <w:sz w:val="17"/>
              </w:rPr>
              <w:t>C</w:t>
            </w:r>
          </w:p>
        </w:tc>
        <w:tc>
          <w:tcPr>
            <w:tcW w:type="dxa" w:w="1930"/>
            <w:vAlign w:val="center"/>
          </w:tcPr>
          <w:p>
            <w:pPr>
              <w:spacing w:after="0"/>
            </w:pPr>
            <w:r/>
            <w:r>
              <w:rPr>
                <w:rFonts w:ascii="Times New Roman" w:hAnsi="Times New Roman"/>
                <w:b w:val="0"/>
                <w:sz w:val="17"/>
              </w:rPr>
              <w:t>A</w:t>
            </w:r>
          </w:p>
        </w:tc>
        <w:tc>
          <w:tcPr>
            <w:tcW w:type="dxa" w:w="1930"/>
            <w:vAlign w:val="center"/>
          </w:tcPr>
          <w:p>
            <w:pPr>
              <w:spacing w:after="0"/>
            </w:pPr>
            <w:r/>
            <w:r>
              <w:rPr>
                <w:rFonts w:ascii="Times New Roman" w:hAnsi="Times New Roman"/>
                <w:b w:val="0"/>
                <w:sz w:val="17"/>
              </w:rPr>
              <w:t>0</w:t>
            </w:r>
          </w:p>
        </w:tc>
      </w:tr>
    </w:tbl>
    <w:p>
      <w:pPr>
        <w:pStyle w:val="SmallText"/>
        <w:jc w:val="center"/>
      </w:pPr>
      <w:r>
        <w:t>Table A1. Exact local reversible distances after full cost closure.</w:t>
      </w:r>
    </w:p>
    <w:p>
      <w:pPr>
        <w:pStyle w:val="Heading2"/>
      </w:pPr>
      <w:r>
        <w:t>A.2 Directed lower-only orbit</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3216"/>
            <w:vAlign w:val="center"/>
            <w:shd w:fill="D9E2F3"/>
          </w:tcPr>
          <w:p>
            <w:pPr>
              <w:spacing w:after="0"/>
            </w:pPr>
            <w:r/>
            <w:r>
              <w:rPr>
                <w:rFonts w:ascii="Times New Roman" w:hAnsi="Times New Roman"/>
                <w:b/>
                <w:sz w:val="17"/>
              </w:rPr>
              <w:t>Local state</w:t>
            </w:r>
          </w:p>
        </w:tc>
        <w:tc>
          <w:tcPr>
            <w:tcW w:type="dxa" w:w="3216"/>
            <w:vAlign w:val="center"/>
            <w:shd w:fill="D9E2F3"/>
          </w:tcPr>
          <w:p>
            <w:pPr>
              <w:spacing w:after="0"/>
            </w:pPr>
            <w:r/>
            <w:r>
              <w:rPr>
                <w:rFonts w:ascii="Times New Roman" w:hAnsi="Times New Roman"/>
                <w:b/>
                <w:sz w:val="17"/>
              </w:rPr>
              <w:t>distance to 00</w:t>
            </w:r>
          </w:p>
        </w:tc>
        <w:tc>
          <w:tcPr>
            <w:tcW w:type="dxa" w:w="3216"/>
            <w:vAlign w:val="center"/>
            <w:shd w:fill="D9E2F3"/>
          </w:tcPr>
          <w:p>
            <w:pPr>
              <w:spacing w:after="0"/>
            </w:pPr>
            <w:r/>
            <w:r>
              <w:rPr>
                <w:rFonts w:ascii="Times New Roman" w:hAnsi="Times New Roman"/>
                <w:b/>
                <w:sz w:val="17"/>
              </w:rPr>
              <w:t>distance to 11</w:t>
            </w:r>
          </w:p>
        </w:tc>
      </w:tr>
      <w:tr>
        <w:trPr>
          <w:cantSplit/>
        </w:trPr>
        <w:tc>
          <w:tcPr>
            <w:tcW w:type="dxa" w:w="3216"/>
            <w:vAlign w:val="center"/>
          </w:tcPr>
          <w:p>
            <w:pPr>
              <w:spacing w:after="0"/>
            </w:pPr>
            <w:r/>
            <w:r>
              <w:rPr>
                <w:rFonts w:ascii="Times New Roman" w:hAnsi="Times New Roman"/>
                <w:b/>
                <w:sz w:val="17"/>
              </w:rPr>
              <w:t>00</w:t>
            </w:r>
          </w:p>
        </w:tc>
        <w:tc>
          <w:tcPr>
            <w:tcW w:type="dxa" w:w="3216"/>
            <w:vAlign w:val="center"/>
          </w:tcPr>
          <w:p>
            <w:pPr>
              <w:spacing w:after="0"/>
            </w:pPr>
            <w:r/>
            <w:r>
              <w:rPr>
                <w:rFonts w:ascii="Times New Roman" w:hAnsi="Times New Roman"/>
                <w:b w:val="0"/>
                <w:sz w:val="17"/>
              </w:rPr>
              <w:t>0</w:t>
            </w:r>
          </w:p>
        </w:tc>
        <w:tc>
          <w:tcPr>
            <w:tcW w:type="dxa" w:w="3216"/>
            <w:vAlign w:val="center"/>
          </w:tcPr>
          <w:p>
            <w:pPr>
              <w:spacing w:after="0"/>
            </w:pPr>
            <w:r/>
            <w:r>
              <w:rPr>
                <w:rFonts w:ascii="Times New Roman" w:hAnsi="Times New Roman"/>
                <w:b w:val="0"/>
                <w:sz w:val="17"/>
              </w:rPr>
              <w:t>1</w:t>
            </w:r>
          </w:p>
        </w:tc>
      </w:tr>
      <w:tr>
        <w:trPr>
          <w:cantSplit/>
        </w:trPr>
        <w:tc>
          <w:tcPr>
            <w:tcW w:type="dxa" w:w="3216"/>
            <w:vAlign w:val="center"/>
          </w:tcPr>
          <w:p>
            <w:pPr>
              <w:spacing w:after="0"/>
            </w:pPr>
            <w:r/>
            <w:r>
              <w:rPr>
                <w:rFonts w:ascii="Times New Roman" w:hAnsi="Times New Roman"/>
                <w:b/>
                <w:sz w:val="17"/>
              </w:rPr>
              <w:t>11</w:t>
            </w:r>
          </w:p>
        </w:tc>
        <w:tc>
          <w:tcPr>
            <w:tcW w:type="dxa" w:w="3216"/>
            <w:vAlign w:val="center"/>
          </w:tcPr>
          <w:p>
            <w:pPr>
              <w:spacing w:after="0"/>
            </w:pPr>
            <w:r/>
            <w:r>
              <w:rPr>
                <w:rFonts w:ascii="Times New Roman" w:hAnsi="Times New Roman"/>
                <w:b w:val="0"/>
                <w:sz w:val="17"/>
              </w:rPr>
              <w:t>1</w:t>
            </w:r>
          </w:p>
        </w:tc>
        <w:tc>
          <w:tcPr>
            <w:tcW w:type="dxa" w:w="3216"/>
            <w:vAlign w:val="center"/>
          </w:tcPr>
          <w:p>
            <w:pPr>
              <w:spacing w:after="0"/>
            </w:pPr>
            <w:r/>
            <w:r>
              <w:rPr>
                <w:rFonts w:ascii="Times New Roman" w:hAnsi="Times New Roman"/>
                <w:b w:val="0"/>
                <w:sz w:val="17"/>
              </w:rPr>
              <w:t>0</w:t>
            </w:r>
          </w:p>
        </w:tc>
      </w:tr>
      <w:tr>
        <w:trPr>
          <w:cantSplit/>
        </w:trPr>
        <w:tc>
          <w:tcPr>
            <w:tcW w:type="dxa" w:w="3216"/>
            <w:vAlign w:val="center"/>
          </w:tcPr>
          <w:p>
            <w:pPr>
              <w:spacing w:after="0"/>
            </w:pPr>
            <w:r/>
            <w:r>
              <w:rPr>
                <w:rFonts w:ascii="Times New Roman" w:hAnsi="Times New Roman"/>
                <w:b/>
                <w:sz w:val="17"/>
              </w:rPr>
              <w:t>01</w:t>
            </w:r>
          </w:p>
        </w:tc>
        <w:tc>
          <w:tcPr>
            <w:tcW w:type="dxa" w:w="3216"/>
            <w:vAlign w:val="center"/>
          </w:tcPr>
          <w:p>
            <w:pPr>
              <w:spacing w:after="0"/>
            </w:pPr>
            <w:r/>
            <w:r>
              <w:rPr>
                <w:rFonts w:ascii="Times New Roman" w:hAnsi="Times New Roman"/>
                <w:b w:val="0"/>
                <w:sz w:val="17"/>
              </w:rPr>
              <w:t>1</w:t>
            </w:r>
          </w:p>
        </w:tc>
        <w:tc>
          <w:tcPr>
            <w:tcW w:type="dxa" w:w="3216"/>
            <w:vAlign w:val="center"/>
          </w:tcPr>
          <w:p>
            <w:pPr>
              <w:spacing w:after="0"/>
            </w:pPr>
            <w:r/>
            <w:r>
              <w:rPr>
                <w:rFonts w:ascii="Times New Roman" w:hAnsi="Times New Roman"/>
                <w:b w:val="0"/>
                <w:sz w:val="17"/>
              </w:rPr>
              <w:t>2</w:t>
            </w:r>
          </w:p>
        </w:tc>
      </w:tr>
      <w:tr>
        <w:trPr>
          <w:cantSplit/>
        </w:trPr>
        <w:tc>
          <w:tcPr>
            <w:tcW w:type="dxa" w:w="3216"/>
            <w:vAlign w:val="center"/>
          </w:tcPr>
          <w:p>
            <w:pPr>
              <w:spacing w:after="0"/>
            </w:pPr>
            <w:r/>
            <w:r>
              <w:rPr>
                <w:rFonts w:ascii="Times New Roman" w:hAnsi="Times New Roman"/>
                <w:b/>
                <w:sz w:val="17"/>
              </w:rPr>
              <w:t>10</w:t>
            </w:r>
          </w:p>
        </w:tc>
        <w:tc>
          <w:tcPr>
            <w:tcW w:type="dxa" w:w="3216"/>
            <w:vAlign w:val="center"/>
          </w:tcPr>
          <w:p>
            <w:pPr>
              <w:spacing w:after="0"/>
            </w:pPr>
            <w:r/>
            <w:r>
              <w:rPr>
                <w:rFonts w:ascii="Times New Roman" w:hAnsi="Times New Roman"/>
                <w:b w:val="0"/>
                <w:sz w:val="17"/>
              </w:rPr>
              <w:t>1</w:t>
            </w:r>
          </w:p>
        </w:tc>
        <w:tc>
          <w:tcPr>
            <w:tcW w:type="dxa" w:w="3216"/>
            <w:vAlign w:val="center"/>
          </w:tcPr>
          <w:p>
            <w:pPr>
              <w:spacing w:after="0"/>
            </w:pPr>
            <w:r/>
            <w:r>
              <w:rPr>
                <w:rFonts w:ascii="Times New Roman" w:hAnsi="Times New Roman"/>
                <w:b w:val="0"/>
                <w:sz w:val="17"/>
              </w:rPr>
              <w:t>2</w:t>
            </w:r>
          </w:p>
        </w:tc>
      </w:tr>
    </w:tbl>
    <w:p>
      <w:pPr>
        <w:pStyle w:val="SmallText"/>
        <w:jc w:val="center"/>
      </w:pPr>
      <w:r>
        <w:t>Table A2. Unit directed distances for paired flips plus lower-only one-member heals.</w:t>
      </w:r>
    </w:p>
    <w:p>
      <w:pPr>
        <w:pStyle w:val="Heading1"/>
      </w:pPr>
      <w:r>
        <w:t>Appendix B. A worked r=2 cubical example</w:t>
      </w:r>
    </w:p>
    <w:p>
      <w:pPr/>
      <w:r>
        <w:t>Identify one free (Z₂)²-orbit with vertices 00,01,10,11. Let b(v)=v₁⊕v₂, so b=(0,1,1,0). Every cube edge changes parity, hence Δ(e)=1 on all four edges. The square closure relation is 1+1+1+1=0, so Δ is closed; because it equals δ⁰b it is exact. Integrating from b(00)=0 recovers b, while the other possible integration constant gives b+1=(1,0,0,1). Both have weight 2, so Theorem 9 gives repair cost 2.</w:t>
      </w:r>
    </w:p>
    <w:p>
      <w:pPr/>
      <w:r>
        <w:t>Now flip one observed edge bit, producing η with three ones and one zero. The square sum becomes 1, so η is not closed even though H¹(I²;F₂)=0. Its distance to the exact field Δ is one. The example separates a local measurement inconsistency η∉Z¹ from a topological obstruction [η]≠0: the former can occur on a contractible filled cube, whereas the latter cannot.</w:t>
      </w:r>
    </w:p>
    <w:p>
      <w:r>
        <w:br w:type="page"/>
      </w:r>
    </w:p>
    <w:p>
      <w:pPr>
        <w:pStyle w:val="Heading1"/>
      </w:pPr>
      <w:r>
        <w:t>References</w:t>
      </w:r>
    </w:p>
    <w:p>
      <w:pPr>
        <w:pStyle w:val="Reference"/>
      </w:pPr>
      <w:r>
        <w:t>Alves, M. M. S., Panek, L., &amp; Firer, M. (2008). Error-block codes and poset metrics. Advances in Mathematics of Communications, 2(1), 95–111. https://doi.org/10.3934/amc.2008.2.95</w:t>
      </w:r>
    </w:p>
    <w:p>
      <w:pPr>
        <w:pStyle w:val="Reference"/>
      </w:pPr>
      <w:r>
        <w:t>Aref, S., Mason, A. J., &amp; Wilson, M. C. (2020). A modeling and computational study of the frustration index in signed networks. Networks, 75, 95–110. https://doi.org/10.1002/net.21907</w:t>
      </w:r>
    </w:p>
    <w:p>
      <w:pPr>
        <w:pStyle w:val="Reference"/>
      </w:pPr>
      <w:r>
        <w:t>Barceló, H., Greene, C., Jarrah, A. S., &amp; Welker, V. (2019). Discrete cubical and path homologies of graphs. Algebraic Combinatorics, 2(3), 417–437. https://doi.org/10.5802/alco.49</w:t>
      </w:r>
    </w:p>
    <w:p>
      <w:pPr>
        <w:pStyle w:val="Reference"/>
      </w:pPr>
      <w:r>
        <w:t>Bhattacharya, R., &amp; Patrangenaru, V. (2005). Large sample theory of intrinsic and extrinsic sample means on manifolds—II. Annals of Statistics, 33(3), 1225–1259.</w:t>
      </w:r>
    </w:p>
    <w:p>
      <w:pPr>
        <w:pStyle w:val="Reference"/>
      </w:pPr>
      <w:r>
        <w:t>Bingham, C. (1974). An antipodally symmetric distribution on the sphere. Annals of Statistics, 2(6), 1201–1225.</w:t>
      </w:r>
    </w:p>
    <w:p>
      <w:pPr>
        <w:pStyle w:val="Reference"/>
      </w:pPr>
      <w:r>
        <w:t>Bombín, H., &amp; Martin-Delgado, M. A. (2007). Homological error correction: Classical and quantum codes. Journal of Mathematical Physics, 48(5), 052105. https://doi.org/10.1063/1.2731356</w:t>
      </w:r>
    </w:p>
    <w:p>
      <w:pPr>
        <w:pStyle w:val="Reference"/>
      </w:pPr>
      <w:r>
        <w:t>Breuckmann, N. P., &amp; Terhal, B. M. (2016). Constructions and noise threshold of hyperbolic surface codes. IEEE Transactions on Information Theory, 62(6), 3731–3744.</w:t>
      </w:r>
    </w:p>
    <w:p>
      <w:pPr>
        <w:pStyle w:val="Reference"/>
      </w:pPr>
      <w:r>
        <w:t>Brualdi, R. A., Graves, J. S., &amp; Lawrence, K. M. (1995). Codes with a poset metric. Discrete Mathematics, 147, 57–72.</w:t>
      </w:r>
    </w:p>
    <w:p>
      <w:pPr>
        <w:pStyle w:val="Reference"/>
      </w:pPr>
      <w:r>
        <w:t>Firer, M. (2019). Alternative metrics. arXiv:1911.12396.</w:t>
      </w:r>
    </w:p>
    <w:p>
      <w:pPr>
        <w:pStyle w:val="Reference"/>
      </w:pPr>
      <w:r>
        <w:t>Firer, M., Alves, M. M. S., Pinheiro, J. A., &amp; Panek, L. (2018). Poset Codes: Partial Orders, Metrics and Coding Theory. Springer.</w:t>
      </w:r>
    </w:p>
    <w:p>
      <w:pPr>
        <w:pStyle w:val="Reference"/>
      </w:pPr>
      <w:r>
        <w:t>Freedman, M. H., &amp; Meyer, D. A. (2001). Projective plane and planar quantum codes. Foundations of Computational Mathematics, 1(3), 325–332. https://doi.org/10.1007/s102080010013</w:t>
      </w:r>
    </w:p>
    <w:p>
      <w:pPr>
        <w:pStyle w:val="Reference"/>
      </w:pPr>
      <w:r>
        <w:t>Hutchinson, E. B., Rutecki, P. A., Alexander, A. L., &amp; Sutula, T. P. (2012). Fisher statistics for analysis of diffusion tensor directional information. Journal of Neuroscience Methods, 206(1), 40–45.</w:t>
      </w:r>
    </w:p>
    <w:p>
      <w:pPr>
        <w:pStyle w:val="Reference"/>
      </w:pPr>
      <w:r>
        <w:t>Hyun, J. Y., Kim, H. K., &amp; Park, J. R. (2017). The weighted poset metrics and directed graph metrics. arXiv:1703.00139.</w:t>
      </w:r>
    </w:p>
    <w:p>
      <w:pPr>
        <w:pStyle w:val="Reference"/>
      </w:pPr>
      <w:r>
        <w:t>Kaczynski, T., Mischaikow, K., &amp; Mrozek, M. (2004). Computational Homology. Springer.</w:t>
      </w:r>
    </w:p>
    <w:p>
      <w:pPr>
        <w:pStyle w:val="Reference"/>
      </w:pPr>
      <w:r>
        <w:t>Kurz, G., Gilitschenski, I., Pfaff, F., et al. (2019). Directional statistics and filtering using libDirectional. Journal of Statistical Software, 89(4), 1–31.</w:t>
      </w:r>
    </w:p>
    <w:p>
      <w:pPr>
        <w:pStyle w:val="Reference"/>
      </w:pPr>
      <w:r>
        <w:t>Machado, R. A., &amp; Firer, M. (2020). Weights which respect support and NN-decoding. IEEE Transactions on Information Theory, 66(6), 3664–3674. https://doi.org/10.1109/TIT.2020.2966997</w:t>
      </w:r>
    </w:p>
    <w:p>
      <w:pPr>
        <w:pStyle w:val="Reference"/>
      </w:pPr>
      <w:r>
        <w:t>MacWilliams, F. J., &amp; Sloane, N. J. A. (1977). The Theory of Error-Correcting Codes. North-Holland.</w:t>
      </w:r>
    </w:p>
    <w:p>
      <w:pPr>
        <w:pStyle w:val="Reference"/>
      </w:pPr>
      <w:r>
        <w:t>Mardia, K. V. (1975). Statistics of directional data. Journal of the Royal Statistical Society: Series B, 37(3), 349–393.</w:t>
      </w:r>
    </w:p>
    <w:p>
      <w:pPr>
        <w:pStyle w:val="Reference"/>
      </w:pPr>
      <w:r>
        <w:t>Pilarczyk, P., &amp; Real, P. (2015). Computation of cubical homology, cohomology, and (co)homological operations via chain contraction. Advances in Computational Mathematics, 41(1), 253–275. https://doi.org/10.1007/s10444-014-9356-1</w:t>
      </w:r>
    </w:p>
    <w:p>
      <w:pPr>
        <w:pStyle w:val="Reference"/>
      </w:pPr>
      <w:r>
        <w:t>Sarkar, R., &amp; Yoder, T. J. (2024). A graph-based formalism for surface codes and twists. Quantum, 8, 1416.</w:t>
      </w:r>
    </w:p>
    <w:p>
      <w:pPr>
        <w:pStyle w:val="Reference"/>
      </w:pPr>
      <w:r>
        <w:t>Slepian, D. (1956). A class of binary signaling alphabets. Bell System Technical Journal, 35, 203–234.</w:t>
      </w:r>
    </w:p>
    <w:p>
      <w:pPr>
        <w:pStyle w:val="Reference"/>
      </w:pPr>
      <w:r>
        <w:t>Watson, G. S. (1966). The statistics of orientation data. Journal of Geology, 74(5), 786–797.</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mallCaps/>
        <w:sz w:val="16"/>
      </w:rPr>
      <w:t>SYMMETRY-INDUCED EXACT DECODING UNDER FREE 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Times New Roman" w:hAnsi="Times New Roman"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cs="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eastAsia="Times New Roman" w:cs="Times New Roman"/>
      <w:b/>
      <w:bCs/>
      <w:i/>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jc w:val="center"/>
    </w:pPr>
    <w:rPr>
      <w:rFonts w:asciiTheme="majorHAnsi" w:eastAsiaTheme="majorEastAsia" w:hAnsiTheme="majorHAnsi" w:cstheme="majorBidi" w:ascii="Times New Roman" w:hAnsi="Times New Roman" w:eastAsia="Times New Roman" w:cs="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jc w:val="center"/>
    </w:pPr>
    <w:rPr>
      <w:rFonts w:asciiTheme="majorHAnsi" w:eastAsiaTheme="majorEastAsia" w:hAnsiTheme="majorHAnsi" w:cstheme="majorBidi" w:ascii="Times New Roman" w:hAnsi="Times New Roman" w:eastAsia="Times New Roman" w:cs="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cs="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eastAsia="Times New Roman" w:cs="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Body"/>
    <w:pPr>
      <w:spacing w:after="100" w:line="240" w:lineRule="auto"/>
      <w:ind w:left="504" w:right="504"/>
    </w:pPr>
    <w:rPr>
      <w:rFonts w:ascii="Times New Roman" w:hAnsi="Times New Roman" w:eastAsia="Times New Roman" w:cs="Times New Roman"/>
      <w:sz w:val="20"/>
    </w:rPr>
  </w:style>
  <w:style w:type="paragraph" w:customStyle="1" w:styleId="Equation">
    <w:name w:val="Equation"/>
    <w:pPr>
      <w:keepLines/>
      <w:spacing w:before="60" w:after="100"/>
      <w:jc w:val="center"/>
    </w:pPr>
    <w:rPr>
      <w:rFonts w:ascii="Cambria Math" w:hAnsi="Cambria Math" w:eastAsia="Cambria Math" w:cs="Cambria Math"/>
      <w:sz w:val="21"/>
    </w:rPr>
  </w:style>
  <w:style w:type="paragraph" w:customStyle="1" w:styleId="Theorem">
    <w:name w:val="Theorem"/>
    <w:pPr>
      <w:keepLines/>
      <w:spacing w:before="80" w:after="80"/>
      <w:ind w:left="259" w:right="173"/>
    </w:pPr>
    <w:rPr>
      <w:rFonts w:ascii="Times New Roman" w:hAnsi="Times New Roman" w:eastAsia="Times New Roman" w:cs="Times New Roman"/>
      <w:sz w:val="21"/>
    </w:rPr>
  </w:style>
  <w:style w:type="paragraph" w:customStyle="1" w:styleId="Proof">
    <w:name w:val="Proof"/>
    <w:pPr>
      <w:spacing w:after="100"/>
      <w:ind w:left="259" w:right="173"/>
    </w:pPr>
    <w:rPr>
      <w:rFonts w:ascii="Times New Roman" w:hAnsi="Times New Roman" w:eastAsia="Times New Roman" w:cs="Times New Roman"/>
      <w:sz w:val="21"/>
    </w:rPr>
  </w:style>
  <w:style w:type="paragraph" w:customStyle="1" w:styleId="Remark">
    <w:name w:val="Remark"/>
    <w:pPr>
      <w:spacing w:after="100"/>
      <w:ind w:left="259" w:right="173"/>
    </w:pPr>
    <w:rPr>
      <w:rFonts w:ascii="Times New Roman" w:hAnsi="Times New Roman" w:eastAsia="Times New Roman" w:cs="Times New Roman"/>
      <w:i/>
      <w:sz w:val="20"/>
    </w:rPr>
  </w:style>
  <w:style w:type="paragraph" w:customStyle="1" w:styleId="Reference">
    <w:name w:val="Reference"/>
    <w:pPr>
      <w:spacing w:after="40" w:line="240" w:lineRule="auto"/>
      <w:ind w:left="403" w:hanging="403"/>
    </w:pPr>
    <w:rPr>
      <w:rFonts w:ascii="Times New Roman" w:hAnsi="Times New Roman" w:eastAsia="Times New Roman" w:cs="Times New Roman"/>
      <w:sz w:val="17"/>
    </w:rPr>
  </w:style>
  <w:style w:type="paragraph" w:customStyle="1" w:styleId="SmallText">
    <w:name w:val="SmallText"/>
    <w:pPr>
      <w:spacing w:after="60"/>
    </w:pPr>
    <w:rPr>
      <w:rFonts w:ascii="Times New Roman" w:hAnsi="Times New Roman" w:eastAsia="Times New Roman" w:cs="Times New Roman"/>
      <w:sz w:val="18"/>
    </w:rPr>
  </w:style>
  <w:style w:type="paragraph" w:customStyle="1" w:styleId="Keywords">
    <w:name w:val="Keywords"/>
    <w:pPr>
      <w:spacing w:after="160"/>
      <w:ind w:left="504" w:right="504"/>
    </w:pPr>
    <w:rPr>
      <w:rFonts w:ascii="Times New Roman" w:hAnsi="Times New Roman" w:eastAsia="Times New Roman" w:cs="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Symmetry-Induced Exact Decoding Under Free Actions</dc:title>
  <dc:subject>Shortest-repair factorization, free involutions, projective descent, and cubical cochains</dc:subject>
  <dc:creator>python-docx</dc:creator>
  <cp:keywords>free involution, decoding, operation graph, cubical cohomology, signed graph frustration, RP2</cp:keywords>
  <dc:description>Submission-ready revision incorporating mathematical corrections and independent validation.</dc:description>
  <cp:lastModifiedBy/>
  <cp:revision>1</cp:revision>
  <dcterms:created xsi:type="dcterms:W3CDTF">2013-12-23T23:15:00Z</dcterms:created>
  <dcterms:modified xsi:type="dcterms:W3CDTF">2013-12-23T23:15:00Z</dcterms:modified>
  <cp:category/>
</cp:coreProperties>
</file>