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OCR H446 Past Papers — Complete Index &amp; How to Use Them</w:t>
      </w:r>
    </w:p>
    <w:p>
      <w:r>
        <w:t xml:space="preserve">Past papers are the single most authentic practice available — use them alongside the practice materials in this course. This guide lists </w:t>
      </w:r>
      <w:r>
        <w:rPr>
          <w:b/>
        </w:rPr>
        <w:t>every published H446 series</w:t>
      </w:r>
      <w:r>
        <w:t>, where to get the papers, how the real papers are structured, and what examiners' reports say students get wrong.</w:t>
      </w:r>
    </w:p>
    <w:p>
      <w:pPr>
        <w:ind w:left="432"/>
        <w:shd w:fill="FFF8E7"/>
      </w:pPr>
      <w:r>
        <w:t xml:space="preserve">⚖️ </w:t>
      </w:r>
      <w:r>
        <w:rPr>
          <w:b/>
        </w:rPr>
        <w:t>Copyright note:</w:t>
      </w:r>
      <w:r>
        <w:t xml:space="preserve"> past papers and mark schemes are © OCR. They are not bundled in this resource bank — download them from OCR or the mirror sites below. Recent series are teacher-only at first (via </w:t>
      </w:r>
      <w:r>
        <w:rPr>
          <w:b/>
        </w:rPr>
        <w:t>Teach Cambridge / OCR Interchange</w:t>
      </w:r>
      <w:r>
        <w:t>) and are released publicly about a year after the exam.</w:t>
      </w:r>
    </w:p>
    <w:p>
      <w:pPr>
        <w:pBdr>
          <w:bottom w:val="single" w:sz="6" w:space="1" w:color="AAAAAA"/>
        </w:pBdr>
      </w:pPr>
    </w:p>
    <w:p>
      <w:pPr>
        <w:pStyle w:val="Heading2"/>
      </w:pPr>
      <w:r>
        <w:t>Every available series (Paper 1 = Computer Systems, Paper 2 = Algorithms &amp; Programming)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rPr>
              <w:t>Series</w:t>
            </w:r>
          </w:p>
        </w:tc>
        <w:tc>
          <w:tcPr>
            <w:tcW w:type="dxa" w:w="2160"/>
            <w:shd w:fill="D9E2F3"/>
          </w:tcPr>
          <w:p>
            <w:r>
              <w:rPr>
                <w:b/>
              </w:rPr>
            </w:r>
            <w:r>
              <w:rPr>
                <w:b/>
              </w:rPr>
              <w:t>H446/01</w:t>
            </w:r>
          </w:p>
        </w:tc>
        <w:tc>
          <w:tcPr>
            <w:tcW w:type="dxa" w:w="2160"/>
            <w:shd w:fill="D9E2F3"/>
          </w:tcPr>
          <w:p>
            <w:r>
              <w:rPr>
                <w:b/>
              </w:rPr>
            </w:r>
            <w:r>
              <w:rPr>
                <w:b/>
              </w:rPr>
              <w:t>H446/02</w:t>
            </w:r>
          </w:p>
        </w:tc>
        <w:tc>
          <w:tcPr>
            <w:tcW w:type="dxa" w:w="2160"/>
            <w:shd w:fill="D9E2F3"/>
          </w:tcPr>
          <w:p>
            <w:r>
              <w:rPr>
                <w:b/>
              </w:rPr>
            </w:r>
            <w:r>
              <w:rPr>
                <w:b/>
              </w:rPr>
              <w:t>Notes</w:t>
            </w:r>
          </w:p>
        </w:tc>
      </w:tr>
      <w:tr>
        <w:tc>
          <w:tcPr>
            <w:tcW w:type="dxa" w:w="2160"/>
          </w:tcPr>
          <w:p>
            <w:r/>
            <w:r>
              <w:t>Specimen (SAMs)</w:t>
            </w:r>
          </w:p>
        </w:tc>
        <w:tc>
          <w:tcPr>
            <w:tcW w:type="dxa" w:w="2160"/>
          </w:tcPr>
          <w:p>
            <w:r/>
            <w:r>
              <w:t>✅</w:t>
            </w:r>
          </w:p>
        </w:tc>
        <w:tc>
          <w:tcPr>
            <w:tcW w:type="dxa" w:w="2160"/>
          </w:tcPr>
          <w:p>
            <w:r/>
            <w:r>
              <w:t>✅</w:t>
            </w:r>
          </w:p>
        </w:tc>
        <w:tc>
          <w:tcPr>
            <w:tcW w:type="dxa" w:w="2160"/>
          </w:tcPr>
          <w:p>
            <w:r/>
            <w:r>
              <w:t>Sample assessment materials, published with the spec</w:t>
            </w:r>
          </w:p>
        </w:tc>
      </w:tr>
      <w:tr>
        <w:tc>
          <w:tcPr>
            <w:tcW w:type="dxa" w:w="2160"/>
          </w:tcPr>
          <w:p>
            <w:r/>
            <w:r>
              <w:t>June 2017</w:t>
            </w:r>
          </w:p>
        </w:tc>
        <w:tc>
          <w:tcPr>
            <w:tcW w:type="dxa" w:w="2160"/>
          </w:tcPr>
          <w:p>
            <w:r/>
            <w:r>
              <w:t>✅</w:t>
            </w:r>
          </w:p>
        </w:tc>
        <w:tc>
          <w:tcPr>
            <w:tcW w:type="dxa" w:w="2160"/>
          </w:tcPr>
          <w:p>
            <w:r/>
            <w:r>
              <w:t>✅</w:t>
            </w:r>
          </w:p>
        </w:tc>
        <w:tc>
          <w:tcPr>
            <w:tcW w:type="dxa" w:w="2160"/>
          </w:tcPr>
          <w:p>
            <w:r/>
            <w:r>
              <w:t>First live series</w:t>
            </w:r>
          </w:p>
        </w:tc>
      </w:tr>
      <w:tr>
        <w:tc>
          <w:tcPr>
            <w:tcW w:type="dxa" w:w="2160"/>
          </w:tcPr>
          <w:p>
            <w:r/>
            <w:r>
              <w:t>June 2018</w:t>
            </w:r>
          </w:p>
        </w:tc>
        <w:tc>
          <w:tcPr>
            <w:tcW w:type="dxa" w:w="2160"/>
          </w:tcPr>
          <w:p>
            <w:r/>
            <w:r>
              <w:t>✅</w:t>
            </w:r>
          </w:p>
        </w:tc>
        <w:tc>
          <w:tcPr>
            <w:tcW w:type="dxa" w:w="2160"/>
          </w:tcPr>
          <w:p>
            <w:r/>
            <w:r>
              <w:t>✅</w:t>
            </w:r>
          </w:p>
        </w:tc>
        <w:tc>
          <w:tcPr>
            <w:tcW w:type="dxa" w:w="2160"/>
          </w:tcPr>
          <w:p>
            <w:r/>
          </w:p>
        </w:tc>
      </w:tr>
      <w:tr>
        <w:tc>
          <w:tcPr>
            <w:tcW w:type="dxa" w:w="2160"/>
          </w:tcPr>
          <w:p>
            <w:r/>
            <w:r>
              <w:t>June 2019</w:t>
            </w:r>
          </w:p>
        </w:tc>
        <w:tc>
          <w:tcPr>
            <w:tcW w:type="dxa" w:w="2160"/>
          </w:tcPr>
          <w:p>
            <w:r/>
            <w:r>
              <w:t>✅</w:t>
            </w:r>
          </w:p>
        </w:tc>
        <w:tc>
          <w:tcPr>
            <w:tcW w:type="dxa" w:w="2160"/>
          </w:tcPr>
          <w:p>
            <w:r/>
            <w:r>
              <w:t>✅</w:t>
            </w:r>
          </w:p>
        </w:tc>
        <w:tc>
          <w:tcPr>
            <w:tcW w:type="dxa" w:w="2160"/>
          </w:tcPr>
          <w:p>
            <w:r/>
            <w:r>
              <w:t>Last "normal" pre-Covid series</w:t>
            </w:r>
          </w:p>
        </w:tc>
      </w:tr>
      <w:tr>
        <w:tc>
          <w:tcPr>
            <w:tcW w:type="dxa" w:w="2160"/>
          </w:tcPr>
          <w:p>
            <w:r/>
            <w:r>
              <w:t>November 2020</w:t>
            </w:r>
          </w:p>
        </w:tc>
        <w:tc>
          <w:tcPr>
            <w:tcW w:type="dxa" w:w="2160"/>
          </w:tcPr>
          <w:p>
            <w:r/>
            <w:r>
              <w:t>✅</w:t>
            </w:r>
          </w:p>
        </w:tc>
        <w:tc>
          <w:tcPr>
            <w:tcW w:type="dxa" w:w="2160"/>
          </w:tcPr>
          <w:p>
            <w:r/>
            <w:r>
              <w:t>✅</w:t>
            </w:r>
          </w:p>
        </w:tc>
        <w:tc>
          <w:tcPr>
            <w:tcW w:type="dxa" w:w="2160"/>
          </w:tcPr>
          <w:p>
            <w:r/>
            <w:r>
              <w:t>Autumn series (Covid); June 2020 was cancelled</w:t>
            </w:r>
          </w:p>
        </w:tc>
      </w:tr>
      <w:tr>
        <w:tc>
          <w:tcPr>
            <w:tcW w:type="dxa" w:w="2160"/>
          </w:tcPr>
          <w:p>
            <w:r/>
            <w:r>
              <w:t>November 2021</w:t>
            </w:r>
          </w:p>
        </w:tc>
        <w:tc>
          <w:tcPr>
            <w:tcW w:type="dxa" w:w="2160"/>
          </w:tcPr>
          <w:p>
            <w:r/>
            <w:r>
              <w:t>✅</w:t>
            </w:r>
          </w:p>
        </w:tc>
        <w:tc>
          <w:tcPr>
            <w:tcW w:type="dxa" w:w="2160"/>
          </w:tcPr>
          <w:p>
            <w:r/>
            <w:r>
              <w:t>✅</w:t>
            </w:r>
          </w:p>
        </w:tc>
        <w:tc>
          <w:tcPr>
            <w:tcW w:type="dxa" w:w="2160"/>
          </w:tcPr>
          <w:p>
            <w:r/>
            <w:r>
              <w:t>Autumn series (Covid); June 2021 was cancelled</w:t>
            </w:r>
          </w:p>
        </w:tc>
      </w:tr>
      <w:tr>
        <w:tc>
          <w:tcPr>
            <w:tcW w:type="dxa" w:w="2160"/>
          </w:tcPr>
          <w:p>
            <w:r/>
            <w:r>
              <w:t>June 2022</w:t>
            </w:r>
          </w:p>
        </w:tc>
        <w:tc>
          <w:tcPr>
            <w:tcW w:type="dxa" w:w="2160"/>
          </w:tcPr>
          <w:p>
            <w:r/>
            <w:r>
              <w:t>✅</w:t>
            </w:r>
          </w:p>
        </w:tc>
        <w:tc>
          <w:tcPr>
            <w:tcW w:type="dxa" w:w="2160"/>
          </w:tcPr>
          <w:p>
            <w:r/>
            <w:r>
              <w:t>✅</w:t>
            </w:r>
          </w:p>
        </w:tc>
        <w:tc>
          <w:tcPr>
            <w:tcW w:type="dxa" w:w="2160"/>
          </w:tcPr>
          <w:p>
            <w:r/>
          </w:p>
        </w:tc>
      </w:tr>
      <w:tr>
        <w:tc>
          <w:tcPr>
            <w:tcW w:type="dxa" w:w="2160"/>
          </w:tcPr>
          <w:p>
            <w:r/>
            <w:r>
              <w:t>June 2023</w:t>
            </w:r>
          </w:p>
        </w:tc>
        <w:tc>
          <w:tcPr>
            <w:tcW w:type="dxa" w:w="2160"/>
          </w:tcPr>
          <w:p>
            <w:r/>
            <w:r>
              <w:t>✅</w:t>
            </w:r>
          </w:p>
        </w:tc>
        <w:tc>
          <w:tcPr>
            <w:tcW w:type="dxa" w:w="2160"/>
          </w:tcPr>
          <w:p>
            <w:r/>
            <w:r>
              <w:t>✅</w:t>
            </w:r>
          </w:p>
        </w:tc>
        <w:tc>
          <w:tcPr>
            <w:tcW w:type="dxa" w:w="2160"/>
          </w:tcPr>
          <w:p>
            <w:r/>
          </w:p>
        </w:tc>
      </w:tr>
      <w:tr>
        <w:tc>
          <w:tcPr>
            <w:tcW w:type="dxa" w:w="2160"/>
          </w:tcPr>
          <w:p>
            <w:r/>
            <w:r>
              <w:t>June 2024</w:t>
            </w:r>
          </w:p>
        </w:tc>
        <w:tc>
          <w:tcPr>
            <w:tcW w:type="dxa" w:w="2160"/>
          </w:tcPr>
          <w:p>
            <w:r/>
            <w:r>
              <w:t>✅</w:t>
            </w:r>
          </w:p>
        </w:tc>
        <w:tc>
          <w:tcPr>
            <w:tcW w:type="dxa" w:w="2160"/>
          </w:tcPr>
          <w:p>
            <w:r/>
            <w:r>
              <w:t>✅</w:t>
            </w:r>
          </w:p>
        </w:tc>
        <w:tc>
          <w:tcPr>
            <w:tcW w:type="dxa" w:w="2160"/>
          </w:tcPr>
          <w:p>
            <w:r/>
            <w:r>
              <w:t>Public release typically ~1 year after sitting</w:t>
            </w:r>
          </w:p>
        </w:tc>
      </w:tr>
      <w:tr>
        <w:tc>
          <w:tcPr>
            <w:tcW w:type="dxa" w:w="2160"/>
          </w:tcPr>
          <w:p>
            <w:r/>
            <w:r>
              <w:t>June 2025</w:t>
            </w:r>
          </w:p>
        </w:tc>
        <w:tc>
          <w:tcPr>
            <w:tcW w:type="dxa" w:w="2160"/>
          </w:tcPr>
          <w:p>
            <w:r/>
            <w:r>
              <w:t>🔒</w:t>
            </w:r>
          </w:p>
        </w:tc>
        <w:tc>
          <w:tcPr>
            <w:tcW w:type="dxa" w:w="2160"/>
          </w:tcPr>
          <w:p>
            <w:r/>
            <w:r>
              <w:t>🔒</w:t>
            </w:r>
          </w:p>
        </w:tc>
        <w:tc>
          <w:tcPr>
            <w:tcW w:type="dxa" w:w="2160"/>
          </w:tcPr>
          <w:p>
            <w:r/>
            <w:r>
              <w:t>Teacher-access only until public release</w:t>
            </w:r>
          </w:p>
        </w:tc>
      </w:tr>
    </w:tbl>
    <w:p/>
    <w:p>
      <w:r>
        <w:t xml:space="preserve">Each series has a </w:t>
      </w:r>
      <w:r>
        <w:rPr>
          <w:b/>
        </w:rPr>
        <w:t>question paper</w:t>
      </w:r>
      <w:r>
        <w:t xml:space="preserve">, a </w:t>
      </w:r>
      <w:r>
        <w:rPr>
          <w:b/>
        </w:rPr>
        <w:t>mark scheme</w:t>
      </w:r>
      <w:r>
        <w:t xml:space="preserve">, and an </w:t>
      </w:r>
      <w:r>
        <w:rPr>
          <w:b/>
        </w:rPr>
        <w:t>examiners' report</w:t>
      </w:r>
      <w:r>
        <w:t xml:space="preserve"> — always use all three. There are also OCR </w:t>
      </w:r>
      <w:r>
        <w:rPr>
          <w:b/>
        </w:rPr>
        <w:t>practice papers</w:t>
      </w:r>
      <w:r>
        <w:t xml:space="preserve"> (Sets 1–2) available to centres.</w:t>
      </w:r>
    </w:p>
    <w:p>
      <w:pPr>
        <w:pStyle w:val="Heading2"/>
      </w:pPr>
      <w:r>
        <w:t>Where to download</w:t>
      </w:r>
    </w:p>
    <w:p>
      <w:pPr>
        <w:pStyle w:val="ListBullet"/>
      </w:pPr>
      <w:r>
        <w:rPr>
          <w:b/>
        </w:rPr>
        <w:t>Official:</w:t>
      </w:r>
      <w:r>
        <w:t xml:space="preserve"> OCR past papers page — public releases, plus </w:t>
      </w:r>
      <w:r>
        <w:rPr>
          <w:b/>
        </w:rPr>
        <w:t>Teach Cambridge</w:t>
      </w:r>
      <w:r>
        <w:t xml:space="preserve"> for recent locked series (your exams officer can grant access).</w:t>
      </w:r>
    </w:p>
    <w:p>
      <w:pPr>
        <w:pStyle w:val="ListBullet"/>
      </w:pPr>
      <w:r>
        <w:rPr>
          <w:b/>
        </w:rPr>
        <w:t>Mirrors (convenient, unofficial):</w:t>
      </w:r>
      <w:r>
        <w:t xml:space="preserve"> Physics &amp; Maths Tutor — Paper 1 · Paper 2 · Revision World</w:t>
      </w:r>
    </w:p>
    <w:p>
      <w:pPr>
        <w:pBdr>
          <w:bottom w:val="single" w:sz="6" w:space="1" w:color="AAAAAA"/>
        </w:pBdr>
      </w:pPr>
    </w:p>
    <w:p>
      <w:pPr>
        <w:pStyle w:val="Heading2"/>
      </w:pPr>
      <w:r>
        <w:t>How the real papers are structured (both papers)</w:t>
      </w:r>
    </w:p>
    <w:p>
      <w:pPr>
        <w:pStyle w:val="ListBullet"/>
      </w:pPr>
      <w:r>
        <w:rPr>
          <w:b/>
        </w:rPr>
        <w:t>2 h 30 min · 140 marks</w:t>
      </w:r>
      <w:r>
        <w:t>, marks shown in brackets per part.</w:t>
      </w:r>
    </w:p>
    <w:p>
      <w:pPr>
        <w:pStyle w:val="ListBullet"/>
      </w:pPr>
      <w:r>
        <w:t>A run of multi-part structured questions, mixing short recall (AO1), scenario application (AO2) and analysis/evaluation/design (AO3).</w:t>
      </w:r>
    </w:p>
    <w:p>
      <w:pPr>
        <w:pStyle w:val="ListBullet"/>
      </w:pPr>
      <w:r>
        <w:t xml:space="preserve">Questions marked with an </w:t>
      </w:r>
      <w:r>
        <w:rPr>
          <w:b/>
        </w:rPr>
        <w:t>asterisk (\*)</w:t>
      </w:r>
      <w:r>
        <w:t xml:space="preserve"> are </w:t>
      </w:r>
      <w:r>
        <w:rPr>
          <w:b/>
        </w:rPr>
        <w:t>extended-response</w:t>
      </w:r>
      <w:r>
        <w:t xml:space="preserve"> items assessed with </w:t>
      </w:r>
      <w:r>
        <w:rPr>
          <w:b/>
        </w:rPr>
        <w:t>levels-of-response bands</w:t>
      </w:r>
      <w:r>
        <w:t xml:space="preserve"> — the top band requires a </w:t>
      </w:r>
      <w:r>
        <w:rPr>
          <w:i/>
        </w:rPr>
        <w:t>thorough, balanced, well-developed line of reasoning, applied to the scenario, with substantiated evaluative comments</w:t>
      </w:r>
      <w:r>
        <w:t>. The practice materials in this course mirror this convention (asterisked 9/12-mark questions with band descriptors).</w:t>
      </w:r>
    </w:p>
    <w:p>
      <w:pPr>
        <w:pStyle w:val="ListBullet"/>
      </w:pPr>
      <w:r>
        <w:t xml:space="preserve">Paper 2 questions frequently require </w:t>
      </w:r>
      <w:r>
        <w:rPr>
          <w:b/>
        </w:rPr>
        <w:t>writing or completing code in OCR Exam Reference Language</w:t>
      </w:r>
      <w:r>
        <w:t xml:space="preserve"> (or a high-level language) and </w:t>
      </w:r>
      <w:r>
        <w:rPr>
          <w:b/>
        </w:rPr>
        <w:t>trace tables</w:t>
      </w:r>
      <w:r>
        <w:t>; from 2022 onward algorithm-writing demands have been substantial.</w:t>
      </w:r>
    </w:p>
    <w:p>
      <w:pPr>
        <w:pStyle w:val="Heading2"/>
      </w:pPr>
      <w:r>
        <w:t>What examiners' reports keep repeating (build these into revision)</w:t>
      </w:r>
    </w:p>
    <w:p>
      <w:pPr>
        <w:pStyle w:val="ListNumber"/>
      </w:pPr>
      <w:r>
        <w:rPr>
          <w:b/>
        </w:rPr>
        <w:t>Not applying answers to the scenario</w:t>
      </w:r>
      <w:r>
        <w:t xml:space="preserve"> — the single biggest mark-loser on AO2/AO3 questions. Generic textbook answers cap out low; name the scenario in the answer.</w:t>
      </w:r>
    </w:p>
    <w:p>
      <w:pPr>
        <w:pStyle w:val="ListNumber"/>
      </w:pPr>
      <w:r>
        <w:rPr>
          <w:b/>
        </w:rPr>
        <w:t>Recursion remains the hardest-reported topic</w:t>
      </w:r>
      <w:r>
        <w:t xml:space="preserve"> on Paper 2 — trace with a call-stack, every year.</w:t>
      </w:r>
    </w:p>
    <w:p>
      <w:pPr>
        <w:pStyle w:val="ListNumber"/>
      </w:pPr>
      <w:r>
        <w:rPr>
          <w:b/>
        </w:rPr>
        <w:t>Databases:</w:t>
      </w:r>
      <w:r>
        <w:t xml:space="preserve"> confusion between </w:t>
      </w:r>
      <w:r>
        <w:rPr>
          <w:b/>
        </w:rPr>
        <w:t>referential integrity</w:t>
      </w:r>
      <w:r>
        <w:t xml:space="preserve"> and </w:t>
      </w:r>
      <w:r>
        <w:rPr>
          <w:b/>
        </w:rPr>
        <w:t>Atomicity (ACID)</w:t>
      </w:r>
      <w:r>
        <w:t>; weak normalisation explanations.</w:t>
      </w:r>
    </w:p>
    <w:p>
      <w:pPr>
        <w:pStyle w:val="ListNumber"/>
      </w:pPr>
      <w:r>
        <w:rPr>
          <w:b/>
        </w:rPr>
        <w:t>One-sided extended responses</w:t>
      </w:r>
      <w:r>
        <w:t xml:space="preserve"> — top band requires balance (benefits </w:t>
      </w:r>
      <w:r>
        <w:rPr>
          <w:i/>
        </w:rPr>
        <w:t>and</w:t>
      </w:r>
      <w:r>
        <w:t xml:space="preserve"> drawbacks, multiple stakeholders) and a justified conclusion.</w:t>
      </w:r>
    </w:p>
    <w:p>
      <w:pPr>
        <w:pStyle w:val="ListNumber"/>
      </w:pPr>
      <w:r>
        <w:rPr>
          <w:b/>
        </w:rPr>
        <w:t>Showing working</w:t>
      </w:r>
      <w:r>
        <w:t xml:space="preserve"> — method marks in calculations and traces are repeatedly thrown away.</w:t>
      </w:r>
    </w:p>
    <w:p>
      <w:pPr>
        <w:pStyle w:val="ListNumber"/>
      </w:pPr>
      <w:r>
        <w:rPr>
          <w:b/>
        </w:rPr>
        <w:t>Imprecise definitions</w:t>
      </w:r>
      <w:r>
        <w:t xml:space="preserve"> — mark schemes credit exact technical vocabulary.</w:t>
      </w:r>
    </w:p>
    <w:p>
      <w:r>
        <w:rPr>
          <w:i/>
        </w:rPr>
        <w:t>(These themes are baked into this course's worksheets, homework Part B retrieval, and the A\</w:t>
      </w:r>
      <w:r>
        <w:t xml:space="preserve"> pack's examiner-insights guide.)*</w:t>
      </w:r>
    </w:p>
    <w:p>
      <w:pPr>
        <w:pBdr>
          <w:bottom w:val="single" w:sz="6" w:space="1" w:color="AAAAAA"/>
        </w:pBdr>
      </w:pPr>
    </w:p>
    <w:p>
      <w:pPr>
        <w:pStyle w:val="Heading2"/>
      </w:pPr>
      <w:r>
        <w:t>A practical past-paper programme (Year 12 → 13)</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Stage</w:t>
            </w:r>
          </w:p>
        </w:tc>
        <w:tc>
          <w:tcPr>
            <w:tcW w:type="dxa" w:w="2880"/>
            <w:shd w:fill="D9E2F3"/>
          </w:tcPr>
          <w:p>
            <w:r>
              <w:rPr>
                <w:b/>
              </w:rPr>
            </w:r>
            <w:r>
              <w:rPr>
                <w:b/>
              </w:rPr>
              <w:t>Papers to use</w:t>
            </w:r>
          </w:p>
        </w:tc>
        <w:tc>
          <w:tcPr>
            <w:tcW w:type="dxa" w:w="2880"/>
            <w:shd w:fill="D9E2F3"/>
          </w:tcPr>
          <w:p>
            <w:r>
              <w:rPr>
                <w:b/>
              </w:rPr>
            </w:r>
            <w:r>
              <w:rPr>
                <w:b/>
              </w:rPr>
              <w:t>How</w:t>
            </w:r>
          </w:p>
        </w:tc>
      </w:tr>
      <w:tr>
        <w:tc>
          <w:tcPr>
            <w:tcW w:type="dxa" w:w="2880"/>
          </w:tcPr>
          <w:p>
            <w:r/>
            <w:r>
              <w:t>End of Year 12 (mock prep)</w:t>
            </w:r>
          </w:p>
        </w:tc>
        <w:tc>
          <w:tcPr>
            <w:tcW w:type="dxa" w:w="2880"/>
          </w:tcPr>
          <w:p>
            <w:r/>
            <w:r>
              <w:t>Specimen + June 2017</w:t>
            </w:r>
          </w:p>
        </w:tc>
        <w:tc>
          <w:tcPr>
            <w:tcW w:type="dxa" w:w="2880"/>
          </w:tcPr>
          <w:p>
            <w:r/>
            <w:r>
              <w:t>Sections at a time, open-book first, then timed</w:t>
            </w:r>
          </w:p>
        </w:tc>
      </w:tr>
      <w:tr>
        <w:tc>
          <w:tcPr>
            <w:tcW w:type="dxa" w:w="2880"/>
          </w:tcPr>
          <w:p>
            <w:r/>
            <w:r>
              <w:t>Start of Year 13</w:t>
            </w:r>
          </w:p>
        </w:tc>
        <w:tc>
          <w:tcPr>
            <w:tcW w:type="dxa" w:w="2880"/>
          </w:tcPr>
          <w:p>
            <w:r/>
            <w:r>
              <w:t>2018 + 2019</w:t>
            </w:r>
          </w:p>
        </w:tc>
        <w:tc>
          <w:tcPr>
            <w:tcW w:type="dxa" w:w="2880"/>
          </w:tcPr>
          <w:p>
            <w:r/>
            <w:r>
              <w:t>Timed by paper-half; mark with the real mark scheme</w:t>
            </w:r>
          </w:p>
        </w:tc>
      </w:tr>
      <w:tr>
        <w:tc>
          <w:tcPr>
            <w:tcW w:type="dxa" w:w="2880"/>
          </w:tcPr>
          <w:p>
            <w:r/>
            <w:r>
              <w:t>Mock season</w:t>
            </w:r>
          </w:p>
        </w:tc>
        <w:tc>
          <w:tcPr>
            <w:tcW w:type="dxa" w:w="2880"/>
          </w:tcPr>
          <w:p>
            <w:r/>
            <w:r>
              <w:t>Nov 2020 or Nov 2021</w:t>
            </w:r>
          </w:p>
        </w:tc>
        <w:tc>
          <w:tcPr>
            <w:tcW w:type="dxa" w:w="2880"/>
          </w:tcPr>
          <w:p>
            <w:r/>
            <w:r>
              <w:t>Full, timed, exam conditions</w:t>
            </w:r>
          </w:p>
        </w:tc>
      </w:tr>
      <w:tr>
        <w:tc>
          <w:tcPr>
            <w:tcW w:type="dxa" w:w="2880"/>
          </w:tcPr>
          <w:p>
            <w:r/>
            <w:r>
              <w:t>Spring Year 13</w:t>
            </w:r>
          </w:p>
        </w:tc>
        <w:tc>
          <w:tcPr>
            <w:tcW w:type="dxa" w:w="2880"/>
          </w:tcPr>
          <w:p>
            <w:r/>
            <w:r>
              <w:t>2022 + 2023</w:t>
            </w:r>
          </w:p>
        </w:tc>
        <w:tc>
          <w:tcPr>
            <w:tcW w:type="dxa" w:w="2880"/>
          </w:tcPr>
          <w:p>
            <w:r/>
            <w:r>
              <w:t>Full, timed; read the examiners' report after marking</w:t>
            </w:r>
          </w:p>
        </w:tc>
      </w:tr>
      <w:tr>
        <w:tc>
          <w:tcPr>
            <w:tcW w:type="dxa" w:w="2880"/>
          </w:tcPr>
          <w:p>
            <w:r/>
            <w:r>
              <w:t>Final run-in</w:t>
            </w:r>
          </w:p>
        </w:tc>
        <w:tc>
          <w:tcPr>
            <w:tcW w:type="dxa" w:w="2880"/>
          </w:tcPr>
          <w:p>
            <w:r/>
            <w:r>
              <w:t>2024 (+ 2025 if released to you)</w:t>
            </w:r>
          </w:p>
        </w:tc>
        <w:tc>
          <w:tcPr>
            <w:tcW w:type="dxa" w:w="2880"/>
          </w:tcPr>
          <w:p>
            <w:r/>
            <w:r>
              <w:t>Saved for last — closest to current style</w:t>
            </w:r>
          </w:p>
        </w:tc>
      </w:tr>
    </w:tbl>
    <w:p/>
    <w:p>
      <w:r>
        <w:rPr>
          <w:b/>
        </w:rPr>
        <w:t>Marking discipline:</w:t>
      </w:r>
      <w:r>
        <w:t xml:space="preserve"> always mark against the official scheme, log every dropped mark with a reason, and re-RAG the matching subtopic in the Personal Learning Checklist. The recap checkpoints and mock papers in this course are calibrated to the same conventions, so they interleave cleanly with this programme.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