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Easter Holidays</w:t>
      </w:r>
    </w:p>
    <w:p>
      <w:pPr>
        <w:pStyle w:val="ListBullet"/>
      </w:pPr>
      <w:r>
        <w:rPr>
          <w:b w:val="0"/>
          <w:i w:val="0"/>
        </w:rPr>
        <w:t>Mock Paper 1 a section at a time, self-marked. Re-RAG the PLC.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