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Easter Holidays - Homework</w:t>
      </w:r>
    </w:p>
    <w:p>
      <w:pPr>
        <w:pStyle w:val="ListBullet"/>
      </w:pPr>
      <w:r>
        <w:rPr>
          <w:b w:val="0"/>
          <w:i w:val="0"/>
        </w:rPr>
        <w:t>Re-sit your two weakest mini-papers timed (they are in the Topic Library) and mark them against the answer sheets. 10 minutes of flashcards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