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Easter Holidays - Consolidation</w:t>
      </w:r>
    </w:p>
    <w:p>
      <w:pPr>
        <w:pStyle w:val="ListBullet"/>
      </w:pPr>
      <w:r>
        <w:rPr>
          <w:b w:val="0"/>
          <w:i w:val="0"/>
        </w:rPr>
        <w:t>Re-RAG your Personal Learning Checklist and bring the two weakest rows to the first lesson back.</w:t>
      </w:r>
    </w:p>
    <w:p>
      <w:pPr>
        <w:pStyle w:val="ListBullet"/>
      </w:pPr>
      <w:r>
        <w:rPr>
          <w:b w:val="0"/>
          <w:i w:val="0"/>
        </w:rPr>
        <w:t>Mock Paper 1 a section at a time, self-marked. Re-RAG the PLC.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