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2.1.4 Thinking Logically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1 mark per gap: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rFonts w:ascii="Consolas" w:hAnsi="Consolas"/>
          <w:b w:val="0"/>
          <w:i w:val="0"/>
          <w:sz w:val="19"/>
        </w:rPr>
        <w:t>score &gt;= 70</w:t>
      </w:r>
      <w:r>
        <w:rPr>
          <w:b w:val="0"/>
          <w:i w:val="0"/>
        </w:rPr>
        <w:t xml:space="preserve"> — must use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; "70 or above" includes exactly 70, so </w:t>
      </w:r>
      <w:r>
        <w:rPr>
          <w:rFonts w:ascii="Consolas" w:hAnsi="Consolas"/>
          <w:b w:val="0"/>
          <w:i w:val="0"/>
          <w:sz w:val="19"/>
        </w:rPr>
        <w:t>&gt;</w:t>
      </w:r>
      <w:r>
        <w:rPr>
          <w:b w:val="0"/>
          <w:i w:val="0"/>
        </w:rPr>
        <w:t xml:space="preserve"> earns nothing.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score &gt;= 40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rFonts w:ascii="Consolas" w:hAnsi="Consolas"/>
          <w:b w:val="0"/>
          <w:i w:val="0"/>
          <w:sz w:val="19"/>
        </w:rPr>
        <w:t>else</w:t>
      </w:r>
    </w:p>
    <w:p>
      <w:r>
        <w:rPr>
          <w:b w:val="0"/>
          <w:i w:val="0"/>
        </w:rPr>
        <w:t xml:space="preserve">The order matters: 70+ is tested first, so the </w:t>
      </w:r>
      <w:r>
        <w:rPr>
          <w:rFonts w:ascii="Consolas" w:hAnsi="Consolas"/>
          <w:b w:val="0"/>
          <w:i w:val="0"/>
          <w:sz w:val="19"/>
        </w:rPr>
        <w:t>elseif</w:t>
      </w:r>
      <w:r>
        <w:rPr>
          <w:b w:val="0"/>
          <w:i w:val="0"/>
        </w:rPr>
        <w:t xml:space="preserve"> is only reached when the score is below 70.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— Two correct rows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Boolean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 least 1.4 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height &gt;= 1.4</w:t>
            </w:r>
            <w:r>
              <w:rPr>
                <w:b w:val="0"/>
                <w:i w:val="0"/>
              </w:rPr>
              <w:t xml:space="preserve"> (accept </w:t>
            </w:r>
            <w:r>
              <w:rPr>
                <w:rFonts w:ascii="Consolas" w:hAnsi="Consolas"/>
                <w:b w:val="0"/>
                <w:i w:val="0"/>
                <w:sz w:val="19"/>
              </w:rPr>
              <w:t>height &gt;= 140</w:t>
            </w:r>
            <w:r>
              <w:rPr>
                <w:b w:val="0"/>
                <w:i w:val="0"/>
              </w:rPr>
              <w:t xml:space="preserve"> if cm stated)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than 500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score &gt; 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more than the balance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amount &lt;=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Falls below 18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temp &lt; 18</w:t>
            </w:r>
          </w:p>
        </w:tc>
      </w:tr>
    </w:tbl>
    <w:p/>
    <w:p>
      <w:r>
        <w:rPr>
          <w:b w:val="0"/>
          <w:i w:val="0"/>
        </w:rPr>
        <w:t xml:space="preserve">The operator must match the wording exactly ("at least" →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, "more than" → strict </w:t>
      </w:r>
      <w:r>
        <w:rPr>
          <w:rFonts w:ascii="Consolas" w:hAnsi="Consolas"/>
          <w:b w:val="0"/>
          <w:i w:val="0"/>
          <w:sz w:val="19"/>
        </w:rPr>
        <w:t>&gt;</w:t>
      </w:r>
      <w:r>
        <w:rPr>
          <w:b w:val="0"/>
          <w:i w:val="0"/>
        </w:rPr>
        <w:t xml:space="preserve">, "no more than" → </w:t>
      </w:r>
      <w:r>
        <w:rPr>
          <w:rFonts w:ascii="Consolas" w:hAnsi="Consolas"/>
          <w:b w:val="0"/>
          <w:i w:val="0"/>
          <w:sz w:val="19"/>
        </w:rPr>
        <w:t>&lt;=</w:t>
      </w:r>
      <w:r>
        <w:rPr>
          <w:b w:val="0"/>
          <w:i w:val="0"/>
        </w:rPr>
        <w:t xml:space="preserve">, "falls below" → strict </w:t>
      </w:r>
      <w:r>
        <w:rPr>
          <w:rFonts w:ascii="Consolas" w:hAnsi="Consolas"/>
          <w:b w:val="0"/>
          <w:i w:val="0"/>
          <w:sz w:val="19"/>
        </w:rPr>
        <w:t>&lt;</w:t>
      </w:r>
      <w:r>
        <w:rPr>
          <w:b w:val="0"/>
          <w:i w:val="0"/>
        </w:rPr>
        <w:t>).</w:t>
      </w:r>
    </w:p>
    <w:p>
      <w:r>
        <w:rPr>
          <w:b/>
          <w:i w:val="0"/>
        </w:rPr>
        <w:t>3. [4]</w:t>
      </w:r>
      <w:r>
        <w:rPr>
          <w:b w:val="0"/>
          <w:i w:val="0"/>
        </w:rPr>
        <w:t xml:space="preserve"> — 1 mark per row; for a false row the mark needs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plus a valid correction.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spent &gt; 100</w:t>
            </w:r>
            <w:r>
              <w:rPr>
                <w:b w:val="0"/>
                <w:i w:val="0"/>
              </w:rPr>
              <w:t xml:space="preserve"> awards the discount at exactly £100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100 is not greater than 100, so exactly £100 does </w:t>
            </w:r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qualify; the condition should be </w:t>
            </w:r>
            <w:r>
              <w:rPr>
                <w:rFonts w:ascii="Consolas" w:hAnsi="Consolas"/>
                <w:b w:val="0"/>
                <w:i w:val="0"/>
                <w:sz w:val="19"/>
              </w:rPr>
              <w:t>spent &gt;= 100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 allows a withdrawal only when both limits are satisfied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 is true when </w:t>
            </w:r>
            <w:r>
              <w:rPr>
                <w:b/>
                <w:i w:val="0"/>
              </w:rPr>
              <w:t>either</w:t>
            </w:r>
            <w:r>
              <w:rPr>
                <w:b w:val="0"/>
                <w:i w:val="0"/>
              </w:rPr>
              <w:t xml:space="preserve"> limit alone is satisfied; the condition must use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 &lt;= balance AND amount &lt;= dailyLimit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elseif</w:t>
            </w:r>
            <w:r>
              <w:rPr>
                <w:b w:val="0"/>
                <w:i w:val="0"/>
              </w:rPr>
              <w:t xml:space="preserve"> tested only when the first condition is false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Pump left unchanged at exactly 50%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— (neither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&lt; 20</w:t>
            </w:r>
            <w:r>
              <w:rPr>
                <w:b w:val="0"/>
                <w:i w:val="0"/>
              </w:rPr>
              <w:t xml:space="preserve"> nor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&gt; 80</w:t>
            </w:r>
            <w:r>
              <w:rPr>
                <w:b w:val="0"/>
                <w:i w:val="0"/>
              </w:rPr>
              <w:t xml:space="preserve"> is true, so neither branch runs)</w:t>
            </w:r>
          </w:p>
        </w:tc>
      </w:tr>
    </w:tbl>
    <w:p/>
    <w:p>
      <w:r>
        <w:rPr>
          <w:b/>
          <w:i w:val="0"/>
        </w:rPr>
        <w:t>4. [3]</w:t>
      </w:r>
      <w:r>
        <w:rPr>
          <w:b w:val="0"/>
          <w:i w:val="0"/>
        </w:rPr>
        <w:t xml:space="preserve"> — All five rows correct = 3 marks; three or four rows = 2; one or two rows =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&lt; 20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&gt; 80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pump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 printed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True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not tested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True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True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not tested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</w:tr>
    </w:tbl>
    <w:p/>
    <w:p>
      <w:r>
        <w:rPr>
          <w:b w:val="0"/>
          <w:i w:val="0"/>
        </w:rPr>
        <w:t xml:space="preserve">Accept "—" or blank in the </w:t>
      </w:r>
      <w:r>
        <w:rPr>
          <w:rFonts w:ascii="Consolas" w:hAnsi="Consolas"/>
          <w:b w:val="0"/>
          <w:i w:val="0"/>
          <w:sz w:val="19"/>
        </w:rPr>
        <w:t>&gt; 80</w:t>
      </w:r>
      <w:r>
        <w:rPr>
          <w:b w:val="0"/>
          <w:i w:val="0"/>
        </w:rPr>
        <w:t xml:space="preserve"> column when the first condition is true (the </w:t>
      </w:r>
      <w:r>
        <w:rPr>
          <w:rFonts w:ascii="Consolas" w:hAnsi="Consolas"/>
          <w:b w:val="0"/>
          <w:i w:val="0"/>
          <w:sz w:val="19"/>
        </w:rPr>
        <w:t>elseif</w:t>
      </w:r>
      <w:r>
        <w:rPr>
          <w:b w:val="0"/>
          <w:i w:val="0"/>
        </w:rPr>
        <w:t xml:space="preserve"> is not evaluated). Key points: pump stays ON at level 50 and stays OFF at level 70 (no branch taken), so the outputs are ON, ON, OFF, OFF, ON.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— 1 mark condition: </w:t>
      </w:r>
      <w:r>
        <w:rPr>
          <w:rFonts w:ascii="Consolas" w:hAnsi="Consolas"/>
          <w:b w:val="0"/>
          <w:i w:val="0"/>
          <w:sz w:val="19"/>
        </w:rPr>
        <w:t>amount &lt;= balance AND amount &lt;= dailyLimit</w:t>
      </w:r>
      <w:r>
        <w:rPr>
          <w:b w:val="0"/>
          <w:i w:val="0"/>
        </w:rPr>
        <w:t xml:space="preserve"> (accept equivalent variable names). 1 mark FALSE outcome: the withdrawal is </w:t>
      </w:r>
      <w:r>
        <w:rPr>
          <w:b/>
          <w:i w:val="0"/>
        </w:rPr>
        <w:t>refused/declined</w:t>
      </w:r>
      <w:r>
        <w:rPr>
          <w:b w:val="0"/>
          <w:i w:val="0"/>
        </w:rPr>
        <w:t xml:space="preserve"> and no cash is dispensed. The condition must use the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operator.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1 mark: the tax step uses the </w:t>
      </w:r>
      <w:r>
        <w:rPr>
          <w:b/>
          <w:i w:val="0"/>
        </w:rPr>
        <w:t>gross pay</w:t>
      </w:r>
      <w:r>
        <w:rPr>
          <w:b w:val="0"/>
          <w:i w:val="0"/>
        </w:rPr>
        <w:t xml:space="preserve"> value produced by the previous step as its input. 1 mark: because of this data dependency it cannot run until gross pay has been calculated — the order of the two steps is fixed.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is an attribute (or set of attributes) that </w:t>
      </w:r>
      <w:r>
        <w:rPr>
          <w:b/>
          <w:i w:val="0"/>
        </w:rPr>
        <w:t>uniquely identifies</w:t>
      </w:r>
      <w:r>
        <w:rPr>
          <w:b w:val="0"/>
          <w:i w:val="0"/>
        </w:rPr>
        <w:t xml:space="preserve"> each record in a table. 1 mark: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is an attribute in one table that refers to the primary key of another table, linking the two tables.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00101101</w:t>
      </w:r>
      <w:r>
        <w:rPr>
          <w:b w:val="0"/>
          <w:i w:val="0"/>
        </w:rPr>
        <w:t xml:space="preserve">. 1 mark for the correct binary value (101101), 1 mark for the correct 8-bit form with leading zeros. </w:t>
      </w:r>
      <w:r>
        <w:rPr>
          <w:b w:val="0"/>
          <w:i/>
        </w:rPr>
        <w:t>(45 = 32 + 8 + 4 + 1.)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1.3.4 Web Technologies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1 mark per error identified and corrected:</w:t>
      </w:r>
    </w:p>
    <w:p>
      <w:pPr>
        <w:pStyle w:val="ListBullet"/>
      </w:pPr>
      <w:r>
        <w:rPr>
          <w:b w:val="0"/>
          <w:i w:val="0"/>
        </w:rPr>
        <w:t xml:space="preserve">The closing title tag is misspelled: </w:t>
      </w:r>
      <w:r>
        <w:rPr>
          <w:rFonts w:ascii="Consolas" w:hAnsi="Consolas"/>
          <w:b w:val="0"/>
          <w:i w:val="0"/>
          <w:sz w:val="19"/>
        </w:rPr>
        <w:t>&lt;/titel&gt;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&lt;/title&gt;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heading is never closed: the second </w:t>
      </w:r>
      <w:r>
        <w:rPr>
          <w:rFonts w:ascii="Consolas" w:hAnsi="Consolas"/>
          <w:b w:val="0"/>
          <w:i w:val="0"/>
          <w:sz w:val="19"/>
        </w:rPr>
        <w:t>&lt;h1&gt;</w:t>
      </w:r>
      <w:r>
        <w:rPr>
          <w:b w:val="0"/>
          <w:i w:val="0"/>
        </w:rPr>
        <w:t xml:space="preserve"> should be the closing tag </w:t>
      </w:r>
      <w:r>
        <w:rPr>
          <w:rFonts w:ascii="Consolas" w:hAnsi="Consolas"/>
          <w:b w:val="0"/>
          <w:i w:val="0"/>
          <w:sz w:val="19"/>
        </w:rPr>
        <w:t>&lt;/h1&gt;</w:t>
      </w:r>
      <w:r>
        <w:rPr>
          <w:b w:val="0"/>
          <w:i w:val="0"/>
        </w:rPr>
        <w:t>.</w:t>
      </w:r>
    </w:p>
    <w:p>
      <w:r>
        <w:rPr>
          <w:b/>
          <w:i w:val="0"/>
        </w:rPr>
        <w:t>2 (a) [2]</w:t>
      </w:r>
      <w:r>
        <w:rPr>
          <w:b w:val="0"/>
          <w:i w:val="0"/>
        </w:rPr>
        <w:t xml:space="preserve"> (a) </w:t>
      </w:r>
      <w:r>
        <w:rPr>
          <w:rFonts w:ascii="Consolas" w:hAnsi="Consolas"/>
          <w:b w:val="0"/>
          <w:i w:val="0"/>
          <w:sz w:val="19"/>
        </w:rPr>
        <w:t>p</w:t>
      </w:r>
      <w:r>
        <w:rPr>
          <w:b w:val="0"/>
          <w:i w:val="0"/>
        </w:rPr>
        <w:t xml:space="preserve"> — an element/tag selector applies the style to every paragraph; (b) </w:t>
      </w:r>
      <w:r>
        <w:rPr>
          <w:rFonts w:ascii="Consolas" w:hAnsi="Consolas"/>
          <w:b w:val="0"/>
          <w:i w:val="0"/>
          <w:sz w:val="19"/>
        </w:rPr>
        <w:t>.note</w:t>
      </w:r>
      <w:r>
        <w:rPr>
          <w:b w:val="0"/>
          <w:i w:val="0"/>
        </w:rPr>
        <w:t xml:space="preserve"> — a class selector; (c) </w:t>
      </w:r>
      <w:r>
        <w:rPr>
          <w:rFonts w:ascii="Consolas" w:hAnsi="Consolas"/>
          <w:b w:val="0"/>
          <w:i w:val="0"/>
          <w:sz w:val="19"/>
        </w:rPr>
        <w:t>#warning</w:t>
      </w:r>
      <w:r>
        <w:rPr>
          <w:b w:val="0"/>
          <w:i w:val="0"/>
        </w:rPr>
        <w:t xml:space="preserve"> — an id selector, correct because an id is unique to one element on the page. </w:t>
      </w:r>
      <w:r>
        <w:rPr>
          <w:b w:val="0"/>
          <w:i/>
        </w:rPr>
        <w:t>Marks: 1 for (a); 1 for both (b) and (c) correct (the `.` and `#` prefixes are required).</w:t>
      </w:r>
    </w:p>
    <w:p>
      <w:r>
        <w:rPr>
          <w:b/>
          <w:i w:val="0"/>
        </w:rPr>
        <w:t>2 (b) [1]</w:t>
      </w:r>
      <w:r>
        <w:rPr>
          <w:b w:val="0"/>
          <w:i w:val="0"/>
        </w:rPr>
        <w:t xml:space="preserve"> Any one (1): the styling is defined once and applied to every page, giving a consistent appearance; one change to the CSS file updates the whole site, making maintenance far easier; it separates content (HTML) from presentation (CSS); the HTML files are smaller and the CSS file can be cached by the browser.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In the order the rows are printed: </w:t>
      </w:r>
      <w:r>
        <w:rPr>
          <w:b/>
          <w:i w:val="0"/>
        </w:rPr>
        <w:t>5, 3, 6, 1, 4, 2</w:t>
      </w:r>
      <w:r>
        <w:rPr>
          <w:b w:val="0"/>
          <w:i w:val="0"/>
        </w:rPr>
        <w:t xml:space="preserve">. Correct sequence: 1 — a web crawler visits a web page; 2 — it records the page's keywords/metadata and notes its hyperlinks; 3 — it follows those hyperlinks to process further pages; 4 — the keywords are added to the index, mapped to the pages they occur on; 5 — a user's query is looked up in the index; 6 — matching pages are ranked (e.g. PageRank) and displayed.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1 mark per correct row:</w:t>
      </w:r>
    </w:p>
    <w:p>
      <w:pPr>
        <w:pStyle w:val="ListBullet"/>
      </w:pPr>
      <w:r>
        <w:rPr>
          <w:b w:val="0"/>
          <w:i w:val="0"/>
        </w:rPr>
        <w:t xml:space="preserve">Row 1: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2: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3: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the database of existing usernames is held on the </w:t>
      </w:r>
      <w:r>
        <w:rPr>
          <w:b/>
          <w:i w:val="0"/>
        </w:rPr>
        <w:t>server</w:t>
      </w:r>
      <w:r>
        <w:rPr>
          <w:b w:val="0"/>
          <w:i w:val="0"/>
        </w:rPr>
        <w:t>, which the browser cannot access, so this check must be done server-side (and client-side code could be bypassed anyway).</w:t>
      </w:r>
    </w:p>
    <w:p>
      <w:r>
        <w:rPr>
          <w:b/>
          <w:i w:val="0"/>
        </w:rPr>
        <w:t>5 (a) [2]</w:t>
      </w:r>
      <w:r>
        <w:rPr>
          <w:b w:val="0"/>
          <w:i w:val="0"/>
        </w:rPr>
        <w:t xml:space="preserve"> Each incoming link acts as a "vote" for the importance of the page it points to (1). A link from a high-ranking page passes on more rank / carries more weight than a link from a low-ranking page, so it increases the target page's rank by more (1).</w:t>
      </w:r>
    </w:p>
    <w:p>
      <w:r>
        <w:rPr>
          <w:b/>
          <w:i w:val="0"/>
        </w:rPr>
        <w:t>5 (b) [1]</w:t>
      </w:r>
      <w:r>
        <w:rPr>
          <w:b w:val="0"/>
          <w:i w:val="0"/>
        </w:rPr>
        <w:t xml:space="preserve"> The repeated recalculation stops when the rank values settle / no longer change significantly between iterations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A switch connects devices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LAN and forwards frames to the intended device using </w:t>
      </w:r>
      <w:r>
        <w:rPr>
          <w:b/>
          <w:i w:val="0"/>
        </w:rPr>
        <w:t>MAC</w:t>
      </w:r>
      <w:r>
        <w:rPr>
          <w:b w:val="0"/>
          <w:i w:val="0"/>
        </w:rPr>
        <w:t xml:space="preserve"> addresses (1). A router connects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networks (e.g. a LAN to the internet) and forwards packets between them using </w:t>
      </w:r>
      <w:r>
        <w:rPr>
          <w:b/>
          <w:i w:val="0"/>
        </w:rPr>
        <w:t>IP</w:t>
      </w:r>
      <w:r>
        <w:rPr>
          <w:b w:val="0"/>
          <w:i w:val="0"/>
        </w:rPr>
        <w:t xml:space="preserve"> addresses (1).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Symmetric encryption uses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secret key to encrypt and decrypt, so the key itself must be transferred to the other party — and if it is intercepted in transit, all security is lost (1). Asymmetric encryption uses a public/private key pair: the public key can be shared openly because only the never-shared private key can decrypt, so no secret ever needs to be exchanged (1).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A primary key is an attribute that uniquely identifies each record in a table (1). A foreign key is an attribute in one table (e.g.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9"/>
        </w:rPr>
        <w:t>Order</w:t>
      </w:r>
      <w:r>
        <w:rPr>
          <w:b w:val="0"/>
          <w:i w:val="0"/>
        </w:rPr>
        <w:t>) that holds/references the primary key of another table, linking each order to its customer (1).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