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Start Here — How to Use These Resources (OCR H446)</w:t>
      </w:r>
    </w:p>
    <w:p>
      <w:r>
        <w:rPr>
          <w:b w:val="0"/>
          <w:i w:val="0"/>
        </w:rPr>
        <w:t xml:space="preserve">Welcome. The pack is organised around </w:t>
      </w:r>
      <w:r>
        <w:rPr>
          <w:b/>
          <w:i w:val="0"/>
        </w:rPr>
        <w:t>your teaching week</w:t>
      </w:r>
      <w:r>
        <w:rPr>
          <w:b w:val="0"/>
          <w:i w:val="0"/>
        </w:rPr>
        <w:t>, with a topic-by-topic</w:t>
      </w:r>
    </w:p>
    <w:p>
      <w:r>
        <w:rPr>
          <w:b w:val="0"/>
          <w:i w:val="0"/>
        </w:rPr>
        <w:t>revision library behind it. Two folders do most of the work:</w:t>
      </w:r>
    </w:p>
    <w:p>
      <w:pPr>
        <w:pStyle w:val="Heading2"/>
      </w:pPr>
      <w:r>
        <w:rPr>
          <w:b w:val="0"/>
          <w:i w:val="0"/>
        </w:rPr>
        <w:t>1 Year 12 Weekly — your week, in one folder</w:t>
      </w:r>
    </w:p>
    <w:p>
      <w:r>
        <w:rPr>
          <w:b w:val="0"/>
          <w:i w:val="0"/>
        </w:rPr>
        <w:t>One folder per week of the year, named with the date and topic</w:t>
      </w:r>
    </w:p>
    <w:p>
      <w:r>
        <w:rPr>
          <w:b w:val="0"/>
          <w:i w:val="0"/>
        </w:rPr>
        <w:t xml:space="preserve">(e.g. </w:t>
      </w:r>
      <w:r>
        <w:rPr>
          <w:b w:val="0"/>
          <w:i/>
        </w:rPr>
        <w:t>Week 12 (30 Nov) 1.3.3 Networks</w:t>
      </w:r>
      <w:r>
        <w:rPr>
          <w:b w:val="0"/>
          <w:i w:val="0"/>
        </w:rPr>
        <w:t>). Inside, in the order you use them:</w:t>
      </w:r>
    </w:p>
    <w:p>
      <w:pPr>
        <w:pStyle w:val="ListNumber"/>
      </w:pPr>
      <w:r>
        <w:rPr>
          <w:b/>
          <w:i w:val="0"/>
        </w:rPr>
        <w:t>Lesson</w:t>
      </w:r>
      <w:r>
        <w:rPr>
          <w:b w:val="0"/>
          <w:i w:val="0"/>
        </w:rPr>
        <w:t xml:space="preserve"> (PowerPoint) — what your teacher taught this week.</w:t>
      </w:r>
    </w:p>
    <w:p>
      <w:pPr>
        <w:pStyle w:val="ListNumber"/>
      </w:pPr>
      <w:r>
        <w:rPr>
          <w:b/>
          <w:i w:val="0"/>
        </w:rPr>
        <w:t>Class Quiz</w:t>
      </w:r>
      <w:r>
        <w:rPr>
          <w:b w:val="0"/>
          <w:i w:val="0"/>
        </w:rPr>
        <w:t xml:space="preserve"> — a retrieval quiz on </w:t>
      </w:r>
      <w:r>
        <w:rPr>
          <w:b w:val="0"/>
          <w:i/>
        </w:rPr>
        <w:t>last</w:t>
      </w:r>
      <w:r>
        <w:rPr>
          <w:b w:val="0"/>
          <w:i w:val="0"/>
        </w:rPr>
        <w:t xml:space="preserve"> week's subtopic, sat closed book in class.</w:t>
      </w:r>
    </w:p>
    <w:p>
      <w:pPr>
        <w:pStyle w:val="ListNumber"/>
      </w:pPr>
      <w:r>
        <w:rPr>
          <w:b/>
          <w:i w:val="0"/>
        </w:rPr>
        <w:t>Homework</w:t>
      </w:r>
      <w:r>
        <w:rPr>
          <w:b w:val="0"/>
          <w:i w:val="0"/>
        </w:rPr>
        <w:t xml:space="preserve"> — this week's homework (typeable Word file; your teacher has the answers).</w:t>
      </w:r>
    </w:p>
    <w:p>
      <w:pPr>
        <w:pStyle w:val="ListNumber"/>
      </w:pPr>
      <w:r>
        <w:rPr>
          <w:b/>
          <w:i w:val="0"/>
        </w:rPr>
        <w:t>Consolidation</w:t>
      </w:r>
      <w:r>
        <w:rPr>
          <w:b w:val="0"/>
          <w:i w:val="0"/>
        </w:rPr>
        <w:t xml:space="preserve"> — your follow-up tasks for the week; any scheduled recap checkpoint</w:t>
      </w:r>
    </w:p>
    <w:p>
      <w:r>
        <w:rPr>
          <w:b w:val="0"/>
          <w:i w:val="0"/>
        </w:rPr>
        <w:t xml:space="preserve">   or timed mini-paper is right there in the folder.</w:t>
      </w:r>
    </w:p>
    <w:p>
      <w:pPr>
        <w:pStyle w:val="ListNumber"/>
      </w:pPr>
      <w:r>
        <w:rPr>
          <w:b/>
          <w:i w:val="0"/>
        </w:rPr>
        <w:t>Flashcards (cumulative)</w:t>
      </w:r>
      <w:r>
        <w:rPr>
          <w:b w:val="0"/>
          <w:i w:val="0"/>
        </w:rPr>
        <w:t xml:space="preserve"> — every flashcard for everything taught so far. Cover the</w:t>
      </w:r>
    </w:p>
    <w:p>
      <w:r>
        <w:rPr>
          <w:b w:val="0"/>
          <w:i w:val="0"/>
        </w:rPr>
        <w:t xml:space="preserve">   answer column and quiz yourself little and often.</w:t>
      </w:r>
    </w:p>
    <w:p>
      <w:pPr>
        <w:pStyle w:val="Heading2"/>
      </w:pPr>
      <w:r>
        <w:rPr>
          <w:b w:val="0"/>
          <w:i w:val="0"/>
        </w:rPr>
        <w:t>2 Topic Library — revision by spec topic</w:t>
      </w:r>
    </w:p>
    <w:p>
      <w:r>
        <w:rPr>
          <w:b w:val="0"/>
          <w:i w:val="0"/>
        </w:rPr>
        <w:t>One folder per topic (</w:t>
      </w:r>
      <w:r>
        <w:rPr>
          <w:b w:val="0"/>
          <w:i/>
        </w:rPr>
        <w:t>1.1</w:t>
      </w:r>
      <w:r>
        <w:rPr>
          <w:b w:val="0"/>
          <w:i w:val="0"/>
        </w:rPr>
        <w:t xml:space="preserve"> to </w:t>
      </w:r>
      <w:r>
        <w:rPr>
          <w:b w:val="0"/>
          <w:i/>
        </w:rPr>
        <w:t>2.3</w:t>
      </w:r>
      <w:r>
        <w:rPr>
          <w:b w:val="0"/>
          <w:i w:val="0"/>
        </w:rPr>
        <w:t>), matching the OCR specification numbering:</w:t>
      </w:r>
    </w:p>
    <w:p>
      <w:pPr>
        <w:pStyle w:val="ListBullet"/>
      </w:pPr>
      <w:r>
        <w:rPr>
          <w:b/>
          <w:i w:val="0"/>
        </w:rPr>
        <w:t>Knowledge Organiser</w:t>
      </w:r>
      <w:r>
        <w:rPr>
          <w:b w:val="0"/>
          <w:i w:val="0"/>
        </w:rPr>
        <w:t xml:space="preserve"> — the whole topic on one page.</w:t>
      </w:r>
    </w:p>
    <w:p>
      <w:pPr>
        <w:pStyle w:val="ListBullet"/>
      </w:pPr>
      <w:r>
        <w:rPr>
          <w:b/>
          <w:i w:val="0"/>
        </w:rPr>
        <w:t>Topic Notes (complete)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Revision Notes</w:t>
      </w:r>
      <w:r>
        <w:rPr>
          <w:b w:val="0"/>
          <w:i w:val="0"/>
        </w:rPr>
        <w:t xml:space="preserve"> per subtopic.</w:t>
      </w:r>
    </w:p>
    <w:p>
      <w:pPr>
        <w:pStyle w:val="ListBullet"/>
      </w:pPr>
      <w:r>
        <w:rPr>
          <w:b/>
          <w:i w:val="0"/>
        </w:rPr>
        <w:t>End-of-Topic Worksheet</w:t>
      </w:r>
      <w:r>
        <w:rPr>
          <w:b w:val="0"/>
          <w:i w:val="0"/>
        </w:rPr>
        <w:t xml:space="preserve"> (+ answers) — practise when the topic finishes.</w:t>
      </w:r>
    </w:p>
    <w:p>
      <w:pPr>
        <w:pStyle w:val="ListBullet"/>
      </w:pPr>
      <w:r>
        <w:rPr>
          <w:b/>
          <w:i w:val="0"/>
        </w:rPr>
        <w:t>Mini-Paper (timed)</w:t>
      </w:r>
      <w:r>
        <w:rPr>
          <w:b w:val="0"/>
          <w:i w:val="0"/>
        </w:rPr>
        <w:t xml:space="preserve"> (+ answers) — sit it like a real exam section.</w:t>
      </w:r>
    </w:p>
    <w:p>
      <w:pPr>
        <w:pStyle w:val="ListBullet"/>
      </w:pPr>
      <w:r>
        <w:rPr>
          <w:b/>
          <w:i w:val="0"/>
        </w:rPr>
        <w:t>Flashcards</w:t>
      </w:r>
      <w:r>
        <w:rPr>
          <w:b w:val="0"/>
          <w:i w:val="0"/>
        </w:rPr>
        <w:t xml:space="preserve">, a </w:t>
      </w:r>
      <w:r>
        <w:rPr>
          <w:b/>
          <w:i w:val="0"/>
        </w:rPr>
        <w:t>Revision Game</w:t>
      </w:r>
      <w:r>
        <w:rPr>
          <w:b w:val="0"/>
          <w:i w:val="0"/>
        </w:rPr>
        <w:t xml:space="preserve"> with print-and-cut cards, and lesson activities.</w:t>
      </w:r>
    </w:p>
    <w:p>
      <w:pPr>
        <w:pStyle w:val="Heading2"/>
      </w:pPr>
      <w:r>
        <w:rPr>
          <w:b w:val="0"/>
          <w:i w:val="0"/>
        </w:rPr>
        <w:t>How to revise (the method that works)</w:t>
      </w:r>
    </w:p>
    <w:p>
      <w:pPr>
        <w:pStyle w:val="ListNumber"/>
      </w:pPr>
      <w:r>
        <w:rPr>
          <w:b/>
          <w:i w:val="0"/>
        </w:rPr>
        <w:t>Learn</w:t>
      </w:r>
      <w:r>
        <w:rPr>
          <w:b w:val="0"/>
          <w:i w:val="0"/>
        </w:rPr>
        <w:t xml:space="preserve"> it — read the Revision Notes / Knowledge Organiser.</w:t>
      </w:r>
    </w:p>
    <w:p>
      <w:pPr>
        <w:pStyle w:val="ListNumber"/>
      </w:pPr>
      <w:r>
        <w:rPr>
          <w:b/>
          <w:i w:val="0"/>
        </w:rPr>
        <w:t>Recall</w:t>
      </w:r>
      <w:r>
        <w:rPr>
          <w:b w:val="0"/>
          <w:i w:val="0"/>
        </w:rPr>
        <w:t xml:space="preserve"> it — cover the notes and write what you remember; drill the flashcards.</w:t>
      </w:r>
    </w:p>
    <w:p>
      <w:pPr>
        <w:pStyle w:val="ListNumber"/>
      </w:pPr>
      <w:r>
        <w:rPr>
          <w:b/>
          <w:i w:val="0"/>
        </w:rPr>
        <w:t>Practise</w:t>
      </w:r>
      <w:r>
        <w:rPr>
          <w:b w:val="0"/>
          <w:i w:val="0"/>
        </w:rPr>
        <w:t xml:space="preserve"> it — worksheets and homework </w:t>
      </w:r>
      <w:r>
        <w:rPr>
          <w:b w:val="0"/>
          <w:i/>
        </w:rPr>
        <w:t>closed book</w:t>
      </w:r>
      <w:r>
        <w:rPr>
          <w:b w:val="0"/>
          <w:i w:val="0"/>
        </w:rPr>
        <w:t>, then mark honestly.</w:t>
      </w:r>
    </w:p>
    <w:p>
      <w:pPr>
        <w:pStyle w:val="ListNumber"/>
      </w:pPr>
      <w:r>
        <w:rPr>
          <w:b/>
          <w:i w:val="0"/>
        </w:rPr>
        <w:t>Prove</w:t>
      </w:r>
      <w:r>
        <w:rPr>
          <w:b w:val="0"/>
          <w:i w:val="0"/>
        </w:rPr>
        <w:t xml:space="preserve"> it — sit the timed Mini-Paper, then the recap checkpoints as they come up.</w:t>
      </w:r>
    </w:p>
    <w:p>
      <w:pPr>
        <w:pStyle w:val="ListNumber"/>
      </w:pPr>
      <w:r>
        <w:rPr>
          <w:b/>
          <w:i w:val="0"/>
        </w:rPr>
        <w:t>Track</w:t>
      </w:r>
      <w:r>
        <w:rPr>
          <w:b w:val="0"/>
          <w:i w:val="0"/>
        </w:rPr>
        <w:t xml:space="preserve"> it — RAG-rate yourself on the </w:t>
      </w:r>
      <w:r>
        <w:rPr>
          <w:b/>
          <w:i w:val="0"/>
        </w:rPr>
        <w:t>Personal Learning Checklist</w:t>
      </w:r>
      <w:r>
        <w:rPr>
          <w:b w:val="0"/>
          <w:i w:val="0"/>
        </w:rPr>
        <w:t xml:space="preserve"> (your teacher</w:t>
      </w:r>
    </w:p>
    <w:p>
      <w:r>
        <w:rPr>
          <w:b w:val="0"/>
          <w:i w:val="0"/>
        </w:rPr>
        <w:t xml:space="preserve">   has it). Revise your Reds first, and keep re-testing older topics.</w:t>
      </w:r>
    </w:p>
    <w:p>
      <w:pPr>
        <w:pStyle w:val="Heading2"/>
      </w:pPr>
      <w:r>
        <w:rPr>
          <w:b w:val="0"/>
          <w:i w:val="0"/>
        </w:rPr>
        <w:t>Where the exam marks are</w:t>
      </w:r>
    </w:p>
    <w:p>
      <w:pPr>
        <w:pStyle w:val="ListBullet"/>
      </w:pPr>
      <w:r>
        <w:rPr>
          <w:b/>
          <w:i w:val="0"/>
        </w:rPr>
        <w:t>AO1</w:t>
      </w:r>
      <w:r>
        <w:rPr>
          <w:b w:val="0"/>
          <w:i w:val="0"/>
        </w:rPr>
        <w:t xml:space="preserve"> (recall) is the easy half. </w:t>
      </w:r>
      <w:r>
        <w:rPr>
          <w:b/>
          <w:i w:val="0"/>
        </w:rPr>
        <w:t>AO2</w:t>
      </w:r>
      <w:r>
        <w:rPr>
          <w:b w:val="0"/>
          <w:i w:val="0"/>
        </w:rPr>
        <w:t xml:space="preserve"> (apply to a scenario) and </w:t>
      </w:r>
      <w:r>
        <w:rPr>
          <w:b/>
          <w:i w:val="0"/>
        </w:rPr>
        <w:t>AO3</w:t>
      </w:r>
    </w:p>
    <w:p>
      <w:r>
        <w:rPr>
          <w:b w:val="0"/>
          <w:i w:val="0"/>
        </w:rPr>
        <w:t xml:space="preserve">  (evaluate / justify / design) decide </w:t>
      </w:r>
      <w:r>
        <w:rPr>
          <w:b/>
          <w:i w:val="0"/>
        </w:rPr>
        <w:t>A vs A*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Practise </w:t>
      </w:r>
      <w:r>
        <w:rPr>
          <w:b w:val="0"/>
          <w:i/>
        </w:rPr>
        <w:t>applying</w:t>
      </w:r>
      <w:r>
        <w:rPr>
          <w:b w:val="0"/>
          <w:i w:val="0"/>
        </w:rPr>
        <w:t xml:space="preserve"> and </w:t>
      </w:r>
      <w:r>
        <w:rPr>
          <w:b w:val="0"/>
          <w:i/>
        </w:rPr>
        <w:t>justifying</w:t>
      </w:r>
      <w:r>
        <w:rPr>
          <w:b w:val="0"/>
          <w:i w:val="0"/>
        </w:rPr>
        <w:t xml:space="preserve">, not just defining. Always </w:t>
      </w:r>
      <w:r>
        <w:rPr>
          <w:b/>
          <w:i w:val="0"/>
        </w:rPr>
        <w:t>show your working</w:t>
      </w:r>
    </w:p>
    <w:p>
      <w:r>
        <w:rPr>
          <w:b w:val="0"/>
          <w:i w:val="0"/>
        </w:rPr>
        <w:t xml:space="preserve">  on calculations, logic and algorithm traces.</w:t>
      </w:r>
    </w:p>
    <w:p>
      <w:pPr>
        <w:pStyle w:val="ListBullet"/>
      </w:pPr>
      <w:r>
        <w:rPr>
          <w:b w:val="0"/>
          <w:i w:val="0"/>
        </w:rPr>
        <w:t xml:space="preserve">Code answers use </w:t>
      </w:r>
      <w:r>
        <w:rPr>
          <w:b/>
          <w:i w:val="0"/>
        </w:rPr>
        <w:t>OCR Exam Reference Language</w:t>
      </w:r>
      <w:r>
        <w:rPr>
          <w:b w:val="0"/>
          <w:i w:val="0"/>
        </w:rPr>
        <w:t xml:space="preserve"> — the </w:t>
      </w:r>
      <w:r>
        <w:rPr>
          <w:b w:val="0"/>
          <w:i/>
        </w:rPr>
        <w:t>OCR Pseudocode Guide</w:t>
      </w:r>
      <w:r>
        <w:rPr>
          <w:b w:val="0"/>
          <w:i w:val="0"/>
        </w:rPr>
        <w:t xml:space="preserve"> in</w:t>
      </w:r>
    </w:p>
    <w:p>
      <w:r>
        <w:rPr>
          <w:b w:val="0"/>
          <w:i w:val="0"/>
        </w:rPr>
        <w:t xml:space="preserve">  </w:t>
      </w:r>
      <w:r>
        <w:rPr>
          <w:b/>
          <w:i w:val="0"/>
        </w:rPr>
        <w:t>5 Reference and Stretch</w:t>
      </w:r>
      <w:r>
        <w:rPr>
          <w:b w:val="0"/>
          <w:i w:val="0"/>
        </w:rPr>
        <w:t xml:space="preserve"> shows exactly what the examiner expects.</w:t>
      </w:r>
    </w:p>
    <w:p>
      <w:pPr>
        <w:pStyle w:val="Heading2"/>
      </w:pPr>
      <w:r>
        <w:rPr>
          <w:b w:val="0"/>
          <w:i w:val="0"/>
        </w:rPr>
        <w:t>Reference (course-wide)</w:t>
      </w:r>
    </w:p>
    <w:p>
      <w:r>
        <w:rPr>
          <w:b/>
          <w:i w:val="0"/>
        </w:rPr>
        <w:t>5 Reference and Stretch</w:t>
      </w:r>
      <w:r>
        <w:rPr>
          <w:b w:val="0"/>
          <w:i w:val="0"/>
        </w:rPr>
        <w:t xml:space="preserve"> holds the Glossary, Reference Sheet (number / Big O / logic</w:t>
      </w:r>
    </w:p>
    <w:p>
      <w:r>
        <w:rPr>
          <w:b w:val="0"/>
          <w:i w:val="0"/>
        </w:rPr>
        <w:t>/ SQL), Command Words &amp; AOs, Exam Technique, Common Mistakes, Diagram Bank, the Past</w:t>
      </w:r>
    </w:p>
    <w:p>
      <w:r>
        <w:rPr>
          <w:b w:val="0"/>
          <w:i w:val="0"/>
        </w:rPr>
        <w:t xml:space="preserve">Papers Guide (where to download every real OCR paper) and the </w:t>
      </w:r>
      <w:r>
        <w:rPr>
          <w:b/>
          <w:i w:val="0"/>
        </w:rPr>
        <w:t>A* Stretch Pack</w:t>
      </w:r>
      <w:r>
        <w:rPr>
          <w:b w:val="0"/>
          <w:i w:val="0"/>
        </w:rPr>
        <w:t xml:space="preserve"> for</w:t>
      </w:r>
    </w:p>
    <w:p>
      <w:r>
        <w:rPr>
          <w:b w:val="0"/>
          <w:i w:val="0"/>
        </w:rPr>
        <w:t>pushing to the top grade.</w:t>
      </w:r>
    </w:p>
    <w:p>
      <w:r>
        <w:rPr>
          <w:b w:val="0"/>
          <w:i w:val="0"/>
        </w:rPr>
        <w:t>Good luck — work actively, space it out, and keep re-testing. 🎓</w:t>
      </w:r>
    </w:p>
    <w:p>
      <w:r>
        <w:rPr>
          <w:b w:val="0"/>
          <w:i w:val="0"/>
        </w:rPr>
        <w:t>*Paper 1: Computer Systems, 2h30, 140 marks. Paper 2: Algorithms &amp; Programming, 2h30,</w:t>
      </w:r>
    </w:p>
    <w:p>
      <w:r>
        <w:rPr>
          <w:b w:val="0"/>
          <w:i w:val="0"/>
        </w:rPr>
        <w:t>140 marks. NEA project: 70 marks. Papers are 40% each; the project is 20%.*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