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Half Term 3 (31 May)</w:t>
      </w:r>
    </w:p>
    <w:p>
      <w:pPr>
        <w:pStyle w:val="ListBullet"/>
      </w:pPr>
      <w:r>
        <w:rPr>
          <w:b w:val="0"/>
          <w:i w:val="0"/>
        </w:rPr>
        <w:t>Finish the design so implementation starts clean. Light flashcard retrieval.</w:t>
      </w:r>
    </w:p>
    <w:p>
      <w:r>
        <w:rPr>
          <w:b w:val="0"/>
          <w:i/>
        </w:rPr>
        <w:t>Every worksheet has a separate ANSWERS file; typeable Word versions sit alongside each PDF.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