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29 (03 May) Mini-NEA Analysis 1 - Homework</w:t>
      </w:r>
    </w:p>
    <w:p>
      <w:pPr>
        <w:pStyle w:val="ListBullet"/>
      </w:pPr>
      <w:r>
        <w:rPr>
          <w:b w:val="0"/>
          <w:i w:val="0"/>
        </w:rPr>
        <w:t>NEA Template section 1 - stakeholder, requirements, measurable success criteria.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