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30 (10 May) Mini-NEA Analysis 2 - Consolidation</w:t>
      </w:r>
    </w:p>
    <w:p>
      <w:pPr>
        <w:pStyle w:val="ListBullet"/>
      </w:pPr>
      <w:r>
        <w:rPr>
          <w:b w:val="0"/>
          <w:i w:val="0"/>
        </w:rPr>
        <w:t>peer-review a partner's analysis against the NEA checklist. Weekly retrieval: sit the timed quiz/mini-paper section in this folder (15-25 min).</w:t>
      </w:r>
    </w:p>
    <w:p>
      <w:pPr>
        <w:pStyle w:val="ListBullet"/>
      </w:pPr>
      <w:r>
        <w:rPr>
          <w:b w:val="0"/>
          <w:i w:val="0"/>
        </w:rPr>
        <w:t xml:space="preserve">Sit </w:t>
      </w:r>
      <w:r>
        <w:rPr>
          <w:b/>
          <w:i w:val="0"/>
        </w:rPr>
        <w:t>Mini-Paper 2.1</w:t>
      </w:r>
      <w:r>
        <w:rPr>
          <w:b w:val="0"/>
          <w:i w:val="0"/>
        </w:rPr>
        <w:t xml:space="preserve"> (in this folder) timed.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