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29 (03 May) - Mini-NEA Analysis (CAP5 due 7 May)</w:t>
      </w:r>
    </w:p>
    <w:p>
      <w:pPr>
        <w:pStyle w:val="Heading2"/>
      </w:pPr>
      <w:r>
        <w:rPr>
          <w:b w:val="0"/>
          <w:i w:val="0"/>
        </w:rPr>
        <w:t>Homework</w:t>
      </w:r>
    </w:p>
    <w:p>
      <w:pPr>
        <w:pStyle w:val="ListBullet"/>
      </w:pPr>
      <w:r>
        <w:rPr>
          <w:b w:val="0"/>
          <w:i w:val="0"/>
        </w:rPr>
        <w:t>NEA Template section 1 - stakeholder, requirements, measurable success criteria.</w:t>
      </w:r>
    </w:p>
    <w:p>
      <w:pPr>
        <w:pStyle w:val="Heading2"/>
      </w:pPr>
      <w:r>
        <w:rPr>
          <w:b w:val="0"/>
          <w:i w:val="0"/>
        </w:rPr>
        <w:t>Consolidation</w:t>
      </w:r>
    </w:p>
    <w:p>
      <w:pPr>
        <w:pStyle w:val="ListBullet"/>
      </w:pPr>
      <w:r>
        <w:rPr>
          <w:b w:val="0"/>
          <w:i w:val="0"/>
        </w:rPr>
        <w:t>NEA Guide checklist; 10 min per day flashcards.</w:t>
      </w:r>
    </w:p>
    <w:p>
      <w:r>
        <w:rPr>
          <w:b w:val="0"/>
          <w:i/>
        </w:rPr>
        <w:t>Every worksheet has a separate ANSWERS file; typeable Word versions sit alongside each 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