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36 (28 Jun) - Mini-NEA Evaluation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complete section 4 + justified improvements.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final NEA checklist; set VESPA targets for Year 13.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