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Christmas Holidays</w:t>
      </w:r>
    </w:p>
    <w:p>
      <w:r>
        <w:rPr>
          <w:b w:val="0"/>
          <w:i/>
        </w:rPr>
        <w:t>Everything taught so far (15 subtopics). Cover the answer column, quiz little and often, tick cards you get right three times in a row.</w:t>
      </w:r>
    </w:p>
    <w:p>
      <w:pPr>
        <w:pStyle w:val="Heading2"/>
      </w:pPr>
      <w:r>
        <w:rPr>
          <w:b w:val="0"/>
          <w:i w:val="0"/>
        </w:rPr>
        <w:t>1.1.1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