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4"/>
        <w:jc w:val="center"/>
      </w:pPr>
      <w:r>
        <w:rPr>
          <w:rFonts w:ascii="微软雅黑" w:hAnsi="微软雅黑"/>
          <w:b/>
          <w:color w:val="1565C0"/>
          <w:sz w:val="28"/>
        </w:rPr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项目开发计划</w:t>
      </w:r>
      <w:r>
        <w:rPr>
          <w:rFonts w:ascii="微软雅黑" w:hAnsi="微软雅黑"/>
          <w:b/>
          <w:color w:val="1565C0"/>
          <w:sz w:val="28"/>
        </w:rPr>
        <w:t xml:space="preserve"> · Dev Plan</w:t>
      </w:r>
    </w:p>
    <w:p>
      <w:pPr>
        <w:pStyle w:val="Heading1"/>
        <w:spacing w:after="220"/>
        <w:jc w:val="center"/>
      </w:pPr>
      <w:r>
        <w:rPr>
          <w:rFonts w:ascii="微软雅黑" w:hAnsi="微软雅黑" w:eastAsia="微软雅黑" w:cs="微软雅黑" w:hint="eastAsia"/>
          <w:b/>
          <w:color w:val="1A237E"/>
          <w:sz w:val="44"/>
          <w:lang w:eastAsia="zh-CN"/>
        </w:rPr>
        <w:t>校集 · 开发计划</w:t>
      </w:r>
    </w:p>
    <w:p>
      <w:pPr>
        <w:spacing w:after="440"/>
        <w:jc w:val="center"/>
      </w:pP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校园二手交易</w:t>
      </w:r>
      <w:r>
        <w:rPr>
          <w:color w:val="616161"/>
          <w:sz w:val="22"/>
        </w:rPr>
        <w:t xml:space="preserve"> + </w:t>
      </w: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社区小程序（</w:t>
      </w:r>
      <w:r>
        <w:rPr>
          <w:color w:val="616161"/>
          <w:sz w:val="22"/>
        </w:rPr>
        <w:t xml:space="preserve">MVP → </w:t>
      </w: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社区版</w:t>
      </w:r>
      <w:r>
        <w:rPr>
          <w:color w:val="616161"/>
          <w:sz w:val="22"/>
        </w:rPr>
        <w:t xml:space="preserve"> → </w:t>
      </w: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商业化）</w:t>
      </w:r>
    </w:p>
    <w:p>
      <w:pPr>
        <w:jc w:val="left"/>
      </w:pP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20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48" w:type="dxa"/>
              <w:bottom w:w="48" w:type="dxa"/>
            </w:tcMar>
          </w:tcPr>
          <w:p>
            <w:pPr>
              <w:spacing w:line="240" w:lineRule="auto" w:before="60" w:after="60"/>
            </w:pPr>
            <w:r>
              <w:t>版本</w:t>
            </w:r>
          </w:p>
        </w:tc>
        <w:tc>
          <w:tcPr>
            <w:tcW w:type="dxa" w:w="432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48" w:type="dxa"/>
              <w:bottom w:w="48" w:type="dxa"/>
            </w:tcMar>
          </w:tcPr>
          <w:p>
            <w:pPr>
              <w:spacing w:line="240" w:lineRule="auto" w:before="60" w:after="60"/>
            </w:pPr>
            <w:r>
              <w:t>v1.0</w:t>
            </w:r>
          </w:p>
        </w:tc>
      </w:tr>
      <w:tr>
        <w:tc>
          <w:tcPr>
            <w:tcW w:type="dxa" w:w="432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48" w:type="dxa"/>
              <w:bottom w:w="48" w:type="dxa"/>
            </w:tcMar>
          </w:tcPr>
          <w:p>
            <w:pPr>
              <w:spacing w:line="240" w:lineRule="auto" w:before="60" w:after="60"/>
            </w:pPr>
            <w:r>
              <w:t>适用方案</w:t>
            </w:r>
          </w:p>
        </w:tc>
        <w:tc>
          <w:tcPr>
            <w:tcW w:type="dxa" w:w="432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48" w:type="dxa"/>
              <w:bottom w:w="48" w:type="dxa"/>
            </w:tcMar>
          </w:tcPr>
          <w:p>
            <w:pPr>
              <w:spacing w:line="240" w:lineRule="auto" w:before="60" w:after="60"/>
            </w:pPr>
            <w:r>
              <w:t>《校集产品需求说明书（</w:t>
            </w:r>
            <w:r>
              <w:t xml:space="preserve"> </w:t>
            </w:r>
            <w:r>
              <w:t>PRD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>v1.0</w:t>
            </w:r>
            <w:r>
              <w:t xml:space="preserve"> </w:t>
            </w:r>
            <w:r>
              <w:t>》</w:t>
            </w:r>
          </w:p>
        </w:tc>
      </w:tr>
      <w:tr>
        <w:tc>
          <w:tcPr>
            <w:tcW w:type="dxa" w:w="432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48" w:type="dxa"/>
              <w:bottom w:w="48" w:type="dxa"/>
            </w:tcMar>
          </w:tcPr>
          <w:p>
            <w:pPr>
              <w:spacing w:line="240" w:lineRule="auto" w:before="60" w:after="60"/>
            </w:pPr>
            <w:r>
              <w:t>日期</w:t>
            </w:r>
          </w:p>
        </w:tc>
        <w:tc>
          <w:tcPr>
            <w:tcW w:type="dxa" w:w="432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48" w:type="dxa"/>
              <w:bottom w:w="48" w:type="dxa"/>
            </w:tcMar>
          </w:tcPr>
          <w:p>
            <w:pPr>
              <w:spacing w:line="240" w:lineRule="auto" w:before="60" w:after="60"/>
            </w:pPr>
            <w:r>
              <w:t>2026-09-12</w:t>
            </w:r>
          </w:p>
        </w:tc>
      </w:tr>
    </w:tbl>
    <w:p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pPr>
        <w:spacing w:after="165"/>
      </w:pPr>
      <w:r/>
      <w:r>
        <w:rPr>
          <w:b/>
          <w:color w:val="1A237E"/>
          <w:sz w:val="22"/>
        </w:rPr>
        <w:t>目录</w:t>
      </w:r>
    </w:p>
    <w:p>
      <w:r>
        <w:t>1. 目标与范围</w:t>
      </w:r>
    </w:p>
    <w:p>
      <w:r>
        <w:t>2. 总体路线</w:t>
      </w:r>
    </w:p>
    <w:p>
      <w:r>
        <w:t>3. 里程碑拆解</w:t>
      </w:r>
    </w:p>
    <w:p>
      <w:r>
        <w:t>4. 人力配置</w:t>
      </w:r>
    </w:p>
    <w:p>
      <w:r>
        <w:t>5. 技术准备与外部依赖</w:t>
      </w:r>
    </w:p>
    <w:p>
      <w:r>
        <w:t>6. 风险与应对</w:t>
      </w:r>
    </w:p>
    <w:p>
      <w:r>
        <w:t>7. 测试与上线策略</w:t>
      </w:r>
    </w:p>
    <w:p>
      <w:pPr>
        <w:pStyle w:val="Heading2"/>
        <w:spacing w:before="550" w:after="165"/>
        <w:pBdr>
          <w:left w:val="single" w:sz="24" w:space="6" w:color="1565C0"/>
        </w:pBdr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执行摘要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 xml:space="preserve">总周期约 </w:t>
      </w:r>
      <w:r>
        <w:rPr>
          <w:rFonts w:ascii="微软雅黑" w:eastAsia="微软雅黑" w:hAnsi="微软雅黑" w:cs="微软雅黑" w:hint="eastAsia"/>
          <w:b/>
          <w:color w:val="C62828"/>
          <w:lang w:eastAsia="zh-CN"/>
        </w:rPr>
        <w:t>18–20 周</w:t>
      </w:r>
      <w:r>
        <w:rPr>
          <w:rFonts w:ascii="微软雅黑" w:eastAsia="微软雅黑" w:hAnsi="微软雅黑" w:cs="微软雅黑" w:hint="eastAsia"/>
          <w:lang w:eastAsia="zh-CN"/>
        </w:rPr>
        <w:t>完成</w:t>
      </w:r>
      <w:r>
        <w:t xml:space="preserve"> MVP → </w:t>
      </w:r>
      <w:r>
        <w:rPr>
          <w:rFonts w:ascii="微软雅黑" w:eastAsia="微软雅黑" w:hAnsi="微软雅黑" w:cs="微软雅黑" w:hint="eastAsia"/>
          <w:lang w:eastAsia="zh-CN"/>
        </w:rPr>
        <w:t>社区版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商业化三个大阶段；交易闭环优先（含微信电商收付通资质申请，这是上线硬前提）。第一个运营爆发窗口是</w:t>
      </w:r>
      <w:r>
        <w:t xml:space="preserve"> </w:t>
      </w:r>
      <w:r>
        <w:rPr>
          <w:rFonts w:ascii="微软雅黑" w:eastAsia="微软雅黑" w:hAnsi="微软雅黑" w:cs="微软雅黑" w:hint="eastAsia"/>
          <w:b/>
          <w:color w:val="C62828"/>
          <w:lang w:eastAsia="zh-CN"/>
        </w:rPr>
        <w:t>8–9 月开学教材季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 xml:space="preserve">Phase 1–2 </w:t>
      </w:r>
      <w:r>
        <w:rPr>
          <w:rFonts w:ascii="微软雅黑" w:eastAsia="微软雅黑" w:hAnsi="微软雅黑" w:cs="微软雅黑" w:hint="eastAsia"/>
          <w:lang w:eastAsia="zh-CN"/>
        </w:rPr>
        <w:t>需在</w:t>
      </w:r>
      <w:r>
        <w:t xml:space="preserve"> 8 </w:t>
      </w:r>
      <w:r>
        <w:rPr>
          <w:rFonts w:ascii="微软雅黑" w:eastAsia="微软雅黑" w:hAnsi="微软雅黑" w:cs="微软雅黑" w:hint="eastAsia"/>
          <w:lang w:eastAsia="zh-CN"/>
        </w:rPr>
        <w:t>月中旬前上线。小团队</w:t>
      </w:r>
      <w:r>
        <w:t xml:space="preserve"> 3–5 </w:t>
      </w:r>
      <w:r>
        <w:rPr>
          <w:rFonts w:ascii="微软雅黑" w:eastAsia="微软雅黑" w:hAnsi="微软雅黑" w:cs="微软雅黑" w:hint="eastAsia"/>
          <w:lang w:eastAsia="zh-CN"/>
        </w:rPr>
        <w:t>人可支撑，单人全栈亦可启动</w:t>
      </w:r>
      <w:r>
        <w:t xml:space="preserve"> MVP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2"/>
        <w:spacing w:before="550" w:after="165"/>
        <w:pBdr>
          <w:left w:val="single" w:sz="24" w:space="6" w:color="1565C0"/>
        </w:pBdr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1. 目标与范围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从</w:t>
      </w:r>
      <w:r>
        <w:t xml:space="preserve"> 0 </w:t>
      </w:r>
      <w:r>
        <w:rPr>
          <w:rFonts w:ascii="微软雅黑" w:eastAsia="微软雅黑" w:hAnsi="微软雅黑" w:cs="微软雅黑" w:hint="eastAsia"/>
          <w:lang w:eastAsia="zh-CN"/>
        </w:rPr>
        <w:t>交付一个覆盖约</w:t>
      </w:r>
      <w:r>
        <w:t xml:space="preserve"> 50 </w:t>
      </w:r>
      <w:r>
        <w:rPr>
          <w:rFonts w:ascii="微软雅黑" w:eastAsia="微软雅黑" w:hAnsi="微软雅黑" w:cs="微软雅黑" w:hint="eastAsia"/>
          <w:lang w:eastAsia="zh-CN"/>
        </w:rPr>
        <w:t>所高校的校园小程序「校集」：二手担保交易（分账抽佣）</w:t>
      </w:r>
      <w:r>
        <w:t xml:space="preserve">+ </w:t>
      </w:r>
      <w:r>
        <w:rPr>
          <w:rFonts w:ascii="微软雅黑" w:eastAsia="微软雅黑" w:hAnsi="微软雅黑" w:cs="微软雅黑" w:hint="eastAsia"/>
          <w:lang w:eastAsia="zh-CN"/>
        </w:rPr>
        <w:t>圈子社区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内容社交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广告变现。优先保证交易闭环合规（微信电商收付通），社区与广告在第二阶段、第三阶段补齐。</w:t>
      </w:r>
    </w:p>
    <w:p>
      <w:pPr>
        <w:pStyle w:val="Heading2"/>
        <w:spacing w:before="550" w:after="165"/>
        <w:pBdr>
          <w:left w:val="single" w:sz="24" w:space="6" w:color="1565C0"/>
        </w:pBdr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2. 总体路线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五个阶段递进：资质基建先行（与</w:t>
      </w:r>
      <w:r>
        <w:t xml:space="preserve"> MVP </w:t>
      </w:r>
      <w:r>
        <w:rPr>
          <w:rFonts w:ascii="微软雅黑" w:eastAsia="微软雅黑" w:hAnsi="微软雅黑" w:cs="微软雅黑" w:hint="eastAsia"/>
          <w:lang w:eastAsia="zh-CN"/>
        </w:rPr>
        <w:t>并行），交易版、社区版、商业化依次叠加，规模期持续演进。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周期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核心目标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Phase 0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资质与基建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Phase 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并行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公司主体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微信商户号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电商收付通资质；服务器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监控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/CI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环境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Phase 1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MVP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交易版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6–8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周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认证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二手担保交易闭环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基础审核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后台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Phase 2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社区版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+6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周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圈子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帖子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小法庭影子评审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聊天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Phase 3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商业化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+6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周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广告系统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薯条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达人接单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运营日历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Phase 4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规模与增值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持续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跨校活动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跑腿拼单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企业号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推荐算法强化</w:t>
            </w:r>
          </w:p>
        </w:tc>
      </w:tr>
    </w:tbl>
    <w:p>
      <w:pPr>
        <w:pStyle w:val="Heading2"/>
        <w:spacing w:before="550" w:after="165"/>
        <w:pBdr>
          <w:left w:val="single" w:sz="24" w:space="6" w:color="1565C0"/>
        </w:pBdr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3. 里程碑拆解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每阶段给出交付物与验收标准，</w:t>
      </w:r>
      <w:r>
        <w:t xml:space="preserve">Phase 0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Phase 1 </w:t>
      </w:r>
      <w:r>
        <w:rPr>
          <w:rFonts w:ascii="微软雅黑" w:eastAsia="微软雅黑" w:hAnsi="微软雅黑" w:cs="微软雅黑" w:hint="eastAsia"/>
          <w:lang w:eastAsia="zh-CN"/>
        </w:rPr>
        <w:t>并行推进以压缩总周期。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3.1 Phase 0：资质与基建（与 Phase 1 并行，最早启动）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公司注册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确认主体、对公账户；微信小程序账号注册、类目选择（二手交易类目需注意资质要求）；微信支付商户号申请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电商收付通开通（审核约</w:t>
      </w:r>
      <w:r>
        <w:t xml:space="preserve"> 1–3 </w:t>
      </w:r>
      <w:r>
        <w:rPr>
          <w:rFonts w:ascii="微软雅黑" w:eastAsia="微软雅黑" w:hAnsi="微软雅黑" w:cs="微软雅黑" w:hint="eastAsia"/>
          <w:lang w:eastAsia="zh-CN"/>
        </w:rPr>
        <w:t>周，上线硬前提）；云资源：</w:t>
      </w:r>
      <w:r>
        <w:t xml:space="preserve">2 </w:t>
      </w:r>
      <w:r>
        <w:rPr>
          <w:rFonts w:ascii="微软雅黑" w:eastAsia="微软雅黑" w:hAnsi="微软雅黑" w:cs="微软雅黑" w:hint="eastAsia"/>
          <w:lang w:eastAsia="zh-CN"/>
        </w:rPr>
        <w:t>台应用</w:t>
      </w:r>
      <w:r>
        <w:t xml:space="preserve"> ECS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4C8G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 xml:space="preserve">+ 1 </w:t>
      </w:r>
      <w:r>
        <w:rPr>
          <w:rFonts w:ascii="微软雅黑" w:eastAsia="微软雅黑" w:hAnsi="微软雅黑" w:cs="微软雅黑" w:hint="eastAsia"/>
          <w:lang w:eastAsia="zh-CN"/>
        </w:rPr>
        <w:t>台数据库</w:t>
      </w:r>
      <w:r>
        <w:t xml:space="preserve"> RDS + Redis + OSS + CDN</w:t>
      </w:r>
      <w:r>
        <w:rPr>
          <w:rFonts w:ascii="微软雅黑" w:eastAsia="微软雅黑" w:hAnsi="微软雅黑" w:cs="微软雅黑" w:hint="eastAsia"/>
          <w:lang w:eastAsia="zh-CN"/>
        </w:rPr>
        <w:t>；</w:t>
      </w:r>
      <w:r>
        <w:t xml:space="preserve">Go </w:t>
      </w:r>
      <w:r>
        <w:rPr>
          <w:rFonts w:ascii="微软雅黑" w:eastAsia="微软雅黑" w:hAnsi="微软雅黑" w:cs="微软雅黑" w:hint="eastAsia"/>
          <w:lang w:eastAsia="zh-CN"/>
        </w:rPr>
        <w:t>工程脚手架：</w:t>
      </w:r>
      <w:r>
        <w:t xml:space="preserve">go-zero </w:t>
      </w:r>
      <w:r>
        <w:rPr>
          <w:rFonts w:ascii="微软雅黑" w:eastAsia="微软雅黑" w:hAnsi="微软雅黑" w:cs="微软雅黑" w:hint="eastAsia"/>
          <w:lang w:eastAsia="zh-CN"/>
        </w:rPr>
        <w:t>微服务骨架、网关、日志、监控接入。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验收</w:t>
      </w:r>
      <w:r>
        <w:rPr>
          <w:rFonts w:ascii="微软雅黑" w:eastAsia="微软雅黑" w:hAnsi="微软雅黑" w:cs="微软雅黑" w:hint="eastAsia"/>
          <w:lang w:eastAsia="zh-CN"/>
        </w:rPr>
        <w:t>：收付通开通；</w:t>
      </w:r>
      <w:r>
        <w:t xml:space="preserve">CI </w:t>
      </w:r>
      <w:r>
        <w:rPr>
          <w:rFonts w:ascii="微软雅黑" w:eastAsia="微软雅黑" w:hAnsi="微软雅黑" w:cs="微软雅黑" w:hint="eastAsia"/>
          <w:lang w:eastAsia="zh-CN"/>
        </w:rPr>
        <w:t>流水线可自动构建部署；监控看板可观测。</w:t>
      </w:r>
    </w:p>
    <w:p>
      <w:pPr>
        <w:spacing w:after="180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降级预案</w:t>
      </w:r>
      <w:r>
        <w:rPr>
          <w:rFonts w:ascii="微软雅黑" w:eastAsia="微软雅黑" w:hAnsi="微软雅黑" w:cs="微软雅黑" w:hint="eastAsia"/>
          <w:lang w:eastAsia="zh-CN"/>
        </w:rPr>
        <w:t>：收付通未批前，</w:t>
      </w:r>
      <w:r>
        <w:t xml:space="preserve">MVP </w:t>
      </w:r>
      <w:r>
        <w:rPr>
          <w:rFonts w:ascii="微软雅黑" w:eastAsia="微软雅黑" w:hAnsi="微软雅黑" w:cs="微软雅黑" w:hint="eastAsia"/>
          <w:lang w:eastAsia="zh-CN"/>
        </w:rPr>
        <w:t>以线下面交为主（不下担保交易单，不抽佣），功能与流程代码不变，仅关闭在线支付入口。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3.2 Phase 1：MVP 交易版（6–8 周）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周次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交付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W1–2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用户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认证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信用分：微信登录、认证三选一、信用分流水、平台配置中心（先上费率参数）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W3–4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商品：发布（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9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图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成色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运费模板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/AI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文案）、集市首页搜索筛选、商品详情、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ES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接入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W5–6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交易：下单、微信支付（收付通）、核销码、订单状态机、超时任务、退款、分账、佣金账单、提现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W7–8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后台：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RBAC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、认证审核、内容审核队列、工单（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48h SLA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）、财务对账；全量回归测试</w:t>
            </w:r>
          </w:p>
        </w:tc>
      </w:tr>
    </w:tbl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验收</w:t>
      </w:r>
      <w:r>
        <w:rPr>
          <w:rFonts w:ascii="微软雅黑" w:eastAsia="微软雅黑" w:hAnsi="微软雅黑" w:cs="微软雅黑" w:hint="eastAsia"/>
          <w:lang w:eastAsia="zh-CN"/>
        </w:rPr>
        <w:t>：完整走通「发布</w:t>
      </w:r>
      <w:r>
        <w:t>→</w:t>
      </w:r>
      <w:r>
        <w:rPr>
          <w:rFonts w:ascii="微软雅黑" w:eastAsia="微软雅黑" w:hAnsi="微软雅黑" w:cs="微软雅黑" w:hint="eastAsia"/>
          <w:lang w:eastAsia="zh-CN"/>
        </w:rPr>
        <w:t>下单</w:t>
      </w:r>
      <w:r>
        <w:t>→</w:t>
      </w:r>
      <w:r>
        <w:rPr>
          <w:rFonts w:ascii="微软雅黑" w:eastAsia="微软雅黑" w:hAnsi="微软雅黑" w:cs="微软雅黑" w:hint="eastAsia"/>
          <w:lang w:eastAsia="zh-CN"/>
        </w:rPr>
        <w:t>支付</w:t>
      </w:r>
      <w:r>
        <w:t>→</w:t>
      </w:r>
      <w:r>
        <w:rPr>
          <w:rFonts w:ascii="微软雅黑" w:eastAsia="微软雅黑" w:hAnsi="微软雅黑" w:cs="微软雅黑" w:hint="eastAsia"/>
          <w:lang w:eastAsia="zh-CN"/>
        </w:rPr>
        <w:t>核销</w:t>
      </w:r>
      <w:r>
        <w:t>→</w:t>
      </w:r>
      <w:r>
        <w:rPr>
          <w:rFonts w:ascii="微软雅黑" w:eastAsia="微软雅黑" w:hAnsi="微软雅黑" w:cs="微软雅黑" w:hint="eastAsia"/>
          <w:lang w:eastAsia="zh-CN"/>
        </w:rPr>
        <w:t>确认</w:t>
      </w:r>
      <w:r>
        <w:t>→</w:t>
      </w:r>
      <w:r>
        <w:rPr>
          <w:rFonts w:ascii="微软雅黑" w:eastAsia="微软雅黑" w:hAnsi="微软雅黑" w:cs="微软雅黑" w:hint="eastAsia"/>
          <w:lang w:eastAsia="zh-CN"/>
        </w:rPr>
        <w:t>分账</w:t>
      </w:r>
      <w:r>
        <w:t>→</w:t>
      </w:r>
      <w:r>
        <w:rPr>
          <w:rFonts w:ascii="微软雅黑" w:eastAsia="微软雅黑" w:hAnsi="微软雅黑" w:cs="微软雅黑" w:hint="eastAsia"/>
          <w:lang w:eastAsia="zh-CN"/>
        </w:rPr>
        <w:t>提现」全链路；退款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仲裁分支可用；</w:t>
      </w:r>
      <w:r>
        <w:t xml:space="preserve">24h </w:t>
      </w:r>
      <w:r>
        <w:rPr>
          <w:rFonts w:ascii="微软雅黑" w:eastAsia="微软雅黑" w:hAnsi="微软雅黑" w:cs="微软雅黑" w:hint="eastAsia"/>
          <w:lang w:eastAsia="zh-CN"/>
        </w:rPr>
        <w:t>关单与</w:t>
      </w:r>
      <w:r>
        <w:t xml:space="preserve"> 10 </w:t>
      </w:r>
      <w:r>
        <w:rPr>
          <w:rFonts w:ascii="微软雅黑" w:eastAsia="微软雅黑" w:hAnsi="微软雅黑" w:cs="微软雅黑" w:hint="eastAsia"/>
          <w:lang w:eastAsia="zh-CN"/>
        </w:rPr>
        <w:t>天自动收货定时任务验证通过。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3.3 Phase 2：社区版（+6 周）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圈子（校内圈自动入圈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跨校圈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兴趣圈申请创建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圈主制度）；帖子（五形态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楼中楼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热度算法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新帖保底曝光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信息流三</w:t>
      </w:r>
      <w:r>
        <w:t xml:space="preserve"> Tab</w:t>
      </w:r>
      <w:r>
        <w:rPr>
          <w:rFonts w:ascii="微软雅黑" w:eastAsia="微软雅黑" w:hAnsi="微软雅黑" w:cs="微软雅黑" w:hint="eastAsia"/>
          <w:lang w:eastAsia="zh-CN"/>
        </w:rPr>
        <w:t>）；聊天（单聊商品卡片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群聊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敏感词风控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订阅消息推送）；小法庭影子评审（平台裁决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脱敏发布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全民投票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评论区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对比入库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一致率看板）；树洞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表白墙、运营日历。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验收</w:t>
      </w:r>
      <w:r>
        <w:rPr>
          <w:rFonts w:ascii="微软雅黑" w:eastAsia="微软雅黑" w:hAnsi="微软雅黑" w:cs="微软雅黑" w:hint="eastAsia"/>
          <w:lang w:eastAsia="zh-CN"/>
        </w:rPr>
        <w:t>：热度公式按配置生效；新帖曝光机制可用；小法庭投票数据正确入库并生成一致率报表。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3.4 Phase 3：商业化（+6 周）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广告系统（六类广告位</w:t>
      </w:r>
      <w:r>
        <w:t xml:space="preserve"> + CPM/CPC </w:t>
      </w:r>
      <w:r>
        <w:rPr>
          <w:rFonts w:ascii="微软雅黑" w:eastAsia="微软雅黑" w:hAnsi="微软雅黑" w:cs="微软雅黑" w:hint="eastAsia"/>
          <w:lang w:eastAsia="zh-CN"/>
        </w:rPr>
        <w:t>计费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频控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广告主后台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后台直发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黑名单词库）；薯条自助推广；达人中心（蒲公英接单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平台抽成）；校园大使体系（每校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名，分成结算）；数据看板（</w:t>
      </w:r>
      <w:r>
        <w:t>DAU/GMV/</w:t>
      </w:r>
      <w:r>
        <w:rPr>
          <w:rFonts w:ascii="微软雅黑" w:eastAsia="微软雅黑" w:hAnsi="微软雅黑" w:cs="微软雅黑" w:hint="eastAsia"/>
          <w:lang w:eastAsia="zh-CN"/>
        </w:rPr>
        <w:t>抽佣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广告收入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学校健康度）。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验收</w:t>
      </w:r>
      <w:r>
        <w:rPr>
          <w:rFonts w:ascii="微软雅黑" w:eastAsia="微软雅黑" w:hAnsi="微软雅黑" w:cs="微软雅黑" w:hint="eastAsia"/>
          <w:lang w:eastAsia="zh-CN"/>
        </w:rPr>
        <w:t>：广告曝光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点击扣费准确；达人任务从接单到结算全流程可用。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3.5 Phase 4：规模与增值（持续）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跨校活动、跑腿拼单、企业号入驻、同专业推荐与推荐算法强化、小法庭裁决模式切换评估。</w:t>
      </w:r>
    </w:p>
    <w:p>
      <w:pPr>
        <w:pStyle w:val="Heading2"/>
        <w:spacing w:before="550" w:after="165"/>
        <w:pBdr>
          <w:left w:val="single" w:sz="24" w:space="6" w:color="1565C0"/>
        </w:pBdr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4. 人力配置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按</w:t>
      </w:r>
      <w:r>
        <w:t xml:space="preserve"> 3–5 </w:t>
      </w:r>
      <w:r>
        <w:rPr>
          <w:rFonts w:ascii="微软雅黑" w:eastAsia="微软雅黑" w:hAnsi="微软雅黑" w:cs="微软雅黑" w:hint="eastAsia"/>
          <w:lang w:eastAsia="zh-CN"/>
        </w:rPr>
        <w:t>人小团队口径配置，前后端可复用人力，测试兼职。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人数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职责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后端开发（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Go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1–2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微服务、交易、分账、定时任务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前端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小程序（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Taro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学生端约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24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交互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后台前端（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Vue3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0.5–1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后台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9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屏（可前后端复用人力）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产品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运营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校园大使管理、广告主商务、运营日历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测试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0.5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交易链路回归、定时任务验证</w:t>
            </w:r>
          </w:p>
        </w:tc>
      </w:tr>
    </w:tbl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小型团队</w:t>
      </w:r>
      <w:r>
        <w:t xml:space="preserve"> 3–5 </w:t>
      </w:r>
      <w:r>
        <w:rPr>
          <w:rFonts w:ascii="微软雅黑" w:eastAsia="微软雅黑" w:hAnsi="微软雅黑" w:cs="微软雅黑" w:hint="eastAsia"/>
          <w:lang w:eastAsia="zh-CN"/>
        </w:rPr>
        <w:t>人可支撑</w:t>
      </w:r>
      <w:r>
        <w:t xml:space="preserve"> Phase 1–3</w:t>
      </w:r>
      <w:r>
        <w:rPr>
          <w:rFonts w:ascii="微软雅黑" w:eastAsia="微软雅黑" w:hAnsi="微软雅黑" w:cs="微软雅黑" w:hint="eastAsia"/>
          <w:lang w:eastAsia="zh-CN"/>
        </w:rPr>
        <w:t>；单人全栈（</w:t>
      </w:r>
      <w:r>
        <w:t>Go + Taro</w:t>
      </w:r>
      <w:r>
        <w:rPr>
          <w:rFonts w:ascii="微软雅黑" w:eastAsia="微软雅黑" w:hAnsi="微软雅黑" w:cs="微软雅黑" w:hint="eastAsia"/>
          <w:lang w:eastAsia="zh-CN"/>
        </w:rPr>
        <w:t>）也可启动</w:t>
      </w:r>
      <w:r>
        <w:t xml:space="preserve"> MVP</w:t>
      </w:r>
      <w:r>
        <w:rPr>
          <w:rFonts w:ascii="微软雅黑" w:eastAsia="微软雅黑" w:hAnsi="微软雅黑" w:cs="微软雅黑" w:hint="eastAsia"/>
          <w:lang w:eastAsia="zh-CN"/>
        </w:rPr>
        <w:t>，但交易链路建议至少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人专职评审。</w:t>
      </w:r>
    </w:p>
    <w:p>
      <w:pPr>
        <w:pStyle w:val="Heading2"/>
        <w:spacing w:before="550" w:after="165"/>
        <w:pBdr>
          <w:left w:val="single" w:sz="24" w:space="6" w:color="1565C0"/>
        </w:pBdr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5. 技术准备与外部依赖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外部依赖中支付资质是唯一上线硬前提，需立即启动申请。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依赖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启动时点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风险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公司主体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对公账户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支付与分账前提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立即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无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微信小程序账号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需二手类目资质评估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立即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类目不符可换类目上线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微信支付商户号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电商收付通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上线硬前提，审核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1–3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周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立即申请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被拒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走持牌支付机构存管（路径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B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学生证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OCR/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图片审核服务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可先人工审核替代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Phase 1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无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ES/OSS/CDN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云服务开通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Phase 1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无</w:t>
            </w:r>
          </w:p>
        </w:tc>
      </w:tr>
    </w:tbl>
    <w:p>
      <w:pPr>
        <w:pStyle w:val="Heading2"/>
        <w:spacing w:before="550" w:after="165"/>
        <w:pBdr>
          <w:left w:val="single" w:sz="24" w:space="6" w:color="1565C0"/>
        </w:pBdr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6. 风险与应对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六大风险中支付资质与二清合规为高危项，冷启动为用户侧最大不确定性，均有明确预案。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风险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等级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应对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收付通资质审批慢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被拒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MVP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降级线下面交；备选持牌支付机构存管（路径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B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）；审批期间开发不受阻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初期用户少、冷启动难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校园大使地推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树洞引流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开学季活动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官方号运营；小法庭影子模式消化低案件量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内容违规（违禁品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网暴）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中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敏感词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图片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审核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人工抽检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违规梯度；案件脱敏发布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二清合规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坚决不走平台账户代收代付；只走收付通分账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持牌存管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佣金费率纠纷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低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下单时费率快照冻结，改费率不追溯；审计日志留痕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学生支付能力弱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中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面交为主（无运费成本）、低价高频商品、免佣活动期</w:t>
            </w:r>
          </w:p>
        </w:tc>
      </w:tr>
    </w:tbl>
    <w:p>
      <w:pPr>
        <w:pStyle w:val="Heading2"/>
        <w:spacing w:before="550" w:after="165"/>
        <w:pBdr>
          <w:left w:val="single" w:sz="24" w:space="6" w:color="1565C0"/>
        </w:pBdr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7. 测试与上线策略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以「全量回归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灰度放量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数据对账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运营窗口」四步收口，确保交易链路与资金数据零差异。</w:t>
      </w:r>
    </w:p>
    <w:p>
      <w:pPr>
        <w:spacing w:after="180"/>
      </w:pPr>
      <w:r>
        <w:t xml:space="preserve">① </w:t>
      </w:r>
      <w:r>
        <w:rPr>
          <w:rFonts w:ascii="微软雅黑" w:eastAsia="微软雅黑" w:hAnsi="微软雅黑" w:cs="微软雅黑" w:hint="eastAsia"/>
          <w:lang w:eastAsia="zh-CN"/>
        </w:rPr>
        <w:t>全量回归测试：交易状态机</w:t>
      </w:r>
      <w:r>
        <w:t xml:space="preserve"> 9 </w:t>
      </w:r>
      <w:r>
        <w:rPr>
          <w:rFonts w:ascii="微软雅黑" w:eastAsia="微软雅黑" w:hAnsi="微软雅黑" w:cs="微软雅黑" w:hint="eastAsia"/>
          <w:lang w:eastAsia="zh-CN"/>
        </w:rPr>
        <w:t>种状态</w:t>
      </w:r>
      <w:r>
        <w:t xml:space="preserve"> × </w:t>
      </w:r>
      <w:r>
        <w:rPr>
          <w:rFonts w:ascii="微软雅黑" w:eastAsia="微软雅黑" w:hAnsi="微软雅黑" w:cs="微软雅黑" w:hint="eastAsia"/>
          <w:lang w:eastAsia="zh-CN"/>
        </w:rPr>
        <w:t>退款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仲裁分支全覆盖；定时任务（</w:t>
      </w:r>
      <w:r>
        <w:t xml:space="preserve">24h </w:t>
      </w:r>
      <w:r>
        <w:rPr>
          <w:rFonts w:ascii="微软雅黑" w:eastAsia="微软雅黑" w:hAnsi="微软雅黑" w:cs="微软雅黑" w:hint="eastAsia"/>
          <w:lang w:eastAsia="zh-CN"/>
        </w:rPr>
        <w:t>关单</w:t>
      </w:r>
      <w:r>
        <w:t xml:space="preserve">/10 </w:t>
      </w:r>
      <w:r>
        <w:rPr>
          <w:rFonts w:ascii="微软雅黑" w:eastAsia="微软雅黑" w:hAnsi="微软雅黑" w:cs="微软雅黑" w:hint="eastAsia"/>
          <w:lang w:eastAsia="zh-CN"/>
        </w:rPr>
        <w:t>天自动收货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核销</w:t>
      </w:r>
      <w:r>
        <w:t xml:space="preserve"> 24h</w:t>
      </w:r>
      <w:r>
        <w:rPr>
          <w:rFonts w:ascii="微软雅黑" w:eastAsia="微软雅黑" w:hAnsi="微软雅黑" w:cs="微软雅黑" w:hint="eastAsia"/>
          <w:lang w:eastAsia="zh-CN"/>
        </w:rPr>
        <w:t>）用时间加速验证；</w:t>
      </w:r>
      <w:r>
        <w:t xml:space="preserve">② </w:t>
      </w:r>
      <w:r>
        <w:rPr>
          <w:rFonts w:ascii="微软雅黑" w:eastAsia="微软雅黑" w:hAnsi="微软雅黑" w:cs="微软雅黑" w:hint="eastAsia"/>
          <w:lang w:eastAsia="zh-CN"/>
        </w:rPr>
        <w:t>灰度上线：先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所合作校冷启动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周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观察订单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纠纷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审核数据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扩展到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校</w:t>
      </w:r>
      <w:r>
        <w:t xml:space="preserve"> → 50 </w:t>
      </w:r>
      <w:r>
        <w:rPr>
          <w:rFonts w:ascii="微软雅黑" w:eastAsia="微软雅黑" w:hAnsi="微软雅黑" w:cs="微软雅黑" w:hint="eastAsia"/>
          <w:lang w:eastAsia="zh-CN"/>
        </w:rPr>
        <w:t>校；</w:t>
      </w:r>
      <w:r>
        <w:t xml:space="preserve">③ </w:t>
      </w:r>
      <w:r>
        <w:rPr>
          <w:rFonts w:ascii="微软雅黑" w:eastAsia="微软雅黑" w:hAnsi="微软雅黑" w:cs="微软雅黑" w:hint="eastAsia"/>
          <w:lang w:eastAsia="zh-CN"/>
        </w:rPr>
        <w:t>数据验收：分账流水与微信对账单逐笔核对，佣金账单与订单金额校验零差异；</w:t>
      </w:r>
      <w:r>
        <w:t xml:space="preserve">④ </w:t>
      </w:r>
      <w:r>
        <w:rPr>
          <w:rFonts w:ascii="微软雅黑" w:eastAsia="微软雅黑" w:hAnsi="微软雅黑" w:cs="微软雅黑" w:hint="eastAsia"/>
          <w:lang w:eastAsia="zh-CN"/>
        </w:rPr>
        <w:t>运营验收：开学季（</w:t>
      </w:r>
      <w:r>
        <w:t xml:space="preserve">8–9 </w:t>
      </w:r>
      <w:r>
        <w:rPr>
          <w:rFonts w:ascii="微软雅黑" w:eastAsia="微软雅黑" w:hAnsi="微软雅黑" w:cs="微软雅黑" w:hint="eastAsia"/>
          <w:lang w:eastAsia="zh-CN"/>
        </w:rPr>
        <w:t>月）为第一个爆发窗口，务必在</w:t>
      </w:r>
      <w:r>
        <w:t xml:space="preserve"> 8 </w:t>
      </w:r>
      <w:r>
        <w:rPr>
          <w:rFonts w:ascii="微软雅黑" w:eastAsia="微软雅黑" w:hAnsi="微软雅黑" w:cs="微软雅黑" w:hint="eastAsia"/>
          <w:lang w:eastAsia="zh-CN"/>
        </w:rPr>
        <w:t>月中旬前完成</w:t>
      </w:r>
      <w:r>
        <w:t xml:space="preserve"> Phase 1–2 </w:t>
      </w:r>
      <w:r>
        <w:rPr>
          <w:rFonts w:ascii="微软雅黑" w:eastAsia="微软雅黑" w:hAnsi="微软雅黑" w:cs="微软雅黑" w:hint="eastAsia"/>
          <w:lang w:eastAsia="zh-CN"/>
        </w:rPr>
        <w:t>上线。</w:t>
      </w:r>
      <w:r/>
      <w:r/>
      <w:r/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