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0" w:before="0" w:line="266.4" w:lineRule="auto"/>
        <w:rPr>
          <w:b w:val="1"/>
          <w:bCs w:val="1"/>
          <w:sz w:val="54"/>
          <w:szCs w:val="54"/>
        </w:rPr>
      </w:pPr>
      <w:bookmarkStart w:colFirst="0" w:colLast="0" w:name="_xng2zqo14iif" w:id="0"/>
      <w:bookmarkEnd w:id="0"/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S</w:t>
      </w: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pectral Channel Mixing Transformer with Spectral-Center Attention for Hyperspectral Image Classification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цій статті автори розглядають задачу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класифікації гіперспектральних зображень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де кожен піксель має довгий спектральний вектор (відбивання/частота), а модель повинна правильно віднести його до класу земного покриву. Головна проблема, яку вони ставлять, така: сучасні Transformer-підходи справді добре ловлять глобальні залежності, але мають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квадратичну обчислювальну складність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self-attention і тому стають важкими для довгих спектральних послідовностей та обмежених ресурсів. Саме це автори і намагаються виправити у своїй моделі TC-Former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Чому ця проблема важлива саме для HSI. Гіперспектральне зображення містить сотні каналів, а це означає: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висока розмірність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, сильна кореляція між сусідніми спектральними смугами, складні нелінійні залежності, накладання спектрів схожих класів, мала кількість розмічених даних. Класичні лінійні методи зменшення розмірності і традиційні класифікатори не завжди встигають за цією складністю, а CNN добре ловлять локальні шаблони, але гірше працюють із далекими залежностями. Transformer частково вирішує це, але сам стає занадто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дорогим обчислювально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  <w:drawing>
          <wp:inline distB="114300" distT="114300" distL="114300" distR="114300">
            <wp:extent cx="1657350" cy="46672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Основна ідея статті полягає в тому, щоб не відмовлятися від сильних сторін Transformer, але зробити його дешевшим.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Для цього автори будують TC-Former як комбінацію трьох блоків: TimeMixFormer, HyperMixFormer, Center Attention. Перед цим вони ще роблять PCA для зменшення кількості каналів, потім первинне просторове виділення ознак через Conv2D+BN+ReLU, а вже далі подають ознаки в послідовність змішувальних блоків і фінальний MLP-класифікатор. Тобто їхня логіка така: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спершу стиснути спектр, далі витягнути компактні ознаки, а потім окремо моделювати спектральні та просторові зв’язки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TimeMixFormer відповідає за моделювання залежностей уздовж спектральної послідовності. Тут автори використовують ідеї RWKV, тобто заміняють звичайну важку attention-схему на лінійніший механізм із WKV-оператором, time shift та learnable decay. По суті, блок має зберігати інформацію з попередніх кроків і передавати її далі без повної квадратичної уваги між усіма токенами. Додатково вони ставлять Tiny Attention з малою кількістю голів і спільними проєкціями, щоб залишити хоча б частину глобальної взаємодії, але без великої ціни. Це і є їхня відповідь на проблему довгих спектральних послідовностей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HyperMixFormer вирішує іншу частину задачі: не просто передати інформацію по послідовності, а ефективно змішати канали і посилити корисні спектральні взаємодії. Він складається з двох HyperMixing-модулів і Tiny Attention. Усередині використовуються gated-механізм, WKV, Mish-активація, residual connection, LayerNorm і повторне використання параметрів. Ідея тут така: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один прохід грубо перебудовує ознаки, другий проходить по них ще раз і пригнічує надлишкове, а Tiny Attention додає дешевий глобальний контекст.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термінах проблеми статті це спроба одночасно зменшити шум, зберегти нелінійні спектральні зв’язки і не роздути модель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6896100" cy="45339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6896100" cy="453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1833563" cy="564935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3563" cy="56493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Найцікавіший блок з практичної точки зору це Center Attention. Автори явно роблять ставку на те, що для класифікації центрального пікселя найбільш релевантними є його околиці, але не всі однаково. Тому центральний піксель використовується як запит, а сусідні як джерело контексту. Це важливо для HSI, бо помилки часто виникають на межах класів, у щільних або змішаних ділянках. Саме цей модуль, як показує абляційний аналіз, дав найбільший внесок у якість: при його видаленні OA падає на 3.14% для IP, 3.42% для PU і 7.80% для датасету WHHH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Експерименти проводилися на трьох стандартних наборах: Indian Pines, Pavia University, WHU-Hi-HongHu. Для оцінки використовували OA, AA, Kappa і точність по класах. Порівняння виконували проти SSRN, SpectralFormer, HiT, SS1DSwin, SSFTT, CASST, LSGA, SQSFormer. Налаштування були суворо малорозмічені, бо в таблицях результати наведено для 10 зразків на клас для IP і WHHH та 10 міток на клас для PU. Отже, хоча робота формально supervised, вона вже знаходиться в режимі сильного дефіциту розмітки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Чи спрацювало їхнє рішення. За наведеними результатами так, але не однаково сильно на всіх датасетах. На Indian Pines модель отримала OA 90.01%, тоді як другий найкращий результат мав SQSFormer з 87.31%, тобто приріст близько 2.7%. На Pavia University було 94.60% проти 92.85%, тобто +1.75%. На WHU-Hi-HongHu було 91.56% проти 91.22%, тобто лише +0.34%. Це означає, що метод справді працює, але його перевага не універсально велика: на складнішому WHHH виграш уже майже на рівні невеликого приросту, а не прориву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Якщо дивитися не лише на OA, а глибше, картина теж змішана. Автори показують кращі візуальні карти класифікації з меншою кількістю шумових точок, особливо в щільних і складних ділянках. Вони також дають F1: 0.91 для IP, 0.95 для PU, 0.91 для WHHH, а матриці помилок і ROC-криві вказують на загалом стабільну дискримінацію класів. Але по окремих класах не всюди є перше місце: наприклад, на WHHH для деяких класів SQSFormer або LSGA кращі. Отже, чесний висновок такий: модель сильна в середньому, але не домінує в кожному класі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Ще одна заявлена перевага це ефективність. Автори прямо пишуть, що на Indian Pines їхня модель має найменші FLOPs і другий найкращий показник за кількістю параметрів серед Transformer-подібних конкурентів. Тобто їхня ключова обіцянка, покращити співвідношення точність/вартість, формально підтверджена. Але тут важливо сказати обережно: у тексті ця ефективність підсумовується за таблицею для Indian Pines, а не повноцінно по всіх трьох датасетах. Тому тезу про загальну ефективність краще формулювати як добре показану, але не абсолютно закриту для всіх сценаріїв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статті є важлива слабка сторона: у ній є неузгодженості в гіперпараметрах. У тексті сказано, що оптимальні patch size для IP, PU, WHHH це 15, 20, 30, а оптимальна кількість PCA-каналів це 100, 30, 150, і що kernel size 19 дав добрі результати на всіх трьох наборах. Але в таблиці конфігурації стоять інші значення: patch size 15, 24, 30, PCA 150, 20, 135, kernel size 9, 17, 19. Додатково в описі тренування написано learning rate 1×10⁻³ і batch size 200, 200, 20, а в таблиці вказано learning rate 0.0005 і batch size 200, 100, 20. Це серйозна проблема відтворюваності, і її варто назвати прямо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6499659" cy="3906589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9659" cy="39065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The optimal patch sizes for the IP, PU, and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WHHH datasets were found to be 15, 20, and 30, respectively. The number of PCA-retained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channels also influenced the results for all three datasets. Furthermore, the experiments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revealed that the optimal number of PCA channels for the IP, PU, and WHHH datasets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were 100, 30, and 150, respectively.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7005638" cy="156508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5638" cy="15650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Як можна покращити метрики. Найсильніший напрям тут не просто ще раз підкрутити supervised-модель, а використати невикористані нерозмічені дані. Для HSI це особливо логічно, бо збір ground truth дорогий і трудомісткий, а напівкеровані методи якраз використовують і labeled, і unlabeled вибірки. У літературі для HSI вже показано, що semi-supervised підходи можуть підвищувати точність через multi-view consistency або через генеративне використання нерозмічених спектрів. Тому для TC-Former природні покращення такі: consistency regularization між різними аугментаціями одного патча, pseudo-labeling тільки для високовпевнених пікселів, contrastive pretraining на нерозмічених даних, class-balanced loss для рідкісних класів, а також більш чесне налаштування порогів для складних класів у WHHH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У цій роботі вже є хороший backbone для цього, навіть якщо самі автори не пішли далі supervised-режиму. Їхній encoder уже вміє: моделювати довгі спектральні залежності через TimeMixFormer, змішувати канали через HyperMixFormer, концентруватись на релевантному оточенні через Center Attention. Беремо TC-Former як feature extractor, для labeled патчів лишаємо cross-entropy, а для unlabeled патчів додаємо unsupervised loss на узгодженість прогнозів між двома або кількома представленнями одного самого зразка. Це дуже добре стикується з ідеєю multi-view consistency, де одна і та сама нерозмічена точка має давати схожий прогноз у різних “поглядах” моделі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Стаття показує, що зниження обчислювальної складності Transformer через RWKV-подібний механізм дійсно дає хорошу точність у HSI-класифікації, а найбільший виграш приносить саме фокус на центральному пікселі та його локальному контексті. Але водночас робота залишається в рамках supervised learning, має питання до відтворюваності через суперечності в гіперпараметрах і не використовує великий потенціал unlabeled даних. Саме тому логічне продовження це перехід від TC-Former до semi-supervised TC-Former, де архітектура зберігається, але навчання доповнюється pseudo-labeling, consistency loss або self-supervised pretraining. Такий хід виглядає не штучно, а як природне продовження самої логіки статті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Висновоки: стаття корисна не лише тому, що пропонує нову модель, а й тому, що добре показує типову дослідницьку ситуацію в HSI: є реальна проблема обчислювальної вартості, є технічне рішення через лінійнішу увагу, є покращення метрик, але є й межі цього покращення та методологічні слабкості. 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Автори вже показали, як зробити Transformer легшим, а моя подальша ідея полягає в тому, щоб зробити його ще й менш залежним від великої кількості розмітки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