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46980BDD" w:rsidR="004F2A8B" w:rsidRDefault="00C421C3" w:rsidP="3D28A338">
            <w:pPr>
              <w:jc w:val="both"/>
              <w:rPr>
                <w:rFonts w:ascii="Calibri" w:hAnsi="Calibri"/>
                <w:color w:val="1F4E79" w:themeColor="accent1" w:themeShade="80"/>
              </w:rPr>
            </w:pPr>
            <w:r w:rsidRPr="00C421C3">
              <w:rPr>
                <w:rFonts w:ascii="Calibri" w:hAnsi="Calibri"/>
                <w:color w:val="1F4E79" w:themeColor="accent1" w:themeShade="80"/>
              </w:rPr>
              <w:t>Hasta la fecha, he cumplido con el cronograma planificado en la Carta Gantt para la Fase 2, logrando avanzar en el diseño de la base de datos PostgreSQL, la estructura inicial de las APIs en FastAPI y la integración de las librerías de visión por computadora.</w:t>
            </w:r>
          </w:p>
          <w:p w14:paraId="1FA837DF" w14:textId="77777777" w:rsidR="00C421C3" w:rsidRPr="00C421C3" w:rsidRDefault="00C421C3" w:rsidP="3D28A338">
            <w:pPr>
              <w:jc w:val="both"/>
              <w:rPr>
                <w:rFonts w:ascii="Calibri" w:hAnsi="Calibri"/>
                <w:color w:val="1F4E79" w:themeColor="accent1" w:themeShade="80"/>
              </w:rPr>
            </w:pPr>
          </w:p>
          <w:p w14:paraId="09C940DE" w14:textId="6031E405" w:rsidR="00C421C3" w:rsidRPr="00C421C3" w:rsidRDefault="00C421C3" w:rsidP="00C421C3">
            <w:pPr>
              <w:pStyle w:val="Prrafodelista"/>
              <w:numPr>
                <w:ilvl w:val="0"/>
                <w:numId w:val="41"/>
              </w:numPr>
              <w:jc w:val="both"/>
              <w:rPr>
                <w:rFonts w:ascii="Calibri" w:hAnsi="Calibri"/>
                <w:color w:val="1F4E79" w:themeColor="accent1" w:themeShade="80"/>
              </w:rPr>
            </w:pPr>
            <w:r w:rsidRPr="00C421C3">
              <w:rPr>
                <w:rFonts w:ascii="Calibri" w:hAnsi="Calibri"/>
                <w:b/>
                <w:bCs/>
                <w:color w:val="1F4E79" w:themeColor="accent1" w:themeShade="80"/>
              </w:rPr>
              <w:t>Factores facilitadores</w:t>
            </w:r>
            <w:r w:rsidRPr="00C421C3">
              <w:rPr>
                <w:rFonts w:ascii="Calibri" w:hAnsi="Calibri"/>
                <w:color w:val="1F4E79" w:themeColor="accent1" w:themeShade="80"/>
              </w:rPr>
              <w:t>: La correcta modularización de la arquitectura (separando frontend en React y backend en FastAPI) y la containerización temprana con Docker han facilitado las pruebas de integración local de las librerías de IA (face_recognition, OpenCV y Tesseract OCR).</w:t>
            </w:r>
          </w:p>
          <w:p w14:paraId="1F17CAF9" w14:textId="3D3CCA83" w:rsidR="004F2A8B" w:rsidRPr="00C421C3" w:rsidRDefault="00C421C3" w:rsidP="00C421C3">
            <w:pPr>
              <w:pStyle w:val="Prrafodelista"/>
              <w:numPr>
                <w:ilvl w:val="0"/>
                <w:numId w:val="41"/>
              </w:numPr>
              <w:jc w:val="both"/>
              <w:rPr>
                <w:rFonts w:ascii="Calibri" w:hAnsi="Calibri"/>
                <w:b/>
                <w:bCs/>
                <w:color w:val="1F4E79" w:themeColor="accent1" w:themeShade="80"/>
              </w:rPr>
            </w:pPr>
            <w:r w:rsidRPr="00C421C3">
              <w:rPr>
                <w:rFonts w:ascii="Calibri" w:hAnsi="Calibri"/>
                <w:b/>
                <w:bCs/>
                <w:color w:val="1F4E79" w:themeColor="accent1" w:themeShade="80"/>
              </w:rPr>
              <w:t>Factores dificultadores</w:t>
            </w:r>
            <w:r w:rsidRPr="00C421C3">
              <w:rPr>
                <w:rFonts w:ascii="Calibri" w:hAnsi="Calibri"/>
                <w:color w:val="1F4E79" w:themeColor="accent1" w:themeShade="80"/>
              </w:rPr>
              <w:t>: La configuración y afinación del rendimiento de la librería face_recognition sobre entornos Dockerizados generó retrasos temporales en la fase de pruebas iniciales debido al consumo de recursos en la extracción del vector numérico (embedding de 128 dimensiones).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2518DA8B" w14:textId="77777777" w:rsidR="0003764B" w:rsidRPr="0003764B" w:rsidRDefault="0003764B" w:rsidP="0003764B">
            <w:pPr>
              <w:jc w:val="both"/>
              <w:rPr>
                <w:rFonts w:ascii="Calibri" w:hAnsi="Calibri"/>
                <w:color w:val="1F4E79" w:themeColor="accent1" w:themeShade="80"/>
              </w:rPr>
            </w:pPr>
            <w:r w:rsidRPr="0003764B">
              <w:rPr>
                <w:rFonts w:ascii="Calibri" w:hAnsi="Calibri"/>
                <w:color w:val="1F4E79" w:themeColor="accent1" w:themeShade="80"/>
              </w:rPr>
              <w:t>Para resolver los inconvenientes técnicos con el procesamiento biométrico:</w:t>
            </w:r>
          </w:p>
          <w:p w14:paraId="4584CD4E" w14:textId="77777777" w:rsidR="0003764B" w:rsidRPr="0003764B" w:rsidRDefault="0003764B" w:rsidP="0003764B">
            <w:pPr>
              <w:jc w:val="both"/>
              <w:rPr>
                <w:rFonts w:ascii="Calibri" w:hAnsi="Calibri"/>
                <w:color w:val="1F4E79" w:themeColor="accent1" w:themeShade="80"/>
              </w:rPr>
            </w:pPr>
          </w:p>
          <w:p w14:paraId="29151E2C" w14:textId="0A3C5F30" w:rsidR="0003764B" w:rsidRPr="0003764B" w:rsidRDefault="0003764B" w:rsidP="0003764B">
            <w:pPr>
              <w:pStyle w:val="Prrafodelista"/>
              <w:numPr>
                <w:ilvl w:val="0"/>
                <w:numId w:val="42"/>
              </w:numPr>
              <w:jc w:val="both"/>
              <w:rPr>
                <w:rFonts w:ascii="Calibri" w:hAnsi="Calibri"/>
                <w:color w:val="1F4E79" w:themeColor="accent1" w:themeShade="80"/>
              </w:rPr>
            </w:pPr>
            <w:r w:rsidRPr="0003764B">
              <w:rPr>
                <w:rFonts w:ascii="Calibri" w:hAnsi="Calibri"/>
                <w:color w:val="1F4E79" w:themeColor="accent1" w:themeShade="80"/>
              </w:rPr>
              <w:t>Optimicé el tamaño y resolución de las imágenes procesadas en memoria RAM antes de realizar la extracción de descriptores faciales, reduciendo el tiempo de respuesta en la API de FastAPI.</w:t>
            </w:r>
          </w:p>
          <w:p w14:paraId="348C2F04" w14:textId="16268EB4" w:rsidR="004F2A8B" w:rsidRDefault="0003764B" w:rsidP="0003764B">
            <w:pPr>
              <w:pStyle w:val="Prrafodelista"/>
              <w:numPr>
                <w:ilvl w:val="0"/>
                <w:numId w:val="42"/>
              </w:numPr>
              <w:jc w:val="both"/>
              <w:rPr>
                <w:rFonts w:ascii="Calibri" w:hAnsi="Calibri"/>
                <w:color w:val="1F4E79" w:themeColor="accent1" w:themeShade="80"/>
              </w:rPr>
            </w:pPr>
            <w:r w:rsidRPr="0003764B">
              <w:rPr>
                <w:rFonts w:ascii="Calibri" w:hAnsi="Calibri"/>
                <w:color w:val="1F4E79" w:themeColor="accent1" w:themeShade="80"/>
              </w:rPr>
              <w:t xml:space="preserve">Documenté e implementé la arquitectura bajo el enfoque de </w:t>
            </w:r>
            <w:r w:rsidR="005D0F75">
              <w:rPr>
                <w:rFonts w:ascii="Calibri" w:hAnsi="Calibri"/>
                <w:color w:val="1F4E79" w:themeColor="accent1" w:themeShade="80"/>
              </w:rPr>
              <w:t>“</w:t>
            </w:r>
            <w:r w:rsidRPr="0003764B">
              <w:rPr>
                <w:rFonts w:ascii="Calibri" w:hAnsi="Calibri"/>
                <w:color w:val="1F4E79" w:themeColor="accent1" w:themeShade="80"/>
              </w:rPr>
              <w:t>Privacy by Design</w:t>
            </w:r>
            <w:r w:rsidR="005D0F75">
              <w:rPr>
                <w:rFonts w:ascii="Calibri" w:hAnsi="Calibri"/>
                <w:color w:val="1F4E79" w:themeColor="accent1" w:themeShade="80"/>
              </w:rPr>
              <w:t>”</w:t>
            </w:r>
            <w:r w:rsidRPr="0003764B">
              <w:rPr>
                <w:rFonts w:ascii="Calibri" w:hAnsi="Calibri"/>
                <w:color w:val="1F4E79" w:themeColor="accent1" w:themeShade="80"/>
              </w:rPr>
              <w:t>, asegurando que los archivos temporales de imágenes se eliminen inmediatamente tras la verificación, guardando únicamente los embeddings numéricos en la base de datos.</w:t>
            </w:r>
          </w:p>
          <w:p w14:paraId="7BC4D618" w14:textId="0B2ACD00" w:rsidR="004F2A8B" w:rsidRPr="001D09CC" w:rsidRDefault="005D0F75" w:rsidP="3D28A338">
            <w:pPr>
              <w:pStyle w:val="Prrafodelista"/>
              <w:numPr>
                <w:ilvl w:val="0"/>
                <w:numId w:val="42"/>
              </w:numPr>
              <w:jc w:val="both"/>
              <w:rPr>
                <w:rFonts w:ascii="Calibri" w:hAnsi="Calibri"/>
                <w:color w:val="1F4E79" w:themeColor="accent1" w:themeShade="80"/>
              </w:rPr>
            </w:pPr>
            <w:r w:rsidRPr="005D0F75">
              <w:rPr>
                <w:rFonts w:ascii="Calibri" w:hAnsi="Calibri"/>
                <w:color w:val="1F4E79" w:themeColor="accent1" w:themeShade="80"/>
              </w:rPr>
              <w:t>Establecí un flujo de pruebas unitarias continuo para los endpoints críticos (autenticación, firmas y validación biométrica) para prevenir regresiones.</w:t>
            </w: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5D59B01" w14:textId="77777777" w:rsidR="00F75724" w:rsidRPr="00F75724" w:rsidRDefault="00F75724" w:rsidP="00F75724">
            <w:pPr>
              <w:jc w:val="both"/>
              <w:rPr>
                <w:rFonts w:ascii="Calibri" w:hAnsi="Calibri"/>
                <w:color w:val="1F4E79" w:themeColor="accent1" w:themeShade="80"/>
              </w:rPr>
            </w:pPr>
            <w:r w:rsidRPr="00F75724">
              <w:rPr>
                <w:rFonts w:ascii="Calibri" w:hAnsi="Calibri"/>
                <w:color w:val="1F4E79" w:themeColor="accent1" w:themeShade="80"/>
              </w:rPr>
              <w:t>Evalúo mi desempeño con una nota altamente positiva (destacado).</w:t>
            </w:r>
          </w:p>
          <w:p w14:paraId="7EA84A54" w14:textId="77777777" w:rsidR="00F75724" w:rsidRPr="00F75724" w:rsidRDefault="00F75724" w:rsidP="00F75724">
            <w:pPr>
              <w:jc w:val="both"/>
              <w:rPr>
                <w:rFonts w:ascii="Calibri" w:hAnsi="Calibri"/>
                <w:color w:val="1F4E79" w:themeColor="accent1" w:themeShade="80"/>
              </w:rPr>
            </w:pPr>
          </w:p>
          <w:p w14:paraId="3BE9AC1F" w14:textId="193885D5" w:rsidR="004F2A8B" w:rsidRPr="00F75724" w:rsidRDefault="00F75724" w:rsidP="00F75724">
            <w:pPr>
              <w:pStyle w:val="Prrafodelista"/>
              <w:numPr>
                <w:ilvl w:val="0"/>
                <w:numId w:val="43"/>
              </w:numPr>
              <w:jc w:val="both"/>
              <w:rPr>
                <w:rFonts w:ascii="Calibri" w:hAnsi="Calibri"/>
                <w:color w:val="1F4E79" w:themeColor="accent1" w:themeShade="80"/>
              </w:rPr>
            </w:pPr>
            <w:r w:rsidRPr="00F75724">
              <w:rPr>
                <w:rFonts w:ascii="Calibri" w:hAnsi="Calibri"/>
                <w:b/>
                <w:bCs/>
                <w:color w:val="1F4E79" w:themeColor="accent1" w:themeShade="80"/>
              </w:rPr>
              <w:t>Aspectos a destacar</w:t>
            </w:r>
            <w:r w:rsidRPr="00F75724">
              <w:rPr>
                <w:rFonts w:ascii="Calibri" w:hAnsi="Calibri"/>
                <w:color w:val="1F4E79" w:themeColor="accent1" w:themeShade="80"/>
              </w:rPr>
              <w:t>: La rigurosidad técnica al implementar una arquitectura segura, escalable e innovadora que integra validación biométrica, lectura OCR de cédulas chilenas y firmado criptográfico SHA-256. Además, resalto el mantenimiento actualizado y ordenado del repositorio en GitHub bajo los estándares institucionales.</w:t>
            </w:r>
          </w:p>
          <w:p w14:paraId="75A589DF" w14:textId="66AC23E4" w:rsidR="004F2A8B" w:rsidRPr="001D09CC" w:rsidRDefault="00F75724" w:rsidP="3D28A338">
            <w:pPr>
              <w:pStyle w:val="Prrafodelista"/>
              <w:numPr>
                <w:ilvl w:val="0"/>
                <w:numId w:val="43"/>
              </w:numPr>
              <w:jc w:val="both"/>
              <w:rPr>
                <w:rFonts w:ascii="Calibri" w:hAnsi="Calibri"/>
                <w:color w:val="1F4E79" w:themeColor="accent1" w:themeShade="80"/>
              </w:rPr>
            </w:pPr>
            <w:r w:rsidRPr="00F75724">
              <w:rPr>
                <w:rFonts w:ascii="Calibri" w:hAnsi="Calibri"/>
                <w:b/>
                <w:bCs/>
                <w:color w:val="1F4E79" w:themeColor="accent1" w:themeShade="80"/>
              </w:rPr>
              <w:t>Aspectos a mejorar</w:t>
            </w:r>
            <w:r w:rsidRPr="00F75724">
              <w:rPr>
                <w:rFonts w:ascii="Calibri" w:hAnsi="Calibri"/>
                <w:color w:val="1F4E79" w:themeColor="accent1" w:themeShade="80"/>
              </w:rPr>
              <w:t>: Optimizar la gestión del tiempo para equilibrar de manera más fluida la redacción de la documentación formal (SRS y manuales de pruebas) con la codificación y refactorización del software.</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6B517C95" w14:textId="47E8D41A" w:rsidR="00B45D52" w:rsidRPr="00B45D52" w:rsidRDefault="00B45D52" w:rsidP="00B45D52">
            <w:pPr>
              <w:jc w:val="both"/>
              <w:rPr>
                <w:rFonts w:ascii="Calibri" w:hAnsi="Calibri"/>
                <w:b/>
                <w:bCs/>
                <w:color w:val="1F4E79" w:themeColor="accent1" w:themeShade="80"/>
              </w:rPr>
            </w:pPr>
            <w:r w:rsidRPr="00B45D52">
              <w:rPr>
                <w:rFonts w:ascii="Calibri" w:hAnsi="Calibri"/>
                <w:b/>
                <w:bCs/>
                <w:color w:val="1F4E79" w:themeColor="accent1" w:themeShade="80"/>
              </w:rPr>
              <w:t xml:space="preserve">Inquietud / Pregunta para </w:t>
            </w:r>
            <w:r>
              <w:rPr>
                <w:rFonts w:ascii="Calibri" w:hAnsi="Calibri"/>
                <w:b/>
                <w:bCs/>
                <w:color w:val="1F4E79" w:themeColor="accent1" w:themeShade="80"/>
              </w:rPr>
              <w:t>la</w:t>
            </w:r>
            <w:r w:rsidRPr="00B45D52">
              <w:rPr>
                <w:rFonts w:ascii="Calibri" w:hAnsi="Calibri"/>
                <w:b/>
                <w:bCs/>
                <w:color w:val="1F4E79" w:themeColor="accent1" w:themeShade="80"/>
              </w:rPr>
              <w:t xml:space="preserve"> docente:</w:t>
            </w:r>
          </w:p>
          <w:p w14:paraId="01E61CA1" w14:textId="491EB5F5" w:rsidR="004F2A8B" w:rsidRPr="008F3F2E" w:rsidRDefault="00B45D52" w:rsidP="3D28A338">
            <w:pPr>
              <w:jc w:val="both"/>
              <w:rPr>
                <w:rFonts w:ascii="Calibri" w:hAnsi="Calibri"/>
                <w:i/>
                <w:iCs/>
                <w:color w:val="1F4E79" w:themeColor="accent1" w:themeShade="80"/>
              </w:rPr>
            </w:pPr>
            <w:r w:rsidRPr="00B45D52">
              <w:rPr>
                <w:rFonts w:ascii="Calibri" w:hAnsi="Calibri"/>
                <w:i/>
                <w:iCs/>
                <w:color w:val="1F4E79" w:themeColor="accent1" w:themeShade="80"/>
              </w:rPr>
              <w:t>"Estimada docente: Dado que las pruebas biométricas y de OCR se ejecutan localmente en Docker sin enviar datos a servidores externos, ¿considera conveniente agregar en el Informe Final un anexo formal con una Matriz de Riesgos de Ciberseguridad o basta con detallarlo en la sección de Requisitos No Funcionales y Pruebas?"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1A3DC514" w:rsidR="004F2A8B" w:rsidRPr="002B44EA" w:rsidRDefault="002B44EA" w:rsidP="3D28A338">
            <w:pPr>
              <w:jc w:val="both"/>
              <w:rPr>
                <w:rFonts w:ascii="Calibri" w:hAnsi="Calibri"/>
                <w:color w:val="1F4E79" w:themeColor="accent1" w:themeShade="80"/>
              </w:rPr>
            </w:pPr>
            <w:r w:rsidRPr="002B44EA">
              <w:rPr>
                <w:rFonts w:ascii="Calibri" w:hAnsi="Calibri"/>
                <w:color w:val="1F4E79" w:themeColor="accent1" w:themeShade="80"/>
              </w:rPr>
              <w:t>Al ser un desarrollo individual, no aplica la redistribución de tareas entre pares. Sin embargo, he reajustado mi plan de trabajo personal asignando bloques específicos de tiempo semanal para asegurar la cobertura de las pruebas de integración y la redacción del manual de despliegue.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4529443" w:rsidR="004F2A8B" w:rsidRPr="00E82BD2" w:rsidRDefault="00E82BD2" w:rsidP="3D28A338">
            <w:pPr>
              <w:jc w:val="both"/>
              <w:rPr>
                <w:rFonts w:ascii="Calibri" w:hAnsi="Calibri"/>
                <w:color w:val="1F4E79" w:themeColor="accent1" w:themeShade="80"/>
              </w:rPr>
            </w:pPr>
            <w:r w:rsidRPr="00E82BD2">
              <w:rPr>
                <w:rFonts w:ascii="Calibri" w:hAnsi="Calibri"/>
                <w:color w:val="1F4E79" w:themeColor="accent1" w:themeShade="80"/>
              </w:rPr>
              <w:t>Como proyecto desarrollado de forma individual:</w:t>
            </w:r>
          </w:p>
          <w:p w14:paraId="5CFD58DE" w14:textId="3414DE46" w:rsidR="004F2A8B" w:rsidRPr="00E82BD2" w:rsidRDefault="00E82BD2" w:rsidP="00E82BD2">
            <w:pPr>
              <w:pStyle w:val="Prrafodelista"/>
              <w:numPr>
                <w:ilvl w:val="0"/>
                <w:numId w:val="44"/>
              </w:numPr>
              <w:jc w:val="both"/>
              <w:rPr>
                <w:rFonts w:ascii="Calibri" w:hAnsi="Calibri"/>
                <w:color w:val="1F4E79" w:themeColor="accent1" w:themeShade="80"/>
              </w:rPr>
            </w:pPr>
            <w:r w:rsidRPr="00E82BD2">
              <w:rPr>
                <w:rFonts w:ascii="Calibri" w:hAnsi="Calibri"/>
                <w:b/>
                <w:bCs/>
                <w:color w:val="1F4E79" w:themeColor="accent1" w:themeShade="80"/>
              </w:rPr>
              <w:t>Aspectos positivos</w:t>
            </w:r>
            <w:r w:rsidRPr="00E82BD2">
              <w:rPr>
                <w:rFonts w:ascii="Calibri" w:hAnsi="Calibri"/>
                <w:color w:val="1F4E79" w:themeColor="accent1" w:themeShade="80"/>
              </w:rPr>
              <w:t>: Completa autonomía en la toma de decisiones tecnológicas, agilidad en la resolución de fallas y un control riguroso de versiones de código y documentación en GitHub.</w:t>
            </w:r>
          </w:p>
          <w:p w14:paraId="14A8E0B5" w14:textId="1D7351F4" w:rsidR="00651904" w:rsidRPr="00651904" w:rsidRDefault="00E82BD2" w:rsidP="00651904">
            <w:pPr>
              <w:pStyle w:val="Prrafodelista"/>
              <w:numPr>
                <w:ilvl w:val="0"/>
                <w:numId w:val="44"/>
              </w:numPr>
              <w:jc w:val="both"/>
              <w:rPr>
                <w:rFonts w:eastAsiaTheme="majorEastAsia"/>
                <w:color w:val="767171" w:themeColor="background2" w:themeShade="80"/>
                <w:sz w:val="24"/>
                <w:szCs w:val="24"/>
              </w:rPr>
            </w:pPr>
            <w:r w:rsidRPr="00E82BD2">
              <w:rPr>
                <w:rFonts w:ascii="Calibri" w:hAnsi="Calibri"/>
                <w:b/>
                <w:bCs/>
                <w:color w:val="1F4E79" w:themeColor="accent1" w:themeShade="80"/>
              </w:rPr>
              <w:lastRenderedPageBreak/>
              <w:t>Aspectos a mejorar</w:t>
            </w:r>
            <w:r w:rsidRPr="00E82BD2">
              <w:rPr>
                <w:rFonts w:ascii="Calibri" w:hAnsi="Calibri"/>
                <w:color w:val="1F4E79" w:themeColor="accent1" w:themeShade="80"/>
              </w:rPr>
              <w:t xml:space="preserve">: Mantener una comunicación constante con </w:t>
            </w:r>
            <w:r w:rsidR="0032787D">
              <w:rPr>
                <w:rFonts w:ascii="Calibri" w:hAnsi="Calibri"/>
                <w:color w:val="1F4E79" w:themeColor="accent1" w:themeShade="80"/>
              </w:rPr>
              <w:t>la</w:t>
            </w:r>
            <w:r w:rsidRPr="00E82BD2">
              <w:rPr>
                <w:rFonts w:ascii="Calibri" w:hAnsi="Calibri"/>
                <w:color w:val="1F4E79" w:themeColor="accent1" w:themeShade="80"/>
              </w:rPr>
              <w:t xml:space="preserve"> docente </w:t>
            </w:r>
            <w:r w:rsidR="0032787D">
              <w:rPr>
                <w:rFonts w:ascii="Calibri" w:hAnsi="Calibri"/>
                <w:color w:val="1F4E79" w:themeColor="accent1" w:themeShade="80"/>
              </w:rPr>
              <w:t xml:space="preserve">a través de </w:t>
            </w:r>
            <w:r w:rsidRPr="00E82BD2">
              <w:rPr>
                <w:rFonts w:ascii="Calibri" w:hAnsi="Calibri"/>
                <w:color w:val="1F4E79" w:themeColor="accent1" w:themeShade="80"/>
              </w:rPr>
              <w:t>las instancias de retroalimentación para validar que los artefactos técnicos sigan alineados a las rúbricas formales de la Fase 2.</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F7F5F" w14:textId="77777777" w:rsidR="00BD2C94" w:rsidRDefault="00BD2C94" w:rsidP="00DF38AE">
      <w:pPr>
        <w:spacing w:after="0" w:line="240" w:lineRule="auto"/>
      </w:pPr>
      <w:r>
        <w:separator/>
      </w:r>
    </w:p>
  </w:endnote>
  <w:endnote w:type="continuationSeparator" w:id="0">
    <w:p w14:paraId="15197567" w14:textId="77777777" w:rsidR="00BD2C94" w:rsidRDefault="00BD2C9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2A139" w14:textId="77777777" w:rsidR="00BD2C94" w:rsidRDefault="00BD2C94" w:rsidP="00DF38AE">
      <w:pPr>
        <w:spacing w:after="0" w:line="240" w:lineRule="auto"/>
      </w:pPr>
      <w:r>
        <w:separator/>
      </w:r>
    </w:p>
  </w:footnote>
  <w:footnote w:type="continuationSeparator" w:id="0">
    <w:p w14:paraId="1DF27909" w14:textId="77777777" w:rsidR="00BD2C94" w:rsidRDefault="00BD2C9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E7C50"/>
    <w:multiLevelType w:val="hybridMultilevel"/>
    <w:tmpl w:val="2F3EE1E8"/>
    <w:lvl w:ilvl="0" w:tplc="02A85C26">
      <w:start w:val="1"/>
      <w:numFmt w:val="bullet"/>
      <w:lvlText w:val=""/>
      <w:lvlJc w:val="left"/>
      <w:pPr>
        <w:ind w:left="720" w:hanging="360"/>
      </w:pPr>
      <w:rPr>
        <w:rFonts w:ascii="Symbol" w:hAnsi="Symbol" w:hint="default"/>
        <w:color w:val="1F3864" w:themeColor="accent5" w:themeShade="8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07176C2"/>
    <w:multiLevelType w:val="hybridMultilevel"/>
    <w:tmpl w:val="9830D9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21F28F5"/>
    <w:multiLevelType w:val="hybridMultilevel"/>
    <w:tmpl w:val="E66C6A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B5FC6"/>
    <w:multiLevelType w:val="hybridMultilevel"/>
    <w:tmpl w:val="0592E9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2148426">
    <w:abstractNumId w:val="3"/>
  </w:num>
  <w:num w:numId="2" w16cid:durableId="1806504641">
    <w:abstractNumId w:val="9"/>
  </w:num>
  <w:num w:numId="3" w16cid:durableId="1486969062">
    <w:abstractNumId w:val="13"/>
  </w:num>
  <w:num w:numId="4" w16cid:durableId="626548164">
    <w:abstractNumId w:val="32"/>
  </w:num>
  <w:num w:numId="5" w16cid:durableId="1867212227">
    <w:abstractNumId w:val="34"/>
  </w:num>
  <w:num w:numId="6" w16cid:durableId="606230251">
    <w:abstractNumId w:val="4"/>
  </w:num>
  <w:num w:numId="7" w16cid:durableId="1310746012">
    <w:abstractNumId w:val="12"/>
  </w:num>
  <w:num w:numId="8" w16cid:durableId="529488665">
    <w:abstractNumId w:val="20"/>
  </w:num>
  <w:num w:numId="9" w16cid:durableId="816414161">
    <w:abstractNumId w:val="16"/>
  </w:num>
  <w:num w:numId="10" w16cid:durableId="793599329">
    <w:abstractNumId w:val="10"/>
  </w:num>
  <w:num w:numId="11" w16cid:durableId="98840849">
    <w:abstractNumId w:val="26"/>
  </w:num>
  <w:num w:numId="12" w16cid:durableId="1507402033">
    <w:abstractNumId w:val="39"/>
  </w:num>
  <w:num w:numId="13" w16cid:durableId="638343518">
    <w:abstractNumId w:val="33"/>
  </w:num>
  <w:num w:numId="14" w16cid:durableId="1558738073">
    <w:abstractNumId w:val="1"/>
  </w:num>
  <w:num w:numId="15" w16cid:durableId="1182474548">
    <w:abstractNumId w:val="40"/>
  </w:num>
  <w:num w:numId="16" w16cid:durableId="2089962081">
    <w:abstractNumId w:val="23"/>
  </w:num>
  <w:num w:numId="17" w16cid:durableId="1702903008">
    <w:abstractNumId w:val="18"/>
  </w:num>
  <w:num w:numId="18" w16cid:durableId="361710376">
    <w:abstractNumId w:val="35"/>
  </w:num>
  <w:num w:numId="19" w16cid:durableId="693993043">
    <w:abstractNumId w:val="11"/>
  </w:num>
  <w:num w:numId="20" w16cid:durableId="1731927533">
    <w:abstractNumId w:val="43"/>
  </w:num>
  <w:num w:numId="21" w16cid:durableId="1862938212">
    <w:abstractNumId w:val="38"/>
  </w:num>
  <w:num w:numId="22" w16cid:durableId="242498907">
    <w:abstractNumId w:val="14"/>
  </w:num>
  <w:num w:numId="23" w16cid:durableId="50544643">
    <w:abstractNumId w:val="15"/>
  </w:num>
  <w:num w:numId="24" w16cid:durableId="1685857827">
    <w:abstractNumId w:val="5"/>
  </w:num>
  <w:num w:numId="25" w16cid:durableId="1312829407">
    <w:abstractNumId w:val="17"/>
  </w:num>
  <w:num w:numId="26" w16cid:durableId="529535305">
    <w:abstractNumId w:val="21"/>
  </w:num>
  <w:num w:numId="27" w16cid:durableId="2133135667">
    <w:abstractNumId w:val="25"/>
  </w:num>
  <w:num w:numId="28" w16cid:durableId="1033962499">
    <w:abstractNumId w:val="0"/>
  </w:num>
  <w:num w:numId="29" w16cid:durableId="886717334">
    <w:abstractNumId w:val="19"/>
  </w:num>
  <w:num w:numId="30" w16cid:durableId="2091660676">
    <w:abstractNumId w:val="24"/>
  </w:num>
  <w:num w:numId="31" w16cid:durableId="1200048136">
    <w:abstractNumId w:val="2"/>
  </w:num>
  <w:num w:numId="32" w16cid:durableId="1577476428">
    <w:abstractNumId w:val="7"/>
  </w:num>
  <w:num w:numId="33" w16cid:durableId="2136177328">
    <w:abstractNumId w:val="36"/>
  </w:num>
  <w:num w:numId="34" w16cid:durableId="876896556">
    <w:abstractNumId w:val="42"/>
  </w:num>
  <w:num w:numId="35" w16cid:durableId="1408460885">
    <w:abstractNumId w:val="6"/>
  </w:num>
  <w:num w:numId="36" w16cid:durableId="639070702">
    <w:abstractNumId w:val="28"/>
  </w:num>
  <w:num w:numId="37" w16cid:durableId="1191381117">
    <w:abstractNumId w:val="41"/>
  </w:num>
  <w:num w:numId="38" w16cid:durableId="1415056438">
    <w:abstractNumId w:val="31"/>
  </w:num>
  <w:num w:numId="39" w16cid:durableId="1403022372">
    <w:abstractNumId w:val="29"/>
  </w:num>
  <w:num w:numId="40" w16cid:durableId="1312714759">
    <w:abstractNumId w:val="37"/>
  </w:num>
  <w:num w:numId="41" w16cid:durableId="60640946">
    <w:abstractNumId w:val="27"/>
  </w:num>
  <w:num w:numId="42" w16cid:durableId="1126704609">
    <w:abstractNumId w:val="30"/>
  </w:num>
  <w:num w:numId="43" w16cid:durableId="1050956366">
    <w:abstractNumId w:val="22"/>
  </w:num>
  <w:num w:numId="44" w16cid:durableId="1900020292">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3764B"/>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9CC"/>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4EA"/>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787D"/>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210"/>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0F75"/>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904"/>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3F2E"/>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38DB"/>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5D52"/>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C94"/>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1C3"/>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1E2"/>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2BD2"/>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724"/>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3DAF"/>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722</Words>
  <Characters>3975</Characters>
  <Application>Microsoft Office Word</Application>
  <DocSecurity>0</DocSecurity>
  <Lines>33</Lines>
  <Paragraphs>9</Paragraphs>
  <ScaleCrop>false</ScaleCrop>
  <Company>Wal-Mart Stores, Inc.</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Macarena A. C.</cp:lastModifiedBy>
  <cp:revision>15</cp:revision>
  <cp:lastPrinted>2019-12-16T20:10:00Z</cp:lastPrinted>
  <dcterms:created xsi:type="dcterms:W3CDTF">2026-09-07T17:53:00Z</dcterms:created>
  <dcterms:modified xsi:type="dcterms:W3CDTF">2026-09-07T18:04:00Z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