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Trolleybus Driver Certification</w:t>
      </w:r>
    </w:p>
    <w:p>
      <w:pPr>
        <w:spacing w:after="160"/>
      </w:pPr>
      <w:r>
        <w:rPr>
          <w:rFonts w:ascii="Calibri" w:hAnsi="Calibri"/>
          <w:lang w:val="en-GB"/>
          <w:sz w:val="22"/>
        </w:rPr>
        <w:t xml:space="preserve">Drivers transporting passengers by trolleybus must hold a trolleybus transport certificate.</w:t>
      </w:r>
    </w:p>
    <w:p>
      <w:pPr>
        <w:spacing w:after="160"/>
      </w:pPr>
      <w:r>
        <w:rPr>
          <w:rFonts w:ascii="Calibri" w:hAnsi="Calibri"/>
          <w:lang w:val="en-GB"/>
          <w:sz w:val="22"/>
        </w:rPr>
        <w:t xml:space="preserve">The trolleybus transport certificate provides evidence of professional competence to drive vehicles used for this type of road transport.</w:t>
      </w:r>
    </w:p>
    <w:p>
      <w:pPr>
        <w:spacing w:after="160"/>
      </w:pPr>
      <w:r>
        <w:rPr>
          <w:rFonts w:ascii="Calibri" w:hAnsi="Calibri"/>
          <w:lang w:val="en-GB"/>
          <w:sz w:val="22"/>
        </w:rPr>
        <w:t xml:space="preserve">Note: Initial qualification certificates (CPI) or periodic training certificates (CPC) valid for vehicles in categories D1, D1E, D or DE are also valid for trolleybus transport, provided the holders have a valid category D or DE driving licence.</w:t>
      </w:r>
    </w:p>
    <w:p>
      <w:pPr>
        <w:spacing w:after="160"/>
      </w:pPr>
      <w:r>
        <w:rPr>
          <w:rFonts w:ascii="Calibri" w:hAnsi="Calibri"/>
          <w:lang w:val="en-GB"/>
          <w:sz w:val="22"/>
        </w:rPr>
        <w:t xml:space="preserve">To enrol on training for the trolleybus transport certificate, applicants must hold a valid driving licence for at least one of categories D, DE or Tb, issued or recognised by the competent Romanian authority.</w:t>
      </w:r>
    </w:p>
    <w:p>
      <w:pPr>
        <w:spacing w:after="160"/>
      </w:pPr>
      <w:r>
        <w:rPr>
          <w:rFonts w:ascii="Calibri" w:hAnsi="Calibri"/>
          <w:lang w:val="en-GB"/>
          <w:sz w:val="22"/>
        </w:rPr>
        <w:t xml:space="preserve">To attend courses for the trolleybus transport certificate, candidates enrol at a training and professional development centre authorised by the Ministry of Transport, Infrastructure and Communications and submit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a valid identity document;</w:t>
      </w:r>
    </w:p>
    <w:p>
      <w:pPr>
        <w:spacing w:after="160"/>
      </w:pPr>
      <w:r>
        <w:rPr>
          <w:rFonts w:ascii="Calibri" w:hAnsi="Calibri"/>
          <w:lang w:val="en-GB"/>
          <w:sz w:val="22"/>
        </w:rPr>
        <w:t xml:space="preserve">c) a copy of a valid driving licence;</w:t>
      </w:r>
    </w:p>
    <w:p>
      <w:pPr>
        <w:spacing w:after="160"/>
      </w:pPr>
      <w:r>
        <w:rPr>
          <w:rFonts w:ascii="Calibri" w:hAnsi="Calibri"/>
          <w:lang w:val="en-GB"/>
          <w:sz w:val="22"/>
        </w:rPr>
        <w:t xml:space="preserve">d) where applicable, a copy of the current trolleybus transport certificate.</w:t>
      </w:r>
    </w:p>
    <w:p>
      <w:pPr>
        <w:spacing w:after="160"/>
      </w:pPr>
      <w:r>
        <w:rPr>
          <w:rFonts w:ascii="Calibri" w:hAnsi="Calibri"/>
          <w:lang w:val="en-GB"/>
          <w:sz w:val="22"/>
        </w:rPr>
        <w:t xml:space="preserve">The trolleybus transport certification examination consists of 20 multiple-choice questions to be answered in 20 minutes. Each question has four possible answers, only one correct. Candidates must answer at least 70% correctly, meaning at least 14 questions, to pass.</w:t>
      </w:r>
    </w:p>
    <w:p>
      <w:pPr>
        <w:spacing w:after="160"/>
      </w:pPr>
      <w:r>
        <w:rPr>
          <w:rFonts w:ascii="Calibri" w:hAnsi="Calibri"/>
          <w:lang w:val="en-GB"/>
          <w:sz w:val="22"/>
        </w:rPr>
        <w:t xml:space="preserve">At the end of the examination, each candidate's score and pass/fail result are automatically displayed on the computer used for the examination.</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 confirming completion of professional training in accordance with the regulations in force.</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sectPr>
      <w:pgSz w:w="11906" w:h="16838"/>
      <w:pgMar w:top="1134" w:right="1134" w:bottom="1134" w:left="1134"/>
    </w:sectPr>
  </w:body>
</w:document>
</file>