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160"/>
      </w:pPr>
      <w:r>
        <w:rPr>
          <w:rFonts w:ascii="Calibri" w:hAnsi="Calibri"/>
          <w:lang w:val="en-GB"/>
          <w:b/>
          <w:sz w:val="28"/>
        </w:rPr>
        <w:t xml:space="preserve">Freight or Passenger Transport Manager Certification</w:t>
      </w:r>
    </w:p>
    <w:p>
      <w:pPr>
        <w:spacing w:after="160"/>
      </w:pPr>
      <w:r>
        <w:rPr>
          <w:rFonts w:ascii="Calibri" w:hAnsi="Calibri"/>
          <w:lang w:val="en-GB"/>
          <w:sz w:val="22"/>
        </w:rPr>
        <w:t xml:space="preserve">Under Article 2(5) of Regulation (EC) No. 1071/2009, a transport manager is a natural person employed by an undertaking or, if the undertaking is a natural person, that person, or, where expressly provided, another natural person designated by contract who effectively and continuously manages the undertaking's transport activities.</w:t>
      </w:r>
    </w:p>
    <w:p>
      <w:pPr>
        <w:spacing w:after="160"/>
      </w:pPr>
      <w:r>
        <w:rPr>
          <w:rFonts w:ascii="Calibri" w:hAnsi="Calibri"/>
          <w:lang w:val="en-GB"/>
          <w:sz w:val="22"/>
        </w:rPr>
        <w:t xml:space="preserve">Under Article 1(3) of Annex 1 to OMT No. 1214/2015, high school graduates who meet the residence requirements in Article 8(2) of Regulation (EC) No. 1071/2009 may access professional training and certification as transport managers, as follows:</w:t>
      </w:r>
    </w:p>
    <w:p>
      <w:pPr>
        <w:spacing w:after="160"/>
      </w:pPr>
      <w:r>
        <w:rPr>
          <w:rFonts w:ascii="Calibri" w:hAnsi="Calibri"/>
          <w:lang w:val="en-GB"/>
          <w:sz w:val="22"/>
        </w:rPr>
        <w:t xml:space="preserve">The persons concerned take the examination in the Member State where they are normally resident or where they work.</w:t>
      </w:r>
    </w:p>
    <w:p>
      <w:pPr>
        <w:spacing w:after="160"/>
      </w:pPr>
      <w:r>
        <w:rPr>
          <w:rFonts w:ascii="Calibri" w:hAnsi="Calibri"/>
          <w:lang w:val="en-GB"/>
          <w:sz w:val="22"/>
        </w:rPr>
        <w:t xml:space="preserve">Normal residence is the place where a person usually lives, for at least 185 days each calendar year, because of personal ties showing a close connection between that person and the place where they live.</w:t>
      </w:r>
    </w:p>
    <w:p>
      <w:pPr>
        <w:spacing w:after="160"/>
      </w:pPr>
      <w:r>
        <w:rPr>
          <w:rFonts w:ascii="Calibri" w:hAnsi="Calibri"/>
          <w:lang w:val="en-GB"/>
          <w:sz w:val="22"/>
        </w:rPr>
        <w:t xml:space="preserve">If a person's occupational ties are in a different place from their personal ties and they consequently live alternately in different places in two or more Member States, their normal residence is considered to be where their personal ties are, provided they return there regularly. This condition does not apply when a person lives in a Member State to carry out a fixed-term assignment. Attending a university or school does not imply a change of normal residence.</w:t>
      </w:r>
    </w:p>
    <w:p>
      <w:pPr>
        <w:spacing w:after="160"/>
      </w:pPr>
      <w:r>
        <w:rPr>
          <w:rFonts w:ascii="Calibri" w:hAnsi="Calibri"/>
          <w:lang w:val="en-GB"/>
          <w:b/>
          <w:sz w:val="28"/>
        </w:rPr>
        <w:t xml:space="preserve">Initial professional training courses</w:t>
      </w:r>
    </w:p>
    <w:p>
      <w:pPr>
        <w:spacing w:after="160"/>
      </w:pPr>
      <w:r>
        <w:rPr>
          <w:rFonts w:ascii="Calibri" w:hAnsi="Calibri"/>
          <w:lang w:val="en-GB"/>
          <w:sz w:val="22"/>
        </w:rPr>
        <w:t xml:space="preserve">To attend initial professional training courses for transport managers, candidates enrol at a training and professional development centre authorised by the Ministry of Transport, Infrastructure and Communications by completing an application and submitting the following documents:</w:t>
      </w:r>
    </w:p>
    <w:p>
      <w:pPr>
        <w:spacing w:after="160"/>
      </w:pPr>
      <w:r>
        <w:rPr>
          <w:rFonts w:ascii="Calibri" w:hAnsi="Calibri"/>
          <w:lang w:val="en-GB"/>
          <w:sz w:val="22"/>
        </w:rPr>
        <w:t xml:space="preserve">a) an application;</w:t>
      </w:r>
    </w:p>
    <w:p>
      <w:pPr>
        <w:spacing w:after="160"/>
      </w:pPr>
      <w:r>
        <w:rPr>
          <w:rFonts w:ascii="Calibri" w:hAnsi="Calibri"/>
          <w:lang w:val="en-GB"/>
          <w:sz w:val="22"/>
        </w:rPr>
        <w:t xml:space="preserve">b) a copy of the identity document;</w:t>
      </w:r>
    </w:p>
    <w:p>
      <w:pPr>
        <w:spacing w:after="160"/>
      </w:pPr>
      <w:r>
        <w:rPr>
          <w:rFonts w:ascii="Calibri" w:hAnsi="Calibri"/>
          <w:lang w:val="en-GB"/>
          <w:sz w:val="22"/>
        </w:rPr>
        <w:t xml:space="preserve">c) copies of documents demonstrating compliance with Article 1(3) of Annex 1 to OMT No. 1214/2015 approving the rules on training and professional certification of specialist road transport personnel.</w:t>
      </w:r>
    </w:p>
    <w:p>
      <w:pPr>
        <w:spacing w:after="160"/>
      </w:pPr>
      <w:r>
        <w:rPr>
          <w:rFonts w:ascii="Calibri" w:hAnsi="Calibri"/>
          <w:lang w:val="en-GB"/>
          <w:b/>
          <w:sz w:val="28"/>
        </w:rPr>
        <w:t xml:space="preserve">Periodic professional training courses</w:t>
      </w:r>
    </w:p>
    <w:p>
      <w:pPr>
        <w:spacing w:after="160"/>
      </w:pPr>
      <w:r>
        <w:rPr>
          <w:rFonts w:ascii="Calibri" w:hAnsi="Calibri"/>
          <w:lang w:val="en-GB"/>
          <w:sz w:val="22"/>
        </w:rPr>
        <w:t xml:space="preserve">To update their knowledge, transport managers must attend periodic professional training in the subjects listed in Annex I to Regulation (EC) No. 1071/2009, ending with a knowledge update assessment:</w:t>
      </w:r>
    </w:p>
    <w:p>
      <w:pPr>
        <w:spacing w:after="160"/>
      </w:pPr>
      <w:r>
        <w:rPr>
          <w:rFonts w:ascii="Calibri" w:hAnsi="Calibri"/>
          <w:lang w:val="en-GB"/>
          <w:sz w:val="22"/>
        </w:rPr>
        <w:t xml:space="preserve">a) at intervals of no more than 10 years, if they have not had a break in professional practice exceeding five years; or</w:t>
      </w:r>
    </w:p>
    <w:p>
      <w:pPr>
        <w:spacing w:after="160"/>
      </w:pPr>
      <w:r>
        <w:rPr>
          <w:rFonts w:ascii="Calibri" w:hAnsi="Calibri"/>
          <w:lang w:val="en-GB"/>
          <w:sz w:val="22"/>
        </w:rPr>
        <w:t xml:space="preserve">b) before resuming professional practice after a break exceeding five years.</w:t>
      </w:r>
    </w:p>
    <w:p>
      <w:pPr>
        <w:spacing w:after="160"/>
      </w:pPr>
      <w:r>
        <w:rPr>
          <w:rFonts w:ascii="Calibri" w:hAnsi="Calibri"/>
          <w:lang w:val="en-GB"/>
          <w:sz w:val="22"/>
        </w:rPr>
        <w:t xml:space="preserve">To attend periodic professional training courses, candidates enrol at a training and development centre by completing an application and submitting the following documents:</w:t>
      </w:r>
    </w:p>
    <w:p>
      <w:pPr>
        <w:spacing w:after="160"/>
      </w:pPr>
      <w:r>
        <w:rPr>
          <w:rFonts w:ascii="Calibri" w:hAnsi="Calibri"/>
          <w:lang w:val="en-GB"/>
          <w:sz w:val="22"/>
        </w:rPr>
        <w:t xml:space="preserve">a) an application;</w:t>
      </w:r>
    </w:p>
    <w:p>
      <w:pPr>
        <w:spacing w:after="160"/>
      </w:pPr>
      <w:r>
        <w:rPr>
          <w:rFonts w:ascii="Calibri" w:hAnsi="Calibri"/>
          <w:lang w:val="en-GB"/>
          <w:sz w:val="22"/>
        </w:rPr>
        <w:t xml:space="preserve">b) a copy of the identity document;</w:t>
      </w:r>
    </w:p>
    <w:p>
      <w:pPr>
        <w:spacing w:after="160"/>
      </w:pPr>
      <w:r>
        <w:rPr>
          <w:rFonts w:ascii="Calibri" w:hAnsi="Calibri"/>
          <w:lang w:val="en-GB"/>
          <w:sz w:val="22"/>
        </w:rPr>
        <w:t xml:space="preserve">c) a copy of the transport manager certificate issued by a competent authority in an EU Member State.</w:t>
      </w:r>
    </w:p>
    <w:p>
      <w:pPr>
        <w:spacing w:after="160"/>
      </w:pPr>
      <w:r>
        <w:rPr>
          <w:rFonts w:ascii="Calibri" w:hAnsi="Calibri"/>
          <w:lang w:val="en-GB"/>
          <w:b/>
          <w:sz w:val="28"/>
        </w:rPr>
        <w:t xml:space="preserve">Initial professional training course</w:t>
      </w:r>
    </w:p>
    <w:p>
      <w:pPr>
        <w:spacing w:after="160"/>
      </w:pPr>
      <w:r>
        <w:rPr>
          <w:rFonts w:ascii="Calibri" w:hAnsi="Calibri"/>
          <w:lang w:val="en-GB"/>
          <w:sz w:val="22"/>
        </w:rPr>
        <w:t xml:space="preserve">The theoretical examination for initial professional certification of transport managers consists of:</w:t>
      </w:r>
    </w:p>
    <w:p>
      <w:pPr>
        <w:spacing w:after="160"/>
      </w:pPr>
      <w:r>
        <w:rPr>
          <w:rFonts w:ascii="Calibri" w:hAnsi="Calibri"/>
          <w:lang w:val="en-GB"/>
          <w:sz w:val="22"/>
        </w:rPr>
        <w:t xml:space="preserve">a) a two-hour computer-based test with 100 questions, each with four possible answers and only one correct answer;</w:t>
      </w:r>
    </w:p>
    <w:p>
      <w:pPr>
        <w:spacing w:after="160"/>
      </w:pPr>
      <w:r>
        <w:rPr>
          <w:rFonts w:ascii="Calibri" w:hAnsi="Calibri"/>
          <w:lang w:val="en-GB"/>
          <w:sz w:val="22"/>
        </w:rPr>
        <w:t xml:space="preserve">b) a two-hour written test consisting of a case study with 20 questions.</w:t>
      </w:r>
    </w:p>
    <w:p>
      <w:pPr>
        <w:spacing w:after="160"/>
      </w:pPr>
      <w:r>
        <w:rPr>
          <w:rFonts w:ascii="Calibri" w:hAnsi="Calibri"/>
          <w:lang w:val="en-GB"/>
          <w:sz w:val="22"/>
        </w:rPr>
        <w:t xml:space="preserve">To pass, candidates must obtain at least 60% of the total points available across both tests, with at least 50% of the available points in each test.</w:t>
      </w:r>
    </w:p>
    <w:p>
      <w:pPr>
        <w:spacing w:after="160"/>
      </w:pPr>
      <w:r>
        <w:rPr>
          <w:rFonts w:ascii="Calibri" w:hAnsi="Calibri"/>
          <w:lang w:val="en-GB"/>
          <w:sz w:val="22"/>
        </w:rPr>
        <w:t xml:space="preserve">Candidates must therefore answer at least 72 of the 120 questions correctly, as follows:</w:t>
      </w:r>
    </w:p>
    <w:p>
      <w:pPr>
        <w:spacing w:after="160"/>
      </w:pPr>
      <w:r>
        <w:rPr>
          <w:rFonts w:ascii="Calibri" w:hAnsi="Calibri"/>
          <w:lang w:val="en-GB"/>
          <w:b/>
          <w:sz w:val="28"/>
        </w:rPr>
        <w:t xml:space="preserve">52 correct computer-based answers + 20 correct case study answers</w:t>
      </w:r>
    </w:p>
    <w:p>
      <w:pPr>
        <w:spacing w:after="160"/>
      </w:pPr>
      <w:r>
        <w:rPr>
          <w:rFonts w:ascii="Calibri" w:hAnsi="Calibri"/>
          <w:lang w:val="en-GB"/>
          <w:b/>
          <w:sz w:val="28"/>
        </w:rPr>
        <w:t xml:space="preserve">53 correct computer-based answers + 19 correct case study answers</w:t>
      </w:r>
    </w:p>
    <w:p>
      <w:pPr>
        <w:spacing w:after="160"/>
      </w:pPr>
      <w:r>
        <w:rPr>
          <w:rFonts w:ascii="Calibri" w:hAnsi="Calibri"/>
          <w:lang w:val="en-GB"/>
          <w:b/>
          <w:sz w:val="28"/>
        </w:rPr>
        <w:t xml:space="preserve">54 correct computer-based answers + 18 correct case study answers</w:t>
      </w:r>
    </w:p>
    <w:p>
      <w:pPr>
        <w:spacing w:after="160"/>
      </w:pPr>
      <w:r>
        <w:rPr>
          <w:rFonts w:ascii="Calibri" w:hAnsi="Calibri"/>
          <w:lang w:val="en-GB"/>
          <w:b/>
          <w:sz w:val="28"/>
        </w:rPr>
        <w:t xml:space="preserve">55 correct computer-based answers + 17 correct case study answers</w:t>
      </w:r>
    </w:p>
    <w:p>
      <w:pPr>
        <w:spacing w:after="160"/>
      </w:pPr>
      <w:r>
        <w:rPr>
          <w:rFonts w:ascii="Calibri" w:hAnsi="Calibri"/>
          <w:lang w:val="en-GB"/>
          <w:b/>
          <w:sz w:val="28"/>
        </w:rPr>
        <w:t xml:space="preserve">56 correct computer-based answers + 16 correct case study answers</w:t>
      </w:r>
    </w:p>
    <w:p>
      <w:pPr>
        <w:spacing w:after="160"/>
      </w:pPr>
      <w:r>
        <w:rPr>
          <w:rFonts w:ascii="Calibri" w:hAnsi="Calibri"/>
          <w:lang w:val="en-GB"/>
          <w:b/>
          <w:sz w:val="28"/>
        </w:rPr>
        <w:t xml:space="preserve">57 correct computer-based answers + 15 correct case study answers</w:t>
      </w:r>
    </w:p>
    <w:p>
      <w:pPr>
        <w:spacing w:after="160"/>
      </w:pPr>
      <w:r>
        <w:rPr>
          <w:rFonts w:ascii="Calibri" w:hAnsi="Calibri"/>
          <w:lang w:val="en-GB"/>
          <w:b/>
          <w:sz w:val="28"/>
        </w:rPr>
        <w:t xml:space="preserve">58 correct computer-based answers + 14 correct case study answers</w:t>
      </w:r>
    </w:p>
    <w:p>
      <w:pPr>
        <w:spacing w:after="160"/>
      </w:pPr>
      <w:r>
        <w:rPr>
          <w:rFonts w:ascii="Calibri" w:hAnsi="Calibri"/>
          <w:lang w:val="en-GB"/>
          <w:b/>
          <w:sz w:val="28"/>
        </w:rPr>
        <w:t xml:space="preserve">59 correct computer-based answers + 13 correct case study answers</w:t>
      </w:r>
    </w:p>
    <w:p>
      <w:pPr>
        <w:spacing w:after="160"/>
      </w:pPr>
      <w:r>
        <w:rPr>
          <w:rFonts w:ascii="Calibri" w:hAnsi="Calibri"/>
          <w:lang w:val="en-GB"/>
          <w:b/>
          <w:sz w:val="28"/>
        </w:rPr>
        <w:t xml:space="preserve">60 correct computer-based answers + 12 correct case study answers</w:t>
      </w:r>
    </w:p>
    <w:p>
      <w:pPr>
        <w:spacing w:after="160"/>
      </w:pPr>
      <w:r>
        <w:rPr>
          <w:rFonts w:ascii="Calibri" w:hAnsi="Calibri"/>
          <w:lang w:val="en-GB"/>
          <w:b/>
          <w:sz w:val="28"/>
        </w:rPr>
        <w:t xml:space="preserve">61 correct computer-based answers + 11 correct case study answers</w:t>
      </w:r>
    </w:p>
    <w:p>
      <w:pPr>
        <w:spacing w:after="160"/>
      </w:pPr>
      <w:r>
        <w:rPr>
          <w:rFonts w:ascii="Calibri" w:hAnsi="Calibri"/>
          <w:lang w:val="en-GB"/>
          <w:b/>
          <w:sz w:val="28"/>
        </w:rPr>
        <w:t xml:space="preserve">62 correct computer-based answers + 10 correct case study answers</w:t>
      </w:r>
    </w:p>
    <w:p>
      <w:pPr>
        <w:spacing w:after="160"/>
      </w:pPr>
      <w:r>
        <w:rPr>
          <w:rFonts w:ascii="Calibri" w:hAnsi="Calibri"/>
          <w:lang w:val="en-GB"/>
          <w:b/>
          <w:sz w:val="28"/>
        </w:rPr>
        <w:t xml:space="preserve">Notes:</w:t>
      </w:r>
    </w:p>
    <w:p>
      <w:pPr>
        <w:spacing w:after="160"/>
      </w:pPr>
      <w:r>
        <w:rPr>
          <w:rFonts w:ascii="Calibri" w:hAnsi="Calibri"/>
          <w:lang w:val="en-GB"/>
          <w:sz w:val="22"/>
        </w:rPr>
        <w:t xml:space="preserve">- the examples above show the minimum number of correct answers required to pass;</w:t>
      </w:r>
    </w:p>
    <w:p>
      <w:pPr>
        <w:spacing w:after="160"/>
      </w:pPr>
      <w:r>
        <w:rPr>
          <w:rFonts w:ascii="Calibri" w:hAnsi="Calibri"/>
          <w:lang w:val="en-GB"/>
          <w:sz w:val="22"/>
        </w:rPr>
        <w:t xml:space="preserve">- candidates answering more than 62 computer-based questions correctly must still answer at least 10 case study questions correctly to pass (at least 50% of the available points);</w:t>
      </w:r>
    </w:p>
    <w:p>
      <w:pPr>
        <w:spacing w:after="160"/>
      </w:pPr>
      <w:r>
        <w:rPr>
          <w:rFonts w:ascii="Calibri" w:hAnsi="Calibri"/>
          <w:lang w:val="en-GB"/>
          <w:sz w:val="22"/>
        </w:rPr>
        <w:t xml:space="preserve">- no partial points are awarded in either test; an incomplete or incorrect answer scores 0 and a correct answer scores 1. A correct case study answer must satisfy the requirements stated in the question;</w:t>
      </w:r>
    </w:p>
    <w:p>
      <w:pPr>
        <w:spacing w:after="160"/>
      </w:pPr>
      <w:r>
        <w:rPr>
          <w:rFonts w:ascii="Calibri" w:hAnsi="Calibri"/>
          <w:lang w:val="en-GB"/>
          <w:sz w:val="22"/>
        </w:rPr>
        <w:t xml:space="preserve">- the total time a candidate spends taking one or more examinations on the same day may not exceed four hours;</w:t>
      </w:r>
    </w:p>
    <w:p>
      <w:pPr>
        <w:spacing w:after="160"/>
      </w:pPr>
      <w:r>
        <w:rPr>
          <w:rFonts w:ascii="Calibri" w:hAnsi="Calibri"/>
          <w:lang w:val="en-GB"/>
          <w:sz w:val="22"/>
        </w:rPr>
        <w:t xml:space="preserve">- examination results are published at www.arr.ro in the certificates section on the first working day after the examination.</w:t>
      </w:r>
    </w:p>
    <w:p>
      <w:pPr>
        <w:spacing w:after="160"/>
      </w:pPr>
      <w:r>
        <w:rPr>
          <w:rFonts w:ascii="Calibri" w:hAnsi="Calibri"/>
          <w:lang w:val="en-GB"/>
          <w:b/>
          <w:sz w:val="28"/>
        </w:rPr>
        <w:t xml:space="preserve">Periodic professional training course:</w:t>
      </w:r>
    </w:p>
    <w:p>
      <w:pPr>
        <w:spacing w:after="160"/>
      </w:pPr>
      <w:r>
        <w:rPr>
          <w:rFonts w:ascii="Calibri" w:hAnsi="Calibri"/>
          <w:lang w:val="en-GB"/>
          <w:sz w:val="22"/>
        </w:rPr>
        <w:t xml:space="preserve">The knowledge update assessment consists of reviewing the candidate's answers to a case study with 10 questions to be completed in one hour.</w:t>
      </w:r>
    </w:p>
    <w:p>
      <w:pPr>
        <w:spacing w:after="160"/>
      </w:pPr>
      <w:r>
        <w:rPr>
          <w:rFonts w:ascii="Calibri" w:hAnsi="Calibri"/>
          <w:lang w:val="en-GB"/>
          <w:sz w:val="22"/>
        </w:rPr>
        <w:t xml:space="preserve">To meet the knowledge update requirement, candidates must obtain at least 50% of the total points available in the case study.</w:t>
      </w:r>
    </w:p>
    <w:p>
      <w:pPr>
        <w:spacing w:after="160"/>
      </w:pPr>
      <w:r>
        <w:rPr>
          <w:rFonts w:ascii="Calibri" w:hAnsi="Calibri"/>
          <w:lang w:val="en-GB"/>
          <w:sz w:val="22"/>
        </w:rPr>
        <w:t xml:space="preserve">Following the assessment, the committee issues an assessment sheet recording whether the candidate's knowledge has been updated. It retains an original copy signed by the candidate to acknowledge its content. Candidates absent for personal reasons when the sheet is prepared can find their result at www.arr.ro in the certificates section on the first working day after the examination.</w:t>
      </w:r>
    </w:p>
    <w:p>
      <w:pPr>
        <w:spacing w:after="160"/>
      </w:pPr>
      <w:r>
        <w:rPr>
          <w:rFonts w:ascii="Calibri" w:hAnsi="Calibri"/>
          <w:lang w:val="en-GB"/>
          <w:sz w:val="22"/>
        </w:rPr>
        <w:t xml:space="preserve">Professional certification examinations for specialist road transport personnel are organised and conducted only for candidates registered in the examination computer system by authorised centres, which certify completion of professional training in accordance with the regulations in force.</w:t>
      </w:r>
    </w:p>
    <w:p>
      <w:pPr>
        <w:spacing w:after="160"/>
      </w:pPr>
      <w:r>
        <w:rPr>
          <w:rFonts w:ascii="Calibri" w:hAnsi="Calibri"/>
          <w:lang w:val="en-GB"/>
          <w:sz w:val="22"/>
        </w:rPr>
        <w:t xml:space="preserve">For each session in the examination calendar, the examination committee schedules candidates according to their examination specialisations and then alphabetically by surname. The Romanian Road Authority (A.R.R.) informs the relevant training centres of the schedule at least 48 hours before the examinations and also publishes it at www.arr.ro.</w:t>
      </w:r>
    </w:p>
    <w:p>
      <w:pPr>
        <w:spacing w:after="160"/>
      </w:pPr>
      <w:r>
        <w:rPr>
          <w:rFonts w:ascii="Calibri" w:hAnsi="Calibri"/>
          <w:lang w:val="en-GB"/>
          <w:sz w:val="22"/>
        </w:rPr>
        <w:t xml:space="preserve">The examination committee refuses entry to candidates under the influence of alcohol or psychotropic substances and to anyone who is not a candidate, except technical staff addressing an electronic equipment fault.</w:t>
      </w:r>
    </w:p>
    <w:p>
      <w:pPr>
        <w:spacing w:after="160"/>
      </w:pPr>
      <w:r>
        <w:rPr>
          <w:rFonts w:ascii="Calibri" w:hAnsi="Calibri"/>
          <w:lang w:val="en-GB"/>
          <w:sz w:val="22"/>
        </w:rPr>
        <w:t xml:space="preserve">Using the computer system, the examination committee assigns each eligible candidate a unique numerical examination code that provides access to the multiple-choice questionnaire generated by the examination application. Candidates receive the code when entering the examination room.</w:t>
      </w:r>
    </w:p>
    <w:p>
      <w:pPr>
        <w:spacing w:after="160"/>
      </w:pPr>
      <w:r>
        <w:rPr>
          <w:rFonts w:ascii="Calibri" w:hAnsi="Calibri"/>
          <w:lang w:val="en-GB"/>
          <w:sz w:val="22"/>
        </w:rPr>
        <w:t xml:space="preserve">On entering the examination room, candidates must enter their full name, personal identification number and handwritten signature on the register provided by the examination committee.</w:t>
      </w:r>
    </w:p>
    <w:p>
      <w:pPr>
        <w:spacing w:after="160"/>
      </w:pPr>
      <w:r>
        <w:rPr>
          <w:rFonts w:ascii="Calibri" w:hAnsi="Calibri"/>
          <w:lang w:val="en-GB"/>
          <w:sz w:val="22"/>
        </w:rPr>
        <w:t xml:space="preserve">After signing the register, candidates are directed to the computer where they will complete the multiple-choice questionnaire. They access the computer-assisted examination system using the unique code received from the examination committee.</w:t>
      </w:r>
    </w:p>
    <w:p>
      <w:pPr>
        <w:spacing w:after="160"/>
      </w:pPr>
      <w:r>
        <w:rPr>
          <w:rFonts w:ascii="Calibri" w:hAnsi="Calibri"/>
          <w:lang w:val="en-GB"/>
          <w:sz w:val="22"/>
        </w:rPr>
        <w:t xml:space="preserve">At the end of the test, candidates' scores for the multiple-choice questions generated by the examination system are automatically displayed on their computer, together with their Pass/Fail result for that test.</w:t>
      </w:r>
    </w:p>
    <w:p>
      <w:pPr>
        <w:spacing w:after="160"/>
      </w:pPr>
      <w:r>
        <w:rPr>
          <w:rFonts w:ascii="Calibri" w:hAnsi="Calibri"/>
          <w:lang w:val="en-GB"/>
          <w:sz w:val="22"/>
        </w:rPr>
        <w:t xml:space="preserve">Candidates who pass the multiple-choice questionnaire may take the written examination. They receive examination sheets or forms signed by a committee member, together with the questions or case studies.</w:t>
      </w:r>
    </w:p>
    <w:p>
      <w:pPr>
        <w:spacing w:after="160"/>
      </w:pPr>
      <w:r>
        <w:rPr>
          <w:rFonts w:ascii="Calibri" w:hAnsi="Calibri"/>
          <w:lang w:val="en-GB"/>
          <w:sz w:val="22"/>
        </w:rPr>
        <w:t xml:space="preserve">Candidates taking the written test must complete the information required on the examination forms to identify themselves, the professional certificate being examined and the assigned question set number. Identification details are entered in the top-right corner of the first page, which is sealed and signed by a committee member and unsealed after marking.</w:t>
      </w:r>
    </w:p>
    <w:p>
      <w:pPr>
        <w:spacing w:after="160"/>
      </w:pPr>
      <w:r>
        <w:rPr>
          <w:rFonts w:ascii="Calibri" w:hAnsi="Calibri"/>
          <w:lang w:val="en-GB"/>
          <w:b/>
          <w:sz w:val="28"/>
        </w:rPr>
        <w:t xml:space="preserve">The examination committee stops the examination of candidates who:</w:t>
      </w:r>
    </w:p>
    <w:p>
      <w:pPr>
        <w:spacing w:after="160"/>
      </w:pPr>
      <w:r>
        <w:rPr>
          <w:rFonts w:ascii="Calibri" w:hAnsi="Calibri"/>
          <w:lang w:val="en-GB"/>
          <w:sz w:val="22"/>
        </w:rPr>
        <w:t xml:space="preserve">- use unauthorised notes, communication or audio/video recording equipment, or any objects or equipment that could be used to cheat in the examination room;</w:t>
      </w:r>
    </w:p>
    <w:p>
      <w:pPr>
        <w:spacing w:after="160"/>
      </w:pPr>
      <w:r>
        <w:rPr>
          <w:rFonts w:ascii="Calibri" w:hAnsi="Calibri"/>
          <w:lang w:val="en-GB"/>
          <w:sz w:val="22"/>
        </w:rPr>
        <w:t xml:space="preserve">- talk to other candidates, behave noisily or otherwise disrupt other candidates, or are not appropriately dressed;</w:t>
      </w:r>
    </w:p>
    <w:p>
      <w:pPr>
        <w:spacing w:after="160"/>
      </w:pPr>
      <w:r>
        <w:rPr>
          <w:rFonts w:ascii="Calibri" w:hAnsi="Calibri"/>
          <w:lang w:val="en-GB"/>
          <w:sz w:val="22"/>
        </w:rPr>
        <w:t xml:space="preserve">- attend the examination under the influence of alcohol or psychotropic substances.</w:t>
      </w:r>
    </w:p>
    <w:sectPr>
      <w:pgSz w:w="11906" w:h="16838"/>
      <w:pgMar w:top="1134" w:right="1134" w:bottom="1134" w:left="1134"/>
    </w:sectPr>
  </w:body>
</w:document>
</file>