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5FA8C" w14:textId="77777777" w:rsidR="00FB1A55" w:rsidRDefault="00000000">
      <w:pPr>
        <w:spacing w:after="400"/>
        <w:jc w:val="center"/>
      </w:pPr>
      <w:r>
        <w:rPr>
          <w:rFonts w:ascii="Aptos Display" w:eastAsia="Aptos Display" w:hAnsi="Aptos Display"/>
          <w:b/>
          <w:color w:val="1F4E79"/>
          <w:sz w:val="24"/>
        </w:rPr>
        <w:t>CISC7204 Data Science and Data Visualization</w:t>
      </w:r>
    </w:p>
    <w:p w14:paraId="0989AC8C" w14:textId="77777777" w:rsidR="00FB1A55" w:rsidRDefault="00000000">
      <w:pPr>
        <w:pStyle w:val="aa"/>
        <w:spacing w:before="520" w:after="120"/>
        <w:jc w:val="center"/>
      </w:pPr>
      <w:r>
        <w:rPr>
          <w:rFonts w:ascii="Aptos Display" w:eastAsia="Aptos Display" w:hAnsi="Aptos Display"/>
          <w:b/>
          <w:color w:val="000000"/>
          <w:sz w:val="56"/>
        </w:rPr>
        <w:t>More Deaths Despite Lower Risk</w:t>
      </w:r>
    </w:p>
    <w:p w14:paraId="01AD289E" w14:textId="77777777" w:rsidR="00FB1A55" w:rsidRDefault="00000000">
      <w:pPr>
        <w:spacing w:after="440"/>
        <w:jc w:val="center"/>
      </w:pPr>
      <w:r>
        <w:rPr>
          <w:rFonts w:ascii="Aptos Display" w:eastAsia="Aptos Display" w:hAnsi="Aptos Display"/>
          <w:color w:val="595959"/>
          <w:sz w:val="27"/>
        </w:rPr>
        <w:t>A Preliminary Project Proposal on Stroke Burden in China, 2000-2021</w:t>
      </w:r>
    </w:p>
    <w:tbl>
      <w:tblPr>
        <w:tblW w:w="0" w:type="auto"/>
        <w:jc w:val="center"/>
        <w:tblLayout w:type="fixed"/>
        <w:tblLook w:val="04A0" w:firstRow="1" w:lastRow="0" w:firstColumn="1" w:lastColumn="0" w:noHBand="0" w:noVBand="1"/>
      </w:tblPr>
      <w:tblGrid>
        <w:gridCol w:w="2438"/>
        <w:gridCol w:w="4932"/>
      </w:tblGrid>
      <w:tr w:rsidR="00FB1A55" w14:paraId="48A921B2" w14:textId="77777777">
        <w:trPr>
          <w:jc w:val="center"/>
        </w:trPr>
        <w:tc>
          <w:tcPr>
            <w:tcW w:w="2438" w:type="dxa"/>
            <w:tcBorders>
              <w:top w:val="nil"/>
              <w:left w:val="nil"/>
              <w:bottom w:val="nil"/>
              <w:right w:val="nil"/>
            </w:tcBorders>
            <w:tcMar>
              <w:top w:w="55" w:type="dxa"/>
              <w:left w:w="120" w:type="dxa"/>
              <w:bottom w:w="55" w:type="dxa"/>
              <w:right w:w="120" w:type="dxa"/>
            </w:tcMar>
          </w:tcPr>
          <w:p w14:paraId="6AFBD9E3" w14:textId="77777777" w:rsidR="00FB1A55" w:rsidRDefault="00000000">
            <w:pPr>
              <w:jc w:val="right"/>
            </w:pPr>
            <w:r>
              <w:rPr>
                <w:b/>
                <w:color w:val="595959"/>
              </w:rPr>
              <w:t>Student Name</w:t>
            </w:r>
          </w:p>
        </w:tc>
        <w:tc>
          <w:tcPr>
            <w:tcW w:w="4932" w:type="dxa"/>
            <w:tcBorders>
              <w:top w:val="nil"/>
              <w:left w:val="nil"/>
              <w:bottom w:val="nil"/>
              <w:right w:val="nil"/>
            </w:tcBorders>
            <w:tcMar>
              <w:top w:w="55" w:type="dxa"/>
              <w:left w:w="120" w:type="dxa"/>
              <w:bottom w:w="55" w:type="dxa"/>
              <w:right w:w="120" w:type="dxa"/>
            </w:tcMar>
          </w:tcPr>
          <w:p w14:paraId="5AE2C4EA" w14:textId="58D23AE5" w:rsidR="00FB1A55" w:rsidRPr="00211692" w:rsidRDefault="00211692">
            <w:pPr>
              <w:rPr>
                <w:rFonts w:eastAsia="SimSun"/>
                <w:lang w:eastAsia="zh-CN"/>
              </w:rPr>
            </w:pPr>
            <w:r w:rsidRPr="00211692">
              <w:rPr>
                <w:rFonts w:eastAsia="SimSun"/>
                <w:color w:val="232323"/>
                <w:lang w:eastAsia="zh-CN"/>
              </w:rPr>
              <w:t>Li Tianhao</w:t>
            </w:r>
          </w:p>
        </w:tc>
      </w:tr>
      <w:tr w:rsidR="00FB1A55" w14:paraId="77C3458A" w14:textId="77777777">
        <w:trPr>
          <w:jc w:val="center"/>
        </w:trPr>
        <w:tc>
          <w:tcPr>
            <w:tcW w:w="2438" w:type="dxa"/>
            <w:tcBorders>
              <w:top w:val="nil"/>
              <w:left w:val="nil"/>
              <w:bottom w:val="nil"/>
              <w:right w:val="nil"/>
            </w:tcBorders>
            <w:tcMar>
              <w:top w:w="55" w:type="dxa"/>
              <w:left w:w="120" w:type="dxa"/>
              <w:bottom w:w="55" w:type="dxa"/>
              <w:right w:w="120" w:type="dxa"/>
            </w:tcMar>
          </w:tcPr>
          <w:p w14:paraId="1B7E7798" w14:textId="77777777" w:rsidR="00FB1A55" w:rsidRDefault="00000000">
            <w:pPr>
              <w:jc w:val="right"/>
            </w:pPr>
            <w:r>
              <w:rPr>
                <w:b/>
                <w:color w:val="595959"/>
              </w:rPr>
              <w:t>Student ID</w:t>
            </w:r>
          </w:p>
        </w:tc>
        <w:tc>
          <w:tcPr>
            <w:tcW w:w="4932" w:type="dxa"/>
            <w:tcBorders>
              <w:top w:val="nil"/>
              <w:left w:val="nil"/>
              <w:bottom w:val="nil"/>
              <w:right w:val="nil"/>
            </w:tcBorders>
            <w:tcMar>
              <w:top w:w="55" w:type="dxa"/>
              <w:left w:w="120" w:type="dxa"/>
              <w:bottom w:w="55" w:type="dxa"/>
              <w:right w:w="120" w:type="dxa"/>
            </w:tcMar>
          </w:tcPr>
          <w:p w14:paraId="5DBEB219" w14:textId="28186393" w:rsidR="00FB1A55" w:rsidRPr="00211692" w:rsidRDefault="00211692">
            <w:pPr>
              <w:rPr>
                <w:rFonts w:eastAsia="SimSun"/>
                <w:lang w:eastAsia="zh-CN"/>
              </w:rPr>
            </w:pPr>
            <w:r w:rsidRPr="00211692">
              <w:rPr>
                <w:rFonts w:eastAsia="SimSun"/>
                <w:color w:val="232323"/>
                <w:lang w:eastAsia="zh-CN"/>
              </w:rPr>
              <w:t>MC663312</w:t>
            </w:r>
          </w:p>
        </w:tc>
      </w:tr>
      <w:tr w:rsidR="00FB1A55" w14:paraId="653BC12D" w14:textId="77777777">
        <w:trPr>
          <w:jc w:val="center"/>
        </w:trPr>
        <w:tc>
          <w:tcPr>
            <w:tcW w:w="2438" w:type="dxa"/>
            <w:tcBorders>
              <w:top w:val="nil"/>
              <w:left w:val="nil"/>
              <w:bottom w:val="nil"/>
              <w:right w:val="nil"/>
            </w:tcBorders>
            <w:tcMar>
              <w:top w:w="55" w:type="dxa"/>
              <w:left w:w="120" w:type="dxa"/>
              <w:bottom w:w="55" w:type="dxa"/>
              <w:right w:w="120" w:type="dxa"/>
            </w:tcMar>
          </w:tcPr>
          <w:p w14:paraId="194FC4E2" w14:textId="77777777" w:rsidR="00FB1A55" w:rsidRDefault="00000000">
            <w:pPr>
              <w:jc w:val="right"/>
            </w:pPr>
            <w:r>
              <w:rPr>
                <w:b/>
                <w:color w:val="595959"/>
              </w:rPr>
              <w:t>Course Code</w:t>
            </w:r>
          </w:p>
        </w:tc>
        <w:tc>
          <w:tcPr>
            <w:tcW w:w="4932" w:type="dxa"/>
            <w:tcBorders>
              <w:top w:val="nil"/>
              <w:left w:val="nil"/>
              <w:bottom w:val="nil"/>
              <w:right w:val="nil"/>
            </w:tcBorders>
            <w:tcMar>
              <w:top w:w="55" w:type="dxa"/>
              <w:left w:w="120" w:type="dxa"/>
              <w:bottom w:w="55" w:type="dxa"/>
              <w:right w:w="120" w:type="dxa"/>
            </w:tcMar>
          </w:tcPr>
          <w:p w14:paraId="2440CE6C" w14:textId="77777777" w:rsidR="00FB1A55" w:rsidRDefault="00000000">
            <w:r>
              <w:rPr>
                <w:color w:val="232323"/>
              </w:rPr>
              <w:t>CISC7204</w:t>
            </w:r>
          </w:p>
        </w:tc>
      </w:tr>
      <w:tr w:rsidR="00FB1A55" w14:paraId="33576E12" w14:textId="77777777">
        <w:trPr>
          <w:jc w:val="center"/>
        </w:trPr>
        <w:tc>
          <w:tcPr>
            <w:tcW w:w="2438" w:type="dxa"/>
            <w:tcBorders>
              <w:top w:val="nil"/>
              <w:left w:val="nil"/>
              <w:bottom w:val="nil"/>
              <w:right w:val="nil"/>
            </w:tcBorders>
            <w:tcMar>
              <w:top w:w="55" w:type="dxa"/>
              <w:left w:w="120" w:type="dxa"/>
              <w:bottom w:w="55" w:type="dxa"/>
              <w:right w:w="120" w:type="dxa"/>
            </w:tcMar>
          </w:tcPr>
          <w:p w14:paraId="406EC12D" w14:textId="77777777" w:rsidR="00FB1A55" w:rsidRDefault="00000000">
            <w:pPr>
              <w:jc w:val="right"/>
            </w:pPr>
            <w:r>
              <w:rPr>
                <w:b/>
                <w:color w:val="595959"/>
              </w:rPr>
              <w:t>Course Title</w:t>
            </w:r>
          </w:p>
        </w:tc>
        <w:tc>
          <w:tcPr>
            <w:tcW w:w="4932" w:type="dxa"/>
            <w:tcBorders>
              <w:top w:val="nil"/>
              <w:left w:val="nil"/>
              <w:bottom w:val="nil"/>
              <w:right w:val="nil"/>
            </w:tcBorders>
            <w:tcMar>
              <w:top w:w="55" w:type="dxa"/>
              <w:left w:w="120" w:type="dxa"/>
              <w:bottom w:w="55" w:type="dxa"/>
              <w:right w:w="120" w:type="dxa"/>
            </w:tcMar>
          </w:tcPr>
          <w:p w14:paraId="73F5AF6A" w14:textId="77777777" w:rsidR="00FB1A55" w:rsidRDefault="00000000">
            <w:r>
              <w:rPr>
                <w:color w:val="232323"/>
              </w:rPr>
              <w:t>Data Science and Data Visualization</w:t>
            </w:r>
          </w:p>
        </w:tc>
      </w:tr>
      <w:tr w:rsidR="00FB1A55" w14:paraId="55B92D5D" w14:textId="77777777">
        <w:trPr>
          <w:jc w:val="center"/>
        </w:trPr>
        <w:tc>
          <w:tcPr>
            <w:tcW w:w="2438" w:type="dxa"/>
            <w:tcBorders>
              <w:top w:val="nil"/>
              <w:left w:val="nil"/>
              <w:bottom w:val="nil"/>
              <w:right w:val="nil"/>
            </w:tcBorders>
            <w:tcMar>
              <w:top w:w="55" w:type="dxa"/>
              <w:left w:w="120" w:type="dxa"/>
              <w:bottom w:w="55" w:type="dxa"/>
              <w:right w:w="120" w:type="dxa"/>
            </w:tcMar>
          </w:tcPr>
          <w:p w14:paraId="3C26660E" w14:textId="77777777" w:rsidR="00FB1A55" w:rsidRDefault="00000000">
            <w:pPr>
              <w:jc w:val="right"/>
            </w:pPr>
            <w:r>
              <w:rPr>
                <w:b/>
                <w:color w:val="595959"/>
              </w:rPr>
              <w:t>Coursework Item</w:t>
            </w:r>
          </w:p>
        </w:tc>
        <w:tc>
          <w:tcPr>
            <w:tcW w:w="4932" w:type="dxa"/>
            <w:tcBorders>
              <w:top w:val="nil"/>
              <w:left w:val="nil"/>
              <w:bottom w:val="nil"/>
              <w:right w:val="nil"/>
            </w:tcBorders>
            <w:tcMar>
              <w:top w:w="55" w:type="dxa"/>
              <w:left w:w="120" w:type="dxa"/>
              <w:bottom w:w="55" w:type="dxa"/>
              <w:right w:w="120" w:type="dxa"/>
            </w:tcMar>
          </w:tcPr>
          <w:p w14:paraId="282605CC" w14:textId="77777777" w:rsidR="00FB1A55" w:rsidRDefault="00000000">
            <w:r>
              <w:rPr>
                <w:color w:val="232323"/>
              </w:rPr>
              <w:t>Assignment 01 - Preliminary Project Proposal</w:t>
            </w:r>
          </w:p>
        </w:tc>
      </w:tr>
    </w:tbl>
    <w:p w14:paraId="3C0E22D9" w14:textId="77777777" w:rsidR="00FB1A55" w:rsidRDefault="00FB1A55">
      <w:pPr>
        <w:spacing w:before="400" w:after="120"/>
      </w:pPr>
    </w:p>
    <w:tbl>
      <w:tblPr>
        <w:tblW w:w="0" w:type="auto"/>
        <w:jc w:val="center"/>
        <w:tblLook w:val="04A0" w:firstRow="1" w:lastRow="0" w:firstColumn="1" w:lastColumn="0" w:noHBand="0" w:noVBand="1"/>
      </w:tblPr>
      <w:tblGrid>
        <w:gridCol w:w="8787"/>
      </w:tblGrid>
      <w:tr w:rsidR="00FB1A55" w14:paraId="2145D956" w14:textId="77777777">
        <w:trPr>
          <w:jc w:val="center"/>
        </w:trPr>
        <w:tc>
          <w:tcPr>
            <w:tcW w:w="8787" w:type="dxa"/>
            <w:tcBorders>
              <w:top w:val="single" w:sz="6" w:space="0" w:color="9DC3E6"/>
              <w:left w:val="single" w:sz="6" w:space="0" w:color="9DC3E6"/>
              <w:bottom w:val="single" w:sz="6" w:space="0" w:color="9DC3E6"/>
              <w:right w:val="single" w:sz="6" w:space="0" w:color="9DC3E6"/>
            </w:tcBorders>
            <w:shd w:val="clear" w:color="auto" w:fill="EAF2F8"/>
            <w:tcMar>
              <w:top w:w="160" w:type="dxa"/>
              <w:left w:w="220" w:type="dxa"/>
              <w:bottom w:w="160" w:type="dxa"/>
              <w:right w:w="220" w:type="dxa"/>
            </w:tcMar>
          </w:tcPr>
          <w:p w14:paraId="055BC56A" w14:textId="77777777" w:rsidR="00FB1A55" w:rsidRDefault="00000000">
            <w:pPr>
              <w:spacing w:after="40"/>
              <w:jc w:val="center"/>
            </w:pPr>
            <w:r>
              <w:rPr>
                <w:rFonts w:ascii="Aptos Display" w:eastAsia="Aptos Display" w:hAnsi="Aptos Display"/>
                <w:b/>
                <w:color w:val="1F4E79"/>
                <w:sz w:val="22"/>
              </w:rPr>
              <w:t>Research Question</w:t>
            </w:r>
          </w:p>
          <w:p w14:paraId="2CB11A2C" w14:textId="77777777" w:rsidR="00FB1A55" w:rsidRDefault="00000000">
            <w:pPr>
              <w:spacing w:after="0"/>
              <w:jc w:val="center"/>
            </w:pPr>
            <w:r>
              <w:rPr>
                <w:i/>
                <w:color w:val="232323"/>
                <w:sz w:val="22"/>
              </w:rPr>
              <w:t>Why did China's age-standardised stroke death rate fall while the total number of stroke deaths rose between 2000 and 2021?</w:t>
            </w:r>
          </w:p>
        </w:tc>
      </w:tr>
    </w:tbl>
    <w:p w14:paraId="0FAF796F" w14:textId="77777777" w:rsidR="00FB1A55" w:rsidRDefault="00000000">
      <w:pPr>
        <w:spacing w:before="480"/>
        <w:jc w:val="center"/>
      </w:pPr>
      <w:r>
        <w:rPr>
          <w:color w:val="595959"/>
          <w:sz w:val="20"/>
        </w:rPr>
        <w:t>18 September 2026</w:t>
      </w:r>
    </w:p>
    <w:p w14:paraId="59D24BD9" w14:textId="77777777" w:rsidR="00FB1A55" w:rsidRDefault="00000000">
      <w:r>
        <w:br w:type="page"/>
      </w:r>
    </w:p>
    <w:p w14:paraId="73B4AA55" w14:textId="77777777" w:rsidR="00FB1A55" w:rsidRDefault="00000000">
      <w:pPr>
        <w:pStyle w:val="1"/>
      </w:pPr>
      <w:r>
        <w:lastRenderedPageBreak/>
        <w:t>Project Title and Research Question</w:t>
      </w:r>
    </w:p>
    <w:p w14:paraId="74F76B4C" w14:textId="77777777" w:rsidR="00FB1A55" w:rsidRDefault="00000000">
      <w:r>
        <w:rPr>
          <w:b/>
          <w:color w:val="232323"/>
        </w:rPr>
        <w:t>Project title:</w:t>
      </w:r>
      <w:r>
        <w:rPr>
          <w:color w:val="232323"/>
        </w:rPr>
        <w:t xml:space="preserve"> More Deaths Despite Lower Risk: A Preliminary Analysis of Stroke Burden in China, 2000-2021</w:t>
      </w:r>
    </w:p>
    <w:tbl>
      <w:tblPr>
        <w:tblW w:w="0" w:type="auto"/>
        <w:jc w:val="center"/>
        <w:tblLayout w:type="fixed"/>
        <w:tblLook w:val="04A0" w:firstRow="1" w:lastRow="0" w:firstColumn="1" w:lastColumn="0" w:noHBand="0" w:noVBand="1"/>
      </w:tblPr>
      <w:tblGrid>
        <w:gridCol w:w="2381"/>
        <w:gridCol w:w="7370"/>
      </w:tblGrid>
      <w:tr w:rsidR="00EF1F6A" w14:paraId="3C30B33E" w14:textId="77777777">
        <w:trPr>
          <w:cantSplit/>
          <w:jc w:val="center"/>
        </w:trPr>
        <w:tc>
          <w:tcPr>
            <w:tcW w:w="2381" w:type="dxa"/>
            <w:tcBorders>
              <w:top w:val="single" w:sz="4" w:space="0" w:color="B7C9E2"/>
              <w:left w:val="single" w:sz="4" w:space="0" w:color="B7C9E2"/>
              <w:bottom w:val="single" w:sz="4" w:space="0" w:color="B7C9E2"/>
              <w:right w:val="single" w:sz="4" w:space="0" w:color="B7C9E2"/>
            </w:tcBorders>
            <w:shd w:val="clear" w:color="auto" w:fill="DCE6F1"/>
            <w:tcMar>
              <w:top w:w="80" w:type="dxa"/>
              <w:left w:w="110" w:type="dxa"/>
              <w:bottom w:w="80" w:type="dxa"/>
              <w:right w:w="110" w:type="dxa"/>
            </w:tcMar>
            <w:vAlign w:val="center"/>
          </w:tcPr>
          <w:p w14:paraId="52DC3C84" w14:textId="77777777" w:rsidR="00EF1F6A" w:rsidRDefault="00000000">
            <w:pPr>
              <w:spacing w:after="0" w:line="240" w:lineRule="auto"/>
            </w:pPr>
            <w:r>
              <w:rPr>
                <w:b/>
                <w:color w:val="232323"/>
              </w:rPr>
              <w:t>Region</w:t>
            </w:r>
          </w:p>
        </w:tc>
        <w:tc>
          <w:tcPr>
            <w:tcW w:w="7370" w:type="dxa"/>
            <w:tcBorders>
              <w:top w:val="single" w:sz="4" w:space="0" w:color="B7C9E2"/>
              <w:left w:val="single" w:sz="4" w:space="0" w:color="B7C9E2"/>
              <w:bottom w:val="single" w:sz="4" w:space="0" w:color="B7C9E2"/>
              <w:right w:val="single" w:sz="4" w:space="0" w:color="B7C9E2"/>
            </w:tcBorders>
            <w:tcMar>
              <w:top w:w="80" w:type="dxa"/>
              <w:left w:w="110" w:type="dxa"/>
              <w:bottom w:w="80" w:type="dxa"/>
              <w:right w:w="110" w:type="dxa"/>
            </w:tcMar>
            <w:vAlign w:val="center"/>
          </w:tcPr>
          <w:p w14:paraId="660A822C" w14:textId="77777777" w:rsidR="00EF1F6A" w:rsidRDefault="00000000">
            <w:pPr>
              <w:spacing w:after="0" w:line="240" w:lineRule="auto"/>
            </w:pPr>
            <w:r>
              <w:rPr>
                <w:color w:val="232323"/>
              </w:rPr>
              <w:t>China (mainland)</w:t>
            </w:r>
          </w:p>
        </w:tc>
      </w:tr>
      <w:tr w:rsidR="00EF1F6A" w14:paraId="52C972CB" w14:textId="77777777">
        <w:trPr>
          <w:cantSplit/>
          <w:jc w:val="center"/>
        </w:trPr>
        <w:tc>
          <w:tcPr>
            <w:tcW w:w="2381" w:type="dxa"/>
            <w:tcBorders>
              <w:top w:val="single" w:sz="4" w:space="0" w:color="B7C9E2"/>
              <w:left w:val="single" w:sz="4" w:space="0" w:color="B7C9E2"/>
              <w:bottom w:val="single" w:sz="4" w:space="0" w:color="B7C9E2"/>
              <w:right w:val="single" w:sz="4" w:space="0" w:color="B7C9E2"/>
            </w:tcBorders>
            <w:shd w:val="clear" w:color="auto" w:fill="DCE6F1"/>
            <w:tcMar>
              <w:top w:w="80" w:type="dxa"/>
              <w:left w:w="110" w:type="dxa"/>
              <w:bottom w:w="80" w:type="dxa"/>
              <w:right w:w="110" w:type="dxa"/>
            </w:tcMar>
            <w:vAlign w:val="center"/>
          </w:tcPr>
          <w:p w14:paraId="33592286" w14:textId="77777777" w:rsidR="00EF1F6A" w:rsidRDefault="00000000">
            <w:pPr>
              <w:spacing w:after="0" w:line="240" w:lineRule="auto"/>
            </w:pPr>
            <w:r>
              <w:rPr>
                <w:b/>
                <w:color w:val="232323"/>
              </w:rPr>
              <w:t>Domain category</w:t>
            </w:r>
          </w:p>
        </w:tc>
        <w:tc>
          <w:tcPr>
            <w:tcW w:w="7370" w:type="dxa"/>
            <w:tcBorders>
              <w:top w:val="single" w:sz="4" w:space="0" w:color="B7C9E2"/>
              <w:left w:val="single" w:sz="4" w:space="0" w:color="B7C9E2"/>
              <w:bottom w:val="single" w:sz="4" w:space="0" w:color="B7C9E2"/>
              <w:right w:val="single" w:sz="4" w:space="0" w:color="B7C9E2"/>
            </w:tcBorders>
            <w:tcMar>
              <w:top w:w="80" w:type="dxa"/>
              <w:left w:w="110" w:type="dxa"/>
              <w:bottom w:w="80" w:type="dxa"/>
              <w:right w:w="110" w:type="dxa"/>
            </w:tcMar>
            <w:vAlign w:val="center"/>
          </w:tcPr>
          <w:p w14:paraId="7D8E2FB7" w14:textId="77777777" w:rsidR="00EF1F6A" w:rsidRDefault="00000000">
            <w:pPr>
              <w:spacing w:after="60" w:line="240" w:lineRule="auto"/>
            </w:pPr>
            <w:r>
              <w:rPr>
                <w:color w:val="232323"/>
              </w:rPr>
              <w:t>Public health - cardiovascular epidemiology and non-communicable disease burden</w:t>
            </w:r>
          </w:p>
        </w:tc>
      </w:tr>
    </w:tbl>
    <w:p w14:paraId="1545C491" w14:textId="77777777" w:rsidR="00FB1A55" w:rsidRDefault="00000000">
      <w:r>
        <w:rPr>
          <w:b/>
          <w:color w:val="232323"/>
        </w:rPr>
        <w:t>Research question:</w:t>
      </w:r>
      <w:r>
        <w:rPr>
          <w:color w:val="232323"/>
        </w:rPr>
        <w:t xml:space="preserve"> Why did China's age-standardised stroke death rate fall by about 37% between 2000 and 2021, while total stroke deaths rose by about 34% over the same period?</w:t>
      </w:r>
    </w:p>
    <w:p w14:paraId="3092BAF4" w14:textId="77777777" w:rsidR="00FB1A55" w:rsidRDefault="00000000">
      <w:r>
        <w:rPr>
          <w:color w:val="232323"/>
        </w:rPr>
        <w:t>The project tests whether the apparent contradiction is caused by two different measures of mortality. The age-standardised rate compares risk under a fixed age structure, while total deaths measure the actual burden across a population whose age structure is changing.</w:t>
      </w:r>
    </w:p>
    <w:p w14:paraId="081AF909" w14:textId="77777777" w:rsidR="00FB1A55" w:rsidRDefault="00000000">
      <w:pPr>
        <w:pStyle w:val="1"/>
      </w:pPr>
      <w:r>
        <w:t>Project Purpose</w:t>
      </w:r>
    </w:p>
    <w:p w14:paraId="0DD0924F" w14:textId="77777777" w:rsidR="00FB1A55" w:rsidRDefault="00000000">
      <w:pPr>
        <w:pStyle w:val="21"/>
      </w:pPr>
      <w:r>
        <w:t>Outcomes</w:t>
      </w:r>
    </w:p>
    <w:p w14:paraId="1589917B" w14:textId="77777777" w:rsidR="00FB1A55" w:rsidRDefault="00000000">
      <w:r>
        <w:rPr>
          <w:color w:val="232323"/>
        </w:rPr>
        <w:t>I will complete an end-to-end data analysis that connects course methods to a public-health question. The proposal and notebook will demonstrate how to locate public data, clean country-year tables, join mortality and population data, calculate derived rates, create two complementary visualisations, and communicate a counter-intuitive result without overstating causality.</w:t>
      </w:r>
    </w:p>
    <w:p w14:paraId="599ED8AD" w14:textId="77777777" w:rsidR="00FB1A55" w:rsidRDefault="00000000">
      <w:pPr>
        <w:pStyle w:val="21"/>
      </w:pPr>
      <w:r>
        <w:t>Skills</w:t>
      </w:r>
    </w:p>
    <w:p w14:paraId="3DEB3924" w14:textId="77777777" w:rsidR="00FB1A55" w:rsidRDefault="00000000">
      <w:r>
        <w:rPr>
          <w:color w:val="232323"/>
        </w:rPr>
        <w:t>The project will develop skills in Python analysis with pandas and numpy, data validation, exploratory analysis, chart design with matplotlib, reproducible notebook workflow, and evidence-based written interpretation.</w:t>
      </w:r>
    </w:p>
    <w:p w14:paraId="03FC012F" w14:textId="77777777" w:rsidR="00FB1A55" w:rsidRDefault="00000000">
      <w:pPr>
        <w:pStyle w:val="21"/>
      </w:pPr>
      <w:r>
        <w:t>Knowledge</w:t>
      </w:r>
    </w:p>
    <w:p w14:paraId="75C61926" w14:textId="77777777" w:rsidR="00FB1A55" w:rsidRDefault="00000000">
      <w:r>
        <w:rPr>
          <w:color w:val="232323"/>
        </w:rPr>
        <w:t>The project will develop knowledge of age-standardised versus crude rates, country-year data structures, aggregate rows, table joins, demographic transition, population ageing, and the difference between individual risk and total burden.</w:t>
      </w:r>
    </w:p>
    <w:p w14:paraId="4BBFC608" w14:textId="77777777" w:rsidR="00FB1A55" w:rsidRDefault="00000000">
      <w:pPr>
        <w:pStyle w:val="1"/>
      </w:pPr>
      <w:r>
        <w:t>Datasets and Sources</w:t>
      </w:r>
    </w:p>
    <w:p w14:paraId="171D0B3B" w14:textId="77777777" w:rsidR="00FB1A55" w:rsidRDefault="00000000">
      <w:r>
        <w:rPr>
          <w:color w:val="232323"/>
        </w:rPr>
        <w:t>The analysis uses four public datasets distributed by Our World in Data. The stroke files come from the World Health Organization Global Health Estimates 2021, and the population files come from the United Nations World Population Prospects 2024. The dataset links below satisfy the requirement for at least two available data sources.</w:t>
      </w:r>
    </w:p>
    <w:tbl>
      <w:tblPr>
        <w:tblW w:w="0" w:type="auto"/>
        <w:jc w:val="center"/>
        <w:tblLayout w:type="fixed"/>
        <w:tblLook w:val="04A0" w:firstRow="1" w:lastRow="0" w:firstColumn="1" w:lastColumn="0" w:noHBand="0" w:noVBand="1"/>
      </w:tblPr>
      <w:tblGrid>
        <w:gridCol w:w="1361"/>
        <w:gridCol w:w="3118"/>
        <w:gridCol w:w="2268"/>
        <w:gridCol w:w="2835"/>
      </w:tblGrid>
      <w:tr w:rsidR="00FB1A55" w14:paraId="3007DB3F" w14:textId="77777777">
        <w:trPr>
          <w:tblHeader/>
          <w:jc w:val="center"/>
        </w:trPr>
        <w:tc>
          <w:tcPr>
            <w:tcW w:w="1361" w:type="dxa"/>
            <w:tcBorders>
              <w:top w:val="single" w:sz="4" w:space="0" w:color="B7C9E2"/>
              <w:left w:val="single" w:sz="4" w:space="0" w:color="B7C9E2"/>
              <w:bottom w:val="single" w:sz="4" w:space="0" w:color="B7C9E2"/>
              <w:right w:val="single" w:sz="4" w:space="0" w:color="B7C9E2"/>
            </w:tcBorders>
            <w:shd w:val="clear" w:color="auto" w:fill="DCE6F1"/>
            <w:tcMar>
              <w:top w:w="80" w:type="dxa"/>
              <w:left w:w="100" w:type="dxa"/>
              <w:bottom w:w="80" w:type="dxa"/>
              <w:right w:w="100" w:type="dxa"/>
            </w:tcMar>
            <w:vAlign w:val="center"/>
          </w:tcPr>
          <w:p w14:paraId="5044A69B" w14:textId="77777777" w:rsidR="00FB1A55" w:rsidRDefault="00000000">
            <w:pPr>
              <w:spacing w:after="0" w:line="240" w:lineRule="auto"/>
            </w:pPr>
            <w:r>
              <w:rPr>
                <w:b/>
                <w:color w:val="232323"/>
                <w:sz w:val="17"/>
              </w:rPr>
              <w:t>Dataset</w:t>
            </w:r>
          </w:p>
        </w:tc>
        <w:tc>
          <w:tcPr>
            <w:tcW w:w="3118" w:type="dxa"/>
            <w:tcBorders>
              <w:top w:val="single" w:sz="4" w:space="0" w:color="B7C9E2"/>
              <w:left w:val="single" w:sz="4" w:space="0" w:color="B7C9E2"/>
              <w:bottom w:val="single" w:sz="4" w:space="0" w:color="B7C9E2"/>
              <w:right w:val="single" w:sz="4" w:space="0" w:color="B7C9E2"/>
            </w:tcBorders>
            <w:shd w:val="clear" w:color="auto" w:fill="DCE6F1"/>
            <w:tcMar>
              <w:top w:w="80" w:type="dxa"/>
              <w:left w:w="100" w:type="dxa"/>
              <w:bottom w:w="80" w:type="dxa"/>
              <w:right w:w="100" w:type="dxa"/>
            </w:tcMar>
            <w:vAlign w:val="center"/>
          </w:tcPr>
          <w:p w14:paraId="74B86FC8" w14:textId="77777777" w:rsidR="00FB1A55" w:rsidRDefault="00000000">
            <w:pPr>
              <w:spacing w:after="0" w:line="240" w:lineRule="auto"/>
            </w:pPr>
            <w:r>
              <w:rPr>
                <w:b/>
                <w:color w:val="232323"/>
                <w:sz w:val="17"/>
              </w:rPr>
              <w:t>Indicator and coverage</w:t>
            </w:r>
          </w:p>
        </w:tc>
        <w:tc>
          <w:tcPr>
            <w:tcW w:w="2268" w:type="dxa"/>
            <w:tcBorders>
              <w:top w:val="single" w:sz="4" w:space="0" w:color="B7C9E2"/>
              <w:left w:val="single" w:sz="4" w:space="0" w:color="B7C9E2"/>
              <w:bottom w:val="single" w:sz="4" w:space="0" w:color="B7C9E2"/>
              <w:right w:val="single" w:sz="4" w:space="0" w:color="B7C9E2"/>
            </w:tcBorders>
            <w:shd w:val="clear" w:color="auto" w:fill="DCE6F1"/>
            <w:tcMar>
              <w:top w:w="80" w:type="dxa"/>
              <w:left w:w="100" w:type="dxa"/>
              <w:bottom w:w="80" w:type="dxa"/>
              <w:right w:w="100" w:type="dxa"/>
            </w:tcMar>
            <w:vAlign w:val="center"/>
          </w:tcPr>
          <w:p w14:paraId="62A545F0" w14:textId="77777777" w:rsidR="00FB1A55" w:rsidRDefault="00000000">
            <w:pPr>
              <w:spacing w:after="0" w:line="240" w:lineRule="auto"/>
            </w:pPr>
            <w:r>
              <w:rPr>
                <w:b/>
                <w:color w:val="232323"/>
                <w:sz w:val="17"/>
              </w:rPr>
              <w:t>Use</w:t>
            </w:r>
          </w:p>
        </w:tc>
        <w:tc>
          <w:tcPr>
            <w:tcW w:w="2835" w:type="dxa"/>
            <w:tcBorders>
              <w:top w:val="single" w:sz="4" w:space="0" w:color="B7C9E2"/>
              <w:left w:val="single" w:sz="4" w:space="0" w:color="B7C9E2"/>
              <w:bottom w:val="single" w:sz="4" w:space="0" w:color="B7C9E2"/>
              <w:right w:val="single" w:sz="4" w:space="0" w:color="B7C9E2"/>
            </w:tcBorders>
            <w:shd w:val="clear" w:color="auto" w:fill="DCE6F1"/>
            <w:tcMar>
              <w:top w:w="80" w:type="dxa"/>
              <w:left w:w="100" w:type="dxa"/>
              <w:bottom w:w="80" w:type="dxa"/>
              <w:right w:w="100" w:type="dxa"/>
            </w:tcMar>
            <w:vAlign w:val="center"/>
          </w:tcPr>
          <w:p w14:paraId="7978F2CF" w14:textId="77777777" w:rsidR="00FB1A55" w:rsidRDefault="00000000">
            <w:pPr>
              <w:spacing w:after="0" w:line="240" w:lineRule="auto"/>
            </w:pPr>
            <w:r>
              <w:rPr>
                <w:b/>
                <w:color w:val="232323"/>
                <w:sz w:val="17"/>
              </w:rPr>
              <w:t>Source link</w:t>
            </w:r>
          </w:p>
        </w:tc>
      </w:tr>
      <w:tr w:rsidR="00FB1A55" w14:paraId="01539C45" w14:textId="77777777">
        <w:trPr>
          <w:jc w:val="center"/>
        </w:trPr>
        <w:tc>
          <w:tcPr>
            <w:tcW w:w="1361"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14:paraId="3872D707" w14:textId="77777777" w:rsidR="00FB1A55" w:rsidRDefault="00000000">
            <w:pPr>
              <w:spacing w:after="0" w:line="240" w:lineRule="auto"/>
            </w:pPr>
            <w:r>
              <w:rPr>
                <w:color w:val="232323"/>
                <w:sz w:val="17"/>
              </w:rPr>
              <w:t>Stroke rate</w:t>
            </w:r>
          </w:p>
        </w:tc>
        <w:tc>
          <w:tcPr>
            <w:tcW w:w="311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14:paraId="28B00AE6" w14:textId="77777777" w:rsidR="00FB1A55" w:rsidRDefault="00000000">
            <w:pPr>
              <w:spacing w:after="0" w:line="240" w:lineRule="auto"/>
            </w:pPr>
            <w:r>
              <w:rPr>
                <w:color w:val="232323"/>
                <w:sz w:val="17"/>
              </w:rPr>
              <w:t>Age-standardised death rate, both sexes; 2000-2021</w:t>
            </w:r>
          </w:p>
        </w:tc>
        <w:tc>
          <w:tcPr>
            <w:tcW w:w="226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14:paraId="049EEDDA" w14:textId="77777777" w:rsidR="00FB1A55" w:rsidRDefault="00000000">
            <w:pPr>
              <w:spacing w:after="0" w:line="240" w:lineRule="auto"/>
            </w:pPr>
            <w:r>
              <w:rPr>
                <w:color w:val="232323"/>
                <w:sz w:val="17"/>
              </w:rPr>
              <w:t>Falling-risk trend</w:t>
            </w:r>
          </w:p>
        </w:tc>
        <w:tc>
          <w:tcPr>
            <w:tcW w:w="2835"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14:paraId="601784EF" w14:textId="77777777" w:rsidR="00FB1A55" w:rsidRDefault="00FB1A55">
            <w:pPr>
              <w:spacing w:after="0" w:line="240" w:lineRule="auto"/>
            </w:pPr>
            <w:hyperlink r:id="rId8">
              <w:r>
                <w:rPr>
                  <w:color w:val="1F4E79"/>
                  <w:sz w:val="18"/>
                  <w:u w:val="single"/>
                </w:rPr>
                <w:t>WHO stroke data</w:t>
              </w:r>
            </w:hyperlink>
          </w:p>
        </w:tc>
      </w:tr>
      <w:tr w:rsidR="00FB1A55" w14:paraId="39B0706F" w14:textId="77777777">
        <w:trPr>
          <w:jc w:val="center"/>
        </w:trPr>
        <w:tc>
          <w:tcPr>
            <w:tcW w:w="1361"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14:paraId="7F9EB591" w14:textId="77777777" w:rsidR="00FB1A55" w:rsidRDefault="00000000">
            <w:pPr>
              <w:spacing w:after="0" w:line="240" w:lineRule="auto"/>
            </w:pPr>
            <w:r>
              <w:rPr>
                <w:color w:val="232323"/>
                <w:sz w:val="17"/>
              </w:rPr>
              <w:t>Stroke deaths</w:t>
            </w:r>
          </w:p>
        </w:tc>
        <w:tc>
          <w:tcPr>
            <w:tcW w:w="311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14:paraId="06A865DB" w14:textId="77777777" w:rsidR="00FB1A55" w:rsidRDefault="00000000">
            <w:pPr>
              <w:spacing w:after="0" w:line="240" w:lineRule="auto"/>
            </w:pPr>
            <w:r>
              <w:rPr>
                <w:color w:val="232323"/>
                <w:sz w:val="17"/>
              </w:rPr>
              <w:t>Total deaths from stroke, both sexes; 2000-2021</w:t>
            </w:r>
          </w:p>
        </w:tc>
        <w:tc>
          <w:tcPr>
            <w:tcW w:w="226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14:paraId="05582A0D" w14:textId="77777777" w:rsidR="00FB1A55" w:rsidRDefault="00000000">
            <w:pPr>
              <w:spacing w:after="0" w:line="240" w:lineRule="auto"/>
            </w:pPr>
            <w:r>
              <w:rPr>
                <w:color w:val="232323"/>
                <w:sz w:val="17"/>
              </w:rPr>
              <w:t>Rising death count and crude rate</w:t>
            </w:r>
          </w:p>
        </w:tc>
        <w:tc>
          <w:tcPr>
            <w:tcW w:w="2835"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14:paraId="2251DDA3" w14:textId="77777777" w:rsidR="00FB1A55" w:rsidRDefault="00FB1A55">
            <w:pPr>
              <w:spacing w:after="0" w:line="240" w:lineRule="auto"/>
            </w:pPr>
            <w:hyperlink r:id="rId9">
              <w:r>
                <w:rPr>
                  <w:color w:val="1F4E79"/>
                  <w:sz w:val="18"/>
                  <w:u w:val="single"/>
                </w:rPr>
                <w:t>WHO stroke data</w:t>
              </w:r>
            </w:hyperlink>
          </w:p>
        </w:tc>
      </w:tr>
      <w:tr w:rsidR="00FB1A55" w14:paraId="0E930F31" w14:textId="77777777">
        <w:trPr>
          <w:jc w:val="center"/>
        </w:trPr>
        <w:tc>
          <w:tcPr>
            <w:tcW w:w="1361"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14:paraId="40D63155" w14:textId="77777777" w:rsidR="00FB1A55" w:rsidRDefault="00000000">
            <w:pPr>
              <w:spacing w:after="0" w:line="240" w:lineRule="auto"/>
            </w:pPr>
            <w:r>
              <w:rPr>
                <w:color w:val="232323"/>
                <w:sz w:val="17"/>
              </w:rPr>
              <w:t>Total population</w:t>
            </w:r>
          </w:p>
        </w:tc>
        <w:tc>
          <w:tcPr>
            <w:tcW w:w="311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14:paraId="742F7001" w14:textId="77777777" w:rsidR="00FB1A55" w:rsidRDefault="00000000">
            <w:pPr>
              <w:spacing w:after="0" w:line="240" w:lineRule="auto"/>
            </w:pPr>
            <w:r>
              <w:rPr>
                <w:color w:val="232323"/>
                <w:sz w:val="17"/>
              </w:rPr>
              <w:t>Total population; filtered to 2000-2021</w:t>
            </w:r>
          </w:p>
        </w:tc>
        <w:tc>
          <w:tcPr>
            <w:tcW w:w="226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14:paraId="5AE8C64E" w14:textId="77777777" w:rsidR="00FB1A55" w:rsidRDefault="00000000">
            <w:pPr>
              <w:spacing w:after="0" w:line="240" w:lineRule="auto"/>
            </w:pPr>
            <w:r>
              <w:rPr>
                <w:color w:val="232323"/>
                <w:sz w:val="17"/>
              </w:rPr>
              <w:t>Crude-rate denominator</w:t>
            </w:r>
          </w:p>
        </w:tc>
        <w:tc>
          <w:tcPr>
            <w:tcW w:w="2835"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14:paraId="2F0C8690" w14:textId="77777777" w:rsidR="00FB1A55" w:rsidRDefault="00FB1A55">
            <w:pPr>
              <w:spacing w:after="0" w:line="240" w:lineRule="auto"/>
            </w:pPr>
            <w:hyperlink r:id="rId10">
              <w:r>
                <w:rPr>
                  <w:color w:val="1F4E79"/>
                  <w:sz w:val="18"/>
                  <w:u w:val="single"/>
                </w:rPr>
                <w:t>UN population data</w:t>
              </w:r>
            </w:hyperlink>
          </w:p>
        </w:tc>
      </w:tr>
      <w:tr w:rsidR="00FB1A55" w14:paraId="00A0724D" w14:textId="77777777">
        <w:trPr>
          <w:jc w:val="center"/>
        </w:trPr>
        <w:tc>
          <w:tcPr>
            <w:tcW w:w="1361"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14:paraId="3ABA8C37" w14:textId="77777777" w:rsidR="00FB1A55" w:rsidRDefault="00000000">
            <w:pPr>
              <w:spacing w:after="0" w:line="240" w:lineRule="auto"/>
            </w:pPr>
            <w:r>
              <w:rPr>
                <w:color w:val="232323"/>
                <w:sz w:val="17"/>
              </w:rPr>
              <w:t>Population by age</w:t>
            </w:r>
          </w:p>
        </w:tc>
        <w:tc>
          <w:tcPr>
            <w:tcW w:w="311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14:paraId="21A1E36A" w14:textId="77777777" w:rsidR="00FB1A55" w:rsidRDefault="00000000">
            <w:pPr>
              <w:spacing w:after="0" w:line="240" w:lineRule="auto"/>
            </w:pPr>
            <w:r>
              <w:rPr>
                <w:color w:val="232323"/>
                <w:sz w:val="17"/>
              </w:rPr>
              <w:t>Five age groups; filtered to 2000-2021</w:t>
            </w:r>
          </w:p>
        </w:tc>
        <w:tc>
          <w:tcPr>
            <w:tcW w:w="226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14:paraId="5A9E0D48" w14:textId="77777777" w:rsidR="00FB1A55" w:rsidRDefault="00000000">
            <w:pPr>
              <w:spacing w:after="0" w:line="240" w:lineRule="auto"/>
            </w:pPr>
            <w:r>
              <w:rPr>
                <w:color w:val="232323"/>
                <w:sz w:val="17"/>
              </w:rPr>
              <w:t>Ageing mechanism</w:t>
            </w:r>
          </w:p>
        </w:tc>
        <w:tc>
          <w:tcPr>
            <w:tcW w:w="2835"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14:paraId="7C7070B3" w14:textId="77777777" w:rsidR="00FB1A55" w:rsidRDefault="00FB1A55">
            <w:pPr>
              <w:spacing w:after="0" w:line="240" w:lineRule="auto"/>
            </w:pPr>
            <w:hyperlink r:id="rId11">
              <w:r>
                <w:rPr>
                  <w:color w:val="1F4E79"/>
                  <w:sz w:val="18"/>
                  <w:u w:val="single"/>
                </w:rPr>
                <w:t>UN age-group data</w:t>
              </w:r>
            </w:hyperlink>
          </w:p>
        </w:tc>
      </w:tr>
    </w:tbl>
    <w:p w14:paraId="264D9D69" w14:textId="77777777" w:rsidR="00FB1A55" w:rsidRDefault="00000000">
      <w:pPr>
        <w:pStyle w:val="1"/>
      </w:pPr>
      <w:r>
        <w:t>Visualisation Justification</w:t>
      </w:r>
    </w:p>
    <w:p w14:paraId="0A9C89C9" w14:textId="77777777" w:rsidR="00FB1A55" w:rsidRDefault="00000000">
      <w:r>
        <w:rPr>
          <w:color w:val="232323"/>
        </w:rPr>
        <w:t>Chart 1 uses a dual-axis combination design: bars show total stroke deaths on the left axis and a line shows the age-standardised death rate on the right axis. Both series cover the same years, but their units differ by several orders of magnitude. A single scale would flatten the rate line and make the divergence difficult to see. The shared x-axis and separate y-axes keep both trends readable. Bars communicate total magnitude, while the line communicates continuous change over time.</w:t>
      </w:r>
    </w:p>
    <w:p w14:paraId="325E8B52" w14:textId="77777777" w:rsidR="00FB1A55" w:rsidRDefault="00000000">
      <w:r>
        <w:rPr>
          <w:color w:val="232323"/>
        </w:rPr>
        <w:t xml:space="preserve">Chart 2 uses a grouped bar chart to compare five age groups in 2000 and 2021. The paired bars preserve absolute population size, which is central to the explanation. The 65+ group more than doubles in size, while </w:t>
      </w:r>
      <w:r>
        <w:rPr>
          <w:color w:val="232323"/>
        </w:rPr>
        <w:lastRenderedPageBreak/>
        <w:t>every younger age band shrinks. A stacked or percentage chart would remove the absolute change that makes the ageing mechanism visible. The groups are ordered from oldest to youngest so that the reader moves from the fastest-growing group to the groups that declined.</w:t>
      </w:r>
    </w:p>
    <w:p w14:paraId="701399D2" w14:textId="77777777" w:rsidR="00FB1A55" w:rsidRDefault="00000000">
      <w:pPr>
        <w:pStyle w:val="1"/>
      </w:pPr>
      <w:r>
        <w:t>Project Tasks and Deliverables</w:t>
      </w:r>
    </w:p>
    <w:p w14:paraId="3B010B5B" w14:textId="77777777" w:rsidR="00FB1A55" w:rsidRDefault="00000000">
      <w:r>
        <w:rPr>
          <w:color w:val="232323"/>
        </w:rPr>
        <w:t>I will complete the project in the following steps:</w:t>
      </w:r>
    </w:p>
    <w:p w14:paraId="321D803F" w14:textId="77777777" w:rsidR="00FB1A55" w:rsidRDefault="00000000">
      <w:pPr>
        <w:pStyle w:val="a"/>
        <w:spacing w:after="40"/>
        <w:ind w:left="369" w:hanging="198"/>
      </w:pPr>
      <w:r>
        <w:rPr>
          <w:color w:val="232323"/>
        </w:rPr>
        <w:t>Locate and document public datasets for stroke mortality and population.</w:t>
      </w:r>
    </w:p>
    <w:p w14:paraId="30CDB0BA" w14:textId="77777777" w:rsidR="00FB1A55" w:rsidRDefault="00000000">
      <w:pPr>
        <w:pStyle w:val="a"/>
        <w:spacing w:after="40"/>
        <w:ind w:left="369" w:hanging="198"/>
      </w:pPr>
      <w:r>
        <w:rPr>
          <w:color w:val="232323"/>
        </w:rPr>
        <w:t>Import and inspect all four CSV files, including shape, columns, types, and sample rows.</w:t>
      </w:r>
    </w:p>
    <w:p w14:paraId="5E01A01E" w14:textId="77777777" w:rsidR="00FB1A55" w:rsidRDefault="00000000">
      <w:pPr>
        <w:pStyle w:val="a"/>
        <w:spacing w:after="40"/>
        <w:ind w:left="369" w:hanging="198"/>
      </w:pPr>
      <w:r>
        <w:rPr>
          <w:color w:val="232323"/>
        </w:rPr>
        <w:t>Remove regional and global aggregates and retain real three-letter ISO country codes.</w:t>
      </w:r>
    </w:p>
    <w:p w14:paraId="7F6882D9" w14:textId="77777777" w:rsidR="00FB1A55" w:rsidRDefault="00000000">
      <w:pPr>
        <w:pStyle w:val="a"/>
        <w:spacing w:after="40"/>
        <w:ind w:left="369" w:hanging="198"/>
      </w:pPr>
      <w:r>
        <w:rPr>
          <w:color w:val="232323"/>
        </w:rPr>
        <w:t>Check missing values and validate that the two stroke files cover the same country-years.</w:t>
      </w:r>
    </w:p>
    <w:p w14:paraId="6770CADF" w14:textId="77777777" w:rsidR="00FB1A55" w:rsidRDefault="00000000">
      <w:pPr>
        <w:pStyle w:val="a"/>
        <w:spacing w:after="40"/>
        <w:ind w:left="369" w:hanging="198"/>
      </w:pPr>
      <w:r>
        <w:rPr>
          <w:color w:val="232323"/>
        </w:rPr>
        <w:t>Merge the stroke rate and death count on country code and year.</w:t>
      </w:r>
    </w:p>
    <w:p w14:paraId="6D23B995" w14:textId="77777777" w:rsidR="00FB1A55" w:rsidRDefault="00000000">
      <w:pPr>
        <w:pStyle w:val="a"/>
        <w:spacing w:after="40"/>
        <w:ind w:left="369" w:hanging="198"/>
      </w:pPr>
      <w:r>
        <w:rPr>
          <w:color w:val="232323"/>
        </w:rPr>
        <w:t>Join China's population series and compute the crude death rate from scratch.</w:t>
      </w:r>
    </w:p>
    <w:p w14:paraId="0E936A8A" w14:textId="77777777" w:rsidR="00FB1A55" w:rsidRDefault="00000000">
      <w:pPr>
        <w:pStyle w:val="a"/>
        <w:spacing w:after="40"/>
        <w:ind w:left="369" w:hanging="198"/>
      </w:pPr>
      <w:r>
        <w:rPr>
          <w:color w:val="232323"/>
        </w:rPr>
        <w:t>Compare 2000 and 2021, verify the arithmetic, and produce the two required charts.</w:t>
      </w:r>
    </w:p>
    <w:p w14:paraId="486AE8B4" w14:textId="77777777" w:rsidR="00FB1A55" w:rsidRDefault="00000000">
      <w:pPr>
        <w:pStyle w:val="a"/>
        <w:spacing w:after="40"/>
        <w:ind w:left="369" w:hanging="198"/>
      </w:pPr>
      <w:r>
        <w:rPr>
          <w:color w:val="232323"/>
        </w:rPr>
        <w:t>Test whether population growth and ageing can explain the rise in total deaths.</w:t>
      </w:r>
    </w:p>
    <w:p w14:paraId="486E208D" w14:textId="77777777" w:rsidR="00FB1A55" w:rsidRDefault="00000000">
      <w:pPr>
        <w:pStyle w:val="a"/>
        <w:spacing w:after="40"/>
        <w:ind w:left="369" w:hanging="198"/>
      </w:pPr>
      <w:r>
        <w:rPr>
          <w:color w:val="232323"/>
        </w:rPr>
        <w:t>Prepare the final Word proposal and state the limitations of the available data.</w:t>
      </w:r>
    </w:p>
    <w:p w14:paraId="43E38EEC" w14:textId="77777777" w:rsidR="00FB1A55" w:rsidRDefault="00000000">
      <w:r>
        <w:rPr>
          <w:color w:val="232323"/>
        </w:rPr>
        <w:t>Deliverables: an executed Python 3 notebook, two embedded charts, the source CSV files, and this 2-5 page Word proposal.</w:t>
      </w:r>
    </w:p>
    <w:p w14:paraId="0BEEDB70" w14:textId="77777777" w:rsidR="00FB1A55" w:rsidRDefault="00000000">
      <w:pPr>
        <w:pStyle w:val="1"/>
      </w:pPr>
      <w:r>
        <w:t>Preliminary Results and Interpretation</w:t>
      </w:r>
    </w:p>
    <w:p w14:paraId="65651A26" w14:textId="77777777" w:rsidR="00FB1A55" w:rsidRDefault="00000000">
      <w:r>
        <w:rPr>
          <w:color w:val="232323"/>
        </w:rPr>
        <w:t>The preliminary analysis confirms that the two headline trends are real and measure different quantities. China's age-standardised stroke death rate fell from 187.1 to 117.5 deaths per 100,000 between 2000 and 2021, a decline of 37.2%. Over the same period, total stroke deaths rose from about 1.89 million to 2.53 million, an increase of 33.6%. The crude death rate rose by 18.9%, from 149.1 to 177.3 deaths per 100,000. The crude rate uses China's actual population and therefore captures the burden experienced by the real population.</w:t>
      </w:r>
    </w:p>
    <w:tbl>
      <w:tblPr>
        <w:tblW w:w="0" w:type="auto"/>
        <w:jc w:val="center"/>
        <w:tblLayout w:type="fixed"/>
        <w:tblLook w:val="04A0" w:firstRow="1" w:lastRow="0" w:firstColumn="1" w:lastColumn="0" w:noHBand="0" w:noVBand="1"/>
      </w:tblPr>
      <w:tblGrid>
        <w:gridCol w:w="3685"/>
        <w:gridCol w:w="1871"/>
        <w:gridCol w:w="1928"/>
        <w:gridCol w:w="1587"/>
      </w:tblGrid>
      <w:tr w:rsidR="00FB1A55" w14:paraId="2ED0D212" w14:textId="77777777">
        <w:trPr>
          <w:tblHeader/>
          <w:jc w:val="center"/>
        </w:trPr>
        <w:tc>
          <w:tcPr>
            <w:tcW w:w="3685" w:type="dxa"/>
            <w:tcBorders>
              <w:top w:val="single" w:sz="4" w:space="0" w:color="B7C9E2"/>
              <w:left w:val="single" w:sz="4" w:space="0" w:color="B7C9E2"/>
              <w:bottom w:val="single" w:sz="4" w:space="0" w:color="B7C9E2"/>
              <w:right w:val="single" w:sz="4" w:space="0" w:color="B7C9E2"/>
            </w:tcBorders>
            <w:shd w:val="clear" w:color="auto" w:fill="DCE6F1"/>
            <w:tcMar>
              <w:top w:w="80" w:type="dxa"/>
              <w:left w:w="100" w:type="dxa"/>
              <w:bottom w:w="80" w:type="dxa"/>
              <w:right w:w="100" w:type="dxa"/>
            </w:tcMar>
            <w:vAlign w:val="center"/>
          </w:tcPr>
          <w:p w14:paraId="72A90210" w14:textId="77777777" w:rsidR="00FB1A55" w:rsidRDefault="00000000">
            <w:pPr>
              <w:spacing w:after="0" w:line="240" w:lineRule="auto"/>
            </w:pPr>
            <w:r>
              <w:rPr>
                <w:b/>
                <w:color w:val="232323"/>
                <w:sz w:val="17"/>
              </w:rPr>
              <w:t>Indicator</w:t>
            </w:r>
          </w:p>
        </w:tc>
        <w:tc>
          <w:tcPr>
            <w:tcW w:w="1871" w:type="dxa"/>
            <w:tcBorders>
              <w:top w:val="single" w:sz="4" w:space="0" w:color="B7C9E2"/>
              <w:left w:val="single" w:sz="4" w:space="0" w:color="B7C9E2"/>
              <w:bottom w:val="single" w:sz="4" w:space="0" w:color="B7C9E2"/>
              <w:right w:val="single" w:sz="4" w:space="0" w:color="B7C9E2"/>
            </w:tcBorders>
            <w:shd w:val="clear" w:color="auto" w:fill="DCE6F1"/>
            <w:tcMar>
              <w:top w:w="80" w:type="dxa"/>
              <w:left w:w="100" w:type="dxa"/>
              <w:bottom w:w="80" w:type="dxa"/>
              <w:right w:w="100" w:type="dxa"/>
            </w:tcMar>
            <w:vAlign w:val="center"/>
          </w:tcPr>
          <w:p w14:paraId="58C10CFB" w14:textId="77777777" w:rsidR="00FB1A55" w:rsidRDefault="00000000">
            <w:pPr>
              <w:spacing w:after="0" w:line="240" w:lineRule="auto"/>
            </w:pPr>
            <w:r>
              <w:rPr>
                <w:b/>
                <w:color w:val="232323"/>
                <w:sz w:val="17"/>
              </w:rPr>
              <w:t>2000</w:t>
            </w:r>
          </w:p>
        </w:tc>
        <w:tc>
          <w:tcPr>
            <w:tcW w:w="1928" w:type="dxa"/>
            <w:tcBorders>
              <w:top w:val="single" w:sz="4" w:space="0" w:color="B7C9E2"/>
              <w:left w:val="single" w:sz="4" w:space="0" w:color="B7C9E2"/>
              <w:bottom w:val="single" w:sz="4" w:space="0" w:color="B7C9E2"/>
              <w:right w:val="single" w:sz="4" w:space="0" w:color="B7C9E2"/>
            </w:tcBorders>
            <w:shd w:val="clear" w:color="auto" w:fill="DCE6F1"/>
            <w:tcMar>
              <w:top w:w="80" w:type="dxa"/>
              <w:left w:w="100" w:type="dxa"/>
              <w:bottom w:w="80" w:type="dxa"/>
              <w:right w:w="100" w:type="dxa"/>
            </w:tcMar>
            <w:vAlign w:val="center"/>
          </w:tcPr>
          <w:p w14:paraId="011BEC0E" w14:textId="77777777" w:rsidR="00FB1A55" w:rsidRDefault="00000000">
            <w:pPr>
              <w:spacing w:after="0" w:line="240" w:lineRule="auto"/>
            </w:pPr>
            <w:r>
              <w:rPr>
                <w:b/>
                <w:color w:val="232323"/>
                <w:sz w:val="17"/>
              </w:rPr>
              <w:t>2021</w:t>
            </w:r>
          </w:p>
        </w:tc>
        <w:tc>
          <w:tcPr>
            <w:tcW w:w="1587" w:type="dxa"/>
            <w:tcBorders>
              <w:top w:val="single" w:sz="4" w:space="0" w:color="B7C9E2"/>
              <w:left w:val="single" w:sz="4" w:space="0" w:color="B7C9E2"/>
              <w:bottom w:val="single" w:sz="4" w:space="0" w:color="B7C9E2"/>
              <w:right w:val="single" w:sz="4" w:space="0" w:color="B7C9E2"/>
            </w:tcBorders>
            <w:shd w:val="clear" w:color="auto" w:fill="DCE6F1"/>
            <w:tcMar>
              <w:top w:w="80" w:type="dxa"/>
              <w:left w:w="100" w:type="dxa"/>
              <w:bottom w:w="80" w:type="dxa"/>
              <w:right w:w="100" w:type="dxa"/>
            </w:tcMar>
            <w:vAlign w:val="center"/>
          </w:tcPr>
          <w:p w14:paraId="273B73A9" w14:textId="77777777" w:rsidR="00FB1A55" w:rsidRDefault="00000000">
            <w:pPr>
              <w:spacing w:after="0" w:line="240" w:lineRule="auto"/>
            </w:pPr>
            <w:r>
              <w:rPr>
                <w:b/>
                <w:color w:val="232323"/>
                <w:sz w:val="17"/>
              </w:rPr>
              <w:t>Change</w:t>
            </w:r>
          </w:p>
        </w:tc>
      </w:tr>
      <w:tr w:rsidR="00FB1A55" w14:paraId="683AA66B" w14:textId="77777777">
        <w:trPr>
          <w:jc w:val="center"/>
        </w:trPr>
        <w:tc>
          <w:tcPr>
            <w:tcW w:w="3685"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14:paraId="1C17B9F2" w14:textId="77777777" w:rsidR="00FB1A55" w:rsidRDefault="00000000">
            <w:pPr>
              <w:spacing w:after="0" w:line="240" w:lineRule="auto"/>
            </w:pPr>
            <w:r>
              <w:rPr>
                <w:color w:val="232323"/>
                <w:sz w:val="17"/>
              </w:rPr>
              <w:t>Age-standardised death rate per 100,000</w:t>
            </w:r>
          </w:p>
        </w:tc>
        <w:tc>
          <w:tcPr>
            <w:tcW w:w="1871"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14:paraId="554539FD" w14:textId="77777777" w:rsidR="00FB1A55" w:rsidRDefault="00000000">
            <w:pPr>
              <w:spacing w:after="0" w:line="240" w:lineRule="auto"/>
            </w:pPr>
            <w:r>
              <w:rPr>
                <w:color w:val="232323"/>
                <w:sz w:val="17"/>
              </w:rPr>
              <w:t>187.1</w:t>
            </w:r>
          </w:p>
        </w:tc>
        <w:tc>
          <w:tcPr>
            <w:tcW w:w="192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14:paraId="5BCE8287" w14:textId="77777777" w:rsidR="00FB1A55" w:rsidRDefault="00000000">
            <w:pPr>
              <w:spacing w:after="0" w:line="240" w:lineRule="auto"/>
            </w:pPr>
            <w:r>
              <w:rPr>
                <w:color w:val="232323"/>
                <w:sz w:val="17"/>
              </w:rPr>
              <w:t>117.5</w:t>
            </w:r>
          </w:p>
        </w:tc>
        <w:tc>
          <w:tcPr>
            <w:tcW w:w="1587"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14:paraId="1C724E83" w14:textId="77777777" w:rsidR="00FB1A55" w:rsidRDefault="00000000">
            <w:pPr>
              <w:spacing w:after="0" w:line="240" w:lineRule="auto"/>
            </w:pPr>
            <w:r>
              <w:rPr>
                <w:color w:val="232323"/>
                <w:sz w:val="17"/>
              </w:rPr>
              <w:t>-37.2%</w:t>
            </w:r>
          </w:p>
        </w:tc>
      </w:tr>
      <w:tr w:rsidR="00FB1A55" w14:paraId="7F169B8A" w14:textId="77777777">
        <w:trPr>
          <w:jc w:val="center"/>
        </w:trPr>
        <w:tc>
          <w:tcPr>
            <w:tcW w:w="3685"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14:paraId="2D0F44DE" w14:textId="77777777" w:rsidR="00FB1A55" w:rsidRDefault="00000000">
            <w:pPr>
              <w:spacing w:after="0" w:line="240" w:lineRule="auto"/>
            </w:pPr>
            <w:r>
              <w:rPr>
                <w:color w:val="232323"/>
                <w:sz w:val="17"/>
              </w:rPr>
              <w:t>Total stroke deaths</w:t>
            </w:r>
          </w:p>
        </w:tc>
        <w:tc>
          <w:tcPr>
            <w:tcW w:w="1871"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14:paraId="3DD1C500" w14:textId="77777777" w:rsidR="00FB1A55" w:rsidRDefault="00000000">
            <w:pPr>
              <w:spacing w:after="0" w:line="240" w:lineRule="auto"/>
            </w:pPr>
            <w:r>
              <w:rPr>
                <w:color w:val="232323"/>
                <w:sz w:val="17"/>
              </w:rPr>
              <w:t>1,893,445</w:t>
            </w:r>
          </w:p>
        </w:tc>
        <w:tc>
          <w:tcPr>
            <w:tcW w:w="192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14:paraId="337F6E5D" w14:textId="77777777" w:rsidR="00FB1A55" w:rsidRDefault="00000000">
            <w:pPr>
              <w:spacing w:after="0" w:line="240" w:lineRule="auto"/>
            </w:pPr>
            <w:r>
              <w:rPr>
                <w:color w:val="232323"/>
                <w:sz w:val="17"/>
              </w:rPr>
              <w:t>2,529,663</w:t>
            </w:r>
          </w:p>
        </w:tc>
        <w:tc>
          <w:tcPr>
            <w:tcW w:w="1587"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14:paraId="3AB9A5B3" w14:textId="77777777" w:rsidR="00FB1A55" w:rsidRDefault="00000000">
            <w:pPr>
              <w:spacing w:after="0" w:line="240" w:lineRule="auto"/>
            </w:pPr>
            <w:r>
              <w:rPr>
                <w:color w:val="232323"/>
                <w:sz w:val="17"/>
              </w:rPr>
              <w:t>+33.6%</w:t>
            </w:r>
          </w:p>
        </w:tc>
      </w:tr>
      <w:tr w:rsidR="00FB1A55" w14:paraId="0B0959A2" w14:textId="77777777">
        <w:trPr>
          <w:jc w:val="center"/>
        </w:trPr>
        <w:tc>
          <w:tcPr>
            <w:tcW w:w="3685"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14:paraId="215A0355" w14:textId="77777777" w:rsidR="00FB1A55" w:rsidRDefault="00000000">
            <w:pPr>
              <w:spacing w:after="0" w:line="240" w:lineRule="auto"/>
            </w:pPr>
            <w:r>
              <w:rPr>
                <w:color w:val="232323"/>
                <w:sz w:val="17"/>
              </w:rPr>
              <w:t>Total population</w:t>
            </w:r>
          </w:p>
        </w:tc>
        <w:tc>
          <w:tcPr>
            <w:tcW w:w="1871"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14:paraId="153E93A5" w14:textId="77777777" w:rsidR="00FB1A55" w:rsidRDefault="00000000">
            <w:pPr>
              <w:spacing w:after="0" w:line="240" w:lineRule="auto"/>
            </w:pPr>
            <w:r>
              <w:rPr>
                <w:color w:val="232323"/>
                <w:sz w:val="17"/>
              </w:rPr>
              <w:t>1,269,581,174</w:t>
            </w:r>
          </w:p>
        </w:tc>
        <w:tc>
          <w:tcPr>
            <w:tcW w:w="192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14:paraId="1CB2EA86" w14:textId="77777777" w:rsidR="00FB1A55" w:rsidRDefault="00000000">
            <w:pPr>
              <w:spacing w:after="0" w:line="240" w:lineRule="auto"/>
            </w:pPr>
            <w:r>
              <w:rPr>
                <w:color w:val="232323"/>
                <w:sz w:val="17"/>
              </w:rPr>
              <w:t>1,426,437,269</w:t>
            </w:r>
          </w:p>
        </w:tc>
        <w:tc>
          <w:tcPr>
            <w:tcW w:w="1587"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14:paraId="16DBD865" w14:textId="77777777" w:rsidR="00FB1A55" w:rsidRDefault="00000000">
            <w:pPr>
              <w:spacing w:after="0" w:line="240" w:lineRule="auto"/>
            </w:pPr>
            <w:r>
              <w:rPr>
                <w:color w:val="232323"/>
                <w:sz w:val="17"/>
              </w:rPr>
              <w:t>+12.4%</w:t>
            </w:r>
          </w:p>
        </w:tc>
      </w:tr>
      <w:tr w:rsidR="00FB1A55" w14:paraId="3D766F74" w14:textId="77777777">
        <w:trPr>
          <w:jc w:val="center"/>
        </w:trPr>
        <w:tc>
          <w:tcPr>
            <w:tcW w:w="3685"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14:paraId="00C06583" w14:textId="77777777" w:rsidR="00FB1A55" w:rsidRDefault="00000000">
            <w:pPr>
              <w:spacing w:after="0" w:line="240" w:lineRule="auto"/>
            </w:pPr>
            <w:r>
              <w:rPr>
                <w:color w:val="232323"/>
                <w:sz w:val="17"/>
              </w:rPr>
              <w:t>Crude death rate per 100,000</w:t>
            </w:r>
          </w:p>
        </w:tc>
        <w:tc>
          <w:tcPr>
            <w:tcW w:w="1871"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14:paraId="7002F4E8" w14:textId="77777777" w:rsidR="00FB1A55" w:rsidRDefault="00000000">
            <w:pPr>
              <w:spacing w:after="0" w:line="240" w:lineRule="auto"/>
            </w:pPr>
            <w:r>
              <w:rPr>
                <w:color w:val="232323"/>
                <w:sz w:val="17"/>
              </w:rPr>
              <w:t>149.1</w:t>
            </w:r>
          </w:p>
        </w:tc>
        <w:tc>
          <w:tcPr>
            <w:tcW w:w="192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14:paraId="3C7A4977" w14:textId="77777777" w:rsidR="00FB1A55" w:rsidRDefault="00000000">
            <w:pPr>
              <w:spacing w:after="0" w:line="240" w:lineRule="auto"/>
            </w:pPr>
            <w:r>
              <w:rPr>
                <w:color w:val="232323"/>
                <w:sz w:val="17"/>
              </w:rPr>
              <w:t>177.3</w:t>
            </w:r>
          </w:p>
        </w:tc>
        <w:tc>
          <w:tcPr>
            <w:tcW w:w="1587"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14:paraId="3A612FE0" w14:textId="77777777" w:rsidR="00FB1A55" w:rsidRDefault="00000000">
            <w:pPr>
              <w:spacing w:after="0" w:line="240" w:lineRule="auto"/>
            </w:pPr>
            <w:r>
              <w:rPr>
                <w:color w:val="232323"/>
                <w:sz w:val="17"/>
              </w:rPr>
              <w:t>+18.9%</w:t>
            </w:r>
          </w:p>
        </w:tc>
      </w:tr>
    </w:tbl>
    <w:p w14:paraId="039E8F22" w14:textId="77777777" w:rsidR="00FB1A55" w:rsidRDefault="00000000">
      <w:pPr>
        <w:spacing w:before="120" w:after="40"/>
        <w:jc w:val="center"/>
      </w:pPr>
      <w:r>
        <w:rPr>
          <w:noProof/>
        </w:rPr>
        <w:drawing>
          <wp:inline distT="0" distB="0" distL="0" distR="0" wp14:anchorId="790C9DC4" wp14:editId="740D72AB">
            <wp:extent cx="5256000" cy="27140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troke_paradox.png"/>
                    <pic:cNvPicPr/>
                  </pic:nvPicPr>
                  <pic:blipFill>
                    <a:blip r:embed="rId12"/>
                    <a:stretch>
                      <a:fillRect/>
                    </a:stretch>
                  </pic:blipFill>
                  <pic:spPr>
                    <a:xfrm>
                      <a:off x="0" y="0"/>
                      <a:ext cx="5256000" cy="2714045"/>
                    </a:xfrm>
                    <a:prstGeom prst="rect">
                      <a:avLst/>
                    </a:prstGeom>
                  </pic:spPr>
                </pic:pic>
              </a:graphicData>
            </a:graphic>
          </wp:inline>
        </w:drawing>
      </w:r>
    </w:p>
    <w:p w14:paraId="74E5C498" w14:textId="77777777" w:rsidR="00FB1A55" w:rsidRDefault="00000000">
      <w:pPr>
        <w:spacing w:before="40" w:after="120"/>
        <w:jc w:val="center"/>
      </w:pPr>
      <w:r>
        <w:rPr>
          <w:i/>
          <w:color w:val="595959"/>
          <w:sz w:val="17"/>
        </w:rPr>
        <w:t>Chart 1. Total stroke deaths and the age-standardised stroke death rate in China, 2000-2021.</w:t>
      </w:r>
    </w:p>
    <w:p w14:paraId="2DB3F2BB" w14:textId="77777777" w:rsidR="00FB1A55" w:rsidRDefault="00000000">
      <w:r>
        <w:rPr>
          <w:color w:val="232323"/>
        </w:rPr>
        <w:t>Chart 1 shows the divergence directly. Total deaths rise across most of the period while the age-standardised rate peaks in 2004 and then declines. The rate does not fall in every year, so the proposal should not claim a continuous annual decline. Measuring from the 2004 peak produces a larger decline of about 39.3%.</w:t>
      </w:r>
    </w:p>
    <w:p w14:paraId="6B73BEFB" w14:textId="77777777" w:rsidR="00FB1A55" w:rsidRDefault="00000000">
      <w:pPr>
        <w:spacing w:before="80" w:after="40"/>
        <w:jc w:val="center"/>
      </w:pPr>
      <w:r>
        <w:rPr>
          <w:noProof/>
        </w:rPr>
        <w:lastRenderedPageBreak/>
        <w:drawing>
          <wp:inline distT="0" distB="0" distL="0" distR="0" wp14:anchorId="42F4FDBC" wp14:editId="4BB6F9A0">
            <wp:extent cx="4968000" cy="234976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geing_mechanism.png"/>
                    <pic:cNvPicPr/>
                  </pic:nvPicPr>
                  <pic:blipFill>
                    <a:blip r:embed="rId13"/>
                    <a:stretch>
                      <a:fillRect/>
                    </a:stretch>
                  </pic:blipFill>
                  <pic:spPr>
                    <a:xfrm>
                      <a:off x="0" y="0"/>
                      <a:ext cx="4968000" cy="2349762"/>
                    </a:xfrm>
                    <a:prstGeom prst="rect">
                      <a:avLst/>
                    </a:prstGeom>
                  </pic:spPr>
                </pic:pic>
              </a:graphicData>
            </a:graphic>
          </wp:inline>
        </w:drawing>
      </w:r>
    </w:p>
    <w:p w14:paraId="52729539" w14:textId="77777777" w:rsidR="00FB1A55" w:rsidRDefault="00000000">
      <w:pPr>
        <w:spacing w:before="40" w:after="120"/>
        <w:jc w:val="center"/>
      </w:pPr>
      <w:r>
        <w:rPr>
          <w:i/>
          <w:color w:val="595959"/>
          <w:sz w:val="17"/>
        </w:rPr>
        <w:t>Chart 2. Population by age group in China, 2000 compared with 2021.</w:t>
      </w:r>
    </w:p>
    <w:p w14:paraId="10D3973B" w14:textId="77777777" w:rsidR="00FB1A55" w:rsidRDefault="00000000">
      <w:r>
        <w:rPr>
          <w:color w:val="232323"/>
        </w:rPr>
        <w:t>Chart 2 provides the main demographic mechanism. The population aged 65+ grew by 111.4%, from 89.1 million to 188.3 million. The total population grew by only 12.4%. Every younger age band shrank. Deaths rose by 33.6%, which is faster than total population growth but slower than growth of the 65+ group. This pattern is consistent with two effects operating together: an increasing number of older people and a decline in age-specific stroke mortality risk.</w:t>
      </w:r>
    </w:p>
    <w:p w14:paraId="205D7F03" w14:textId="77777777" w:rsidR="00FB1A55" w:rsidRDefault="00000000">
      <w:r>
        <w:rPr>
          <w:color w:val="232323"/>
        </w:rPr>
        <w:t>The analysis has an important limitation. It supports the direction of the explanation but cannot provide a formal demographic decomposition because the datasets do not include age-specific stroke death counts. A precise statement such as a specific percentage of the increase caused by ageing would require additional data.</w:t>
      </w:r>
    </w:p>
    <w:p w14:paraId="3DDE61FE" w14:textId="77777777" w:rsidR="00FB1A55" w:rsidRDefault="00000000">
      <w:pPr>
        <w:pStyle w:val="1"/>
      </w:pPr>
      <w:r>
        <w:t>Criteria for Success</w:t>
      </w:r>
    </w:p>
    <w:p w14:paraId="17622731" w14:textId="77777777" w:rsidR="00EF1F6A" w:rsidRDefault="00000000">
      <w:pPr>
        <w:pStyle w:val="21"/>
      </w:pPr>
      <w:r>
        <w:t>Characteristics of Successful Deliverables</w:t>
      </w:r>
    </w:p>
    <w:p w14:paraId="2B863514" w14:textId="77777777" w:rsidR="00FB1A55" w:rsidRDefault="00000000">
      <w:r>
        <w:rPr>
          <w:color w:val="232323"/>
        </w:rPr>
        <w:t>The project will be considered successful when the final analysis and visual deliverables meet the following criteria:</w:t>
      </w:r>
    </w:p>
    <w:p w14:paraId="56AF1588" w14:textId="77777777" w:rsidR="00FB1A55" w:rsidRDefault="00000000">
      <w:pPr>
        <w:pStyle w:val="a0"/>
        <w:spacing w:after="40"/>
        <w:ind w:left="369" w:hanging="198"/>
      </w:pPr>
      <w:r>
        <w:rPr>
          <w:color w:val="232323"/>
        </w:rPr>
        <w:t>Derived values, joins, and calculations pass validation checks.</w:t>
      </w:r>
    </w:p>
    <w:p w14:paraId="15D9F75F" w14:textId="77777777" w:rsidR="00FB1A55" w:rsidRDefault="00000000">
      <w:pPr>
        <w:pStyle w:val="a0"/>
        <w:spacing w:after="40"/>
        <w:ind w:left="369" w:hanging="198"/>
      </w:pPr>
      <w:r>
        <w:rPr>
          <w:color w:val="232323"/>
        </w:rPr>
        <w:t>The two charts clearly address the research question and include written interpretation.</w:t>
      </w:r>
    </w:p>
    <w:p w14:paraId="65F3BFBE" w14:textId="77777777" w:rsidR="00FB1A55" w:rsidRDefault="00000000">
      <w:pPr>
        <w:pStyle w:val="a0"/>
        <w:spacing w:after="40"/>
        <w:ind w:left="369" w:hanging="198"/>
      </w:pPr>
      <w:r>
        <w:rPr>
          <w:color w:val="232323"/>
        </w:rPr>
        <w:t>The conclusion distinguishes association from causation and states the data limitation.</w:t>
      </w:r>
    </w:p>
    <w:p w14:paraId="530FB9C2" w14:textId="77777777" w:rsidR="00EF1F6A" w:rsidRDefault="00000000">
      <w:pPr>
        <w:pStyle w:val="21"/>
      </w:pPr>
      <w:r>
        <w:t>Evidence for Demonstrating Success</w:t>
      </w:r>
    </w:p>
    <w:p w14:paraId="1D562A3C" w14:textId="1356882F" w:rsidR="00EF1F6A" w:rsidRDefault="00000000">
      <w:pPr>
        <w:spacing w:after="80"/>
      </w:pPr>
      <w:r>
        <w:rPr>
          <w:color w:val="232323"/>
        </w:rPr>
        <w:t xml:space="preserve">To demonstrate these criteria, I will use the following analysis checklist. </w:t>
      </w:r>
      <w:bookmarkStart w:id="0" w:name="OLE_LINK1"/>
    </w:p>
    <w:tbl>
      <w:tblPr>
        <w:tblW w:w="0" w:type="auto"/>
        <w:jc w:val="center"/>
        <w:tblLayout w:type="fixed"/>
        <w:tblLook w:val="04A0" w:firstRow="1" w:lastRow="0" w:firstColumn="1" w:lastColumn="0" w:noHBand="0" w:noVBand="1"/>
      </w:tblPr>
      <w:tblGrid>
        <w:gridCol w:w="2381"/>
        <w:gridCol w:w="7483"/>
      </w:tblGrid>
      <w:tr w:rsidR="00EF1F6A" w14:paraId="7D1F724F" w14:textId="77777777">
        <w:trPr>
          <w:cantSplit/>
          <w:jc w:val="center"/>
        </w:trPr>
        <w:tc>
          <w:tcPr>
            <w:tcW w:w="2381" w:type="dxa"/>
            <w:tcBorders>
              <w:top w:val="single" w:sz="4" w:space="0" w:color="B7C9E2"/>
              <w:left w:val="single" w:sz="4" w:space="0" w:color="B7C9E2"/>
              <w:bottom w:val="single" w:sz="4" w:space="0" w:color="B7C9E2"/>
              <w:right w:val="single" w:sz="4" w:space="0" w:color="B7C9E2"/>
            </w:tcBorders>
            <w:shd w:val="clear" w:color="auto" w:fill="DCE6F1"/>
            <w:tcMar>
              <w:top w:w="55" w:type="dxa"/>
              <w:left w:w="90" w:type="dxa"/>
              <w:bottom w:w="55" w:type="dxa"/>
              <w:right w:w="90" w:type="dxa"/>
            </w:tcMar>
            <w:vAlign w:val="center"/>
          </w:tcPr>
          <w:bookmarkEnd w:id="0"/>
          <w:p w14:paraId="0D9F02B6" w14:textId="77777777" w:rsidR="00EF1F6A" w:rsidRDefault="00000000">
            <w:pPr>
              <w:spacing w:after="0" w:line="240" w:lineRule="auto"/>
            </w:pPr>
            <w:r>
              <w:rPr>
                <w:b/>
                <w:color w:val="232323"/>
                <w:sz w:val="17"/>
              </w:rPr>
              <w:t>Check</w:t>
            </w:r>
          </w:p>
        </w:tc>
        <w:tc>
          <w:tcPr>
            <w:tcW w:w="7483" w:type="dxa"/>
            <w:tcBorders>
              <w:top w:val="single" w:sz="4" w:space="0" w:color="B7C9E2"/>
              <w:left w:val="single" w:sz="4" w:space="0" w:color="B7C9E2"/>
              <w:bottom w:val="single" w:sz="4" w:space="0" w:color="B7C9E2"/>
              <w:right w:val="single" w:sz="4" w:space="0" w:color="B7C9E2"/>
            </w:tcBorders>
            <w:shd w:val="clear" w:color="auto" w:fill="DCE6F1"/>
            <w:tcMar>
              <w:top w:w="55" w:type="dxa"/>
              <w:left w:w="90" w:type="dxa"/>
              <w:bottom w:w="55" w:type="dxa"/>
              <w:right w:w="90" w:type="dxa"/>
            </w:tcMar>
            <w:vAlign w:val="center"/>
          </w:tcPr>
          <w:p w14:paraId="2837BB76" w14:textId="77777777" w:rsidR="00EF1F6A" w:rsidRDefault="00000000">
            <w:pPr>
              <w:spacing w:after="0" w:line="240" w:lineRule="auto"/>
            </w:pPr>
            <w:r>
              <w:rPr>
                <w:b/>
                <w:color w:val="232323"/>
                <w:sz w:val="17"/>
              </w:rPr>
              <w:t>Evidence and pass condition</w:t>
            </w:r>
          </w:p>
        </w:tc>
      </w:tr>
      <w:tr w:rsidR="00EF1F6A" w14:paraId="160E2B48" w14:textId="77777777">
        <w:trPr>
          <w:cantSplit/>
          <w:jc w:val="center"/>
        </w:trPr>
        <w:tc>
          <w:tcPr>
            <w:tcW w:w="2381" w:type="dxa"/>
            <w:tcBorders>
              <w:top w:val="single" w:sz="4" w:space="0" w:color="B7C9E2"/>
              <w:left w:val="single" w:sz="4" w:space="0" w:color="B7C9E2"/>
              <w:bottom w:val="single" w:sz="4" w:space="0" w:color="B7C9E2"/>
              <w:right w:val="single" w:sz="4" w:space="0" w:color="B7C9E2"/>
            </w:tcBorders>
            <w:tcMar>
              <w:top w:w="55" w:type="dxa"/>
              <w:left w:w="90" w:type="dxa"/>
              <w:bottom w:w="55" w:type="dxa"/>
              <w:right w:w="90" w:type="dxa"/>
            </w:tcMar>
            <w:vAlign w:val="center"/>
          </w:tcPr>
          <w:p w14:paraId="3A7135BD" w14:textId="77777777" w:rsidR="00EF1F6A" w:rsidRDefault="00000000">
            <w:pPr>
              <w:spacing w:after="0" w:line="240" w:lineRule="auto"/>
            </w:pPr>
            <w:r>
              <w:rPr>
                <w:b/>
                <w:color w:val="232323"/>
                <w:sz w:val="17"/>
              </w:rPr>
              <w:t>Data access and filtering</w:t>
            </w:r>
          </w:p>
        </w:tc>
        <w:tc>
          <w:tcPr>
            <w:tcW w:w="7483" w:type="dxa"/>
            <w:tcBorders>
              <w:top w:val="single" w:sz="4" w:space="0" w:color="B7C9E2"/>
              <w:left w:val="single" w:sz="4" w:space="0" w:color="B7C9E2"/>
              <w:bottom w:val="single" w:sz="4" w:space="0" w:color="B7C9E2"/>
              <w:right w:val="single" w:sz="4" w:space="0" w:color="B7C9E2"/>
            </w:tcBorders>
            <w:tcMar>
              <w:top w:w="55" w:type="dxa"/>
              <w:left w:w="90" w:type="dxa"/>
              <w:bottom w:w="55" w:type="dxa"/>
              <w:right w:w="90" w:type="dxa"/>
            </w:tcMar>
            <w:vAlign w:val="center"/>
          </w:tcPr>
          <w:p w14:paraId="24276303" w14:textId="77777777" w:rsidR="00EF1F6A" w:rsidRDefault="00000000">
            <w:pPr>
              <w:spacing w:after="0" w:line="240" w:lineRule="auto"/>
            </w:pPr>
            <w:r>
              <w:rPr>
                <w:color w:val="232323"/>
                <w:sz w:val="17"/>
              </w:rPr>
              <w:t>All four CSV files load successfully; aggregate rows beginning with OWID_ or UN_ are excluded; only valid three-letter ISO country codes remain.</w:t>
            </w:r>
          </w:p>
        </w:tc>
      </w:tr>
      <w:tr w:rsidR="00EF1F6A" w14:paraId="519D6C8A" w14:textId="77777777">
        <w:trPr>
          <w:cantSplit/>
          <w:jc w:val="center"/>
        </w:trPr>
        <w:tc>
          <w:tcPr>
            <w:tcW w:w="2381" w:type="dxa"/>
            <w:tcBorders>
              <w:top w:val="single" w:sz="4" w:space="0" w:color="B7C9E2"/>
              <w:left w:val="single" w:sz="4" w:space="0" w:color="B7C9E2"/>
              <w:bottom w:val="single" w:sz="4" w:space="0" w:color="B7C9E2"/>
              <w:right w:val="single" w:sz="4" w:space="0" w:color="B7C9E2"/>
            </w:tcBorders>
            <w:tcMar>
              <w:top w:w="55" w:type="dxa"/>
              <w:left w:w="90" w:type="dxa"/>
              <w:bottom w:w="55" w:type="dxa"/>
              <w:right w:w="90" w:type="dxa"/>
            </w:tcMar>
            <w:vAlign w:val="center"/>
          </w:tcPr>
          <w:p w14:paraId="389F1DAF" w14:textId="77777777" w:rsidR="00EF1F6A" w:rsidRDefault="00000000">
            <w:pPr>
              <w:spacing w:after="0" w:line="240" w:lineRule="auto"/>
            </w:pPr>
            <w:r>
              <w:rPr>
                <w:b/>
                <w:color w:val="232323"/>
                <w:sz w:val="17"/>
              </w:rPr>
              <w:t>Merge integrity</w:t>
            </w:r>
          </w:p>
        </w:tc>
        <w:tc>
          <w:tcPr>
            <w:tcW w:w="7483" w:type="dxa"/>
            <w:tcBorders>
              <w:top w:val="single" w:sz="4" w:space="0" w:color="B7C9E2"/>
              <w:left w:val="single" w:sz="4" w:space="0" w:color="B7C9E2"/>
              <w:bottom w:val="single" w:sz="4" w:space="0" w:color="B7C9E2"/>
              <w:right w:val="single" w:sz="4" w:space="0" w:color="B7C9E2"/>
            </w:tcBorders>
            <w:tcMar>
              <w:top w:w="55" w:type="dxa"/>
              <w:left w:w="90" w:type="dxa"/>
              <w:bottom w:w="55" w:type="dxa"/>
              <w:right w:w="90" w:type="dxa"/>
            </w:tcMar>
            <w:vAlign w:val="center"/>
          </w:tcPr>
          <w:p w14:paraId="4B4282B6" w14:textId="77777777" w:rsidR="00EF1F6A" w:rsidRDefault="00000000">
            <w:pPr>
              <w:spacing w:after="0" w:line="240" w:lineRule="auto"/>
            </w:pPr>
            <w:r>
              <w:rPr>
                <w:color w:val="232323"/>
                <w:sz w:val="17"/>
              </w:rPr>
              <w:t>The stroke-rate and death-count tables merge on Code and Year; 4,268 rows are preserved and no missing values are introduced.</w:t>
            </w:r>
          </w:p>
        </w:tc>
      </w:tr>
      <w:tr w:rsidR="00EF1F6A" w14:paraId="2F6417AC" w14:textId="77777777">
        <w:trPr>
          <w:cantSplit/>
          <w:jc w:val="center"/>
        </w:trPr>
        <w:tc>
          <w:tcPr>
            <w:tcW w:w="2381" w:type="dxa"/>
            <w:tcBorders>
              <w:top w:val="single" w:sz="4" w:space="0" w:color="B7C9E2"/>
              <w:left w:val="single" w:sz="4" w:space="0" w:color="B7C9E2"/>
              <w:bottom w:val="single" w:sz="4" w:space="0" w:color="B7C9E2"/>
              <w:right w:val="single" w:sz="4" w:space="0" w:color="B7C9E2"/>
            </w:tcBorders>
            <w:tcMar>
              <w:top w:w="55" w:type="dxa"/>
              <w:left w:w="90" w:type="dxa"/>
              <w:bottom w:w="55" w:type="dxa"/>
              <w:right w:w="90" w:type="dxa"/>
            </w:tcMar>
            <w:vAlign w:val="center"/>
          </w:tcPr>
          <w:p w14:paraId="1F59BD9B" w14:textId="77777777" w:rsidR="00EF1F6A" w:rsidRDefault="00000000">
            <w:pPr>
              <w:spacing w:after="0" w:line="240" w:lineRule="auto"/>
            </w:pPr>
            <w:r>
              <w:rPr>
                <w:b/>
                <w:color w:val="232323"/>
                <w:sz w:val="17"/>
              </w:rPr>
              <w:t>Derived-rate check</w:t>
            </w:r>
          </w:p>
        </w:tc>
        <w:tc>
          <w:tcPr>
            <w:tcW w:w="7483" w:type="dxa"/>
            <w:tcBorders>
              <w:top w:val="single" w:sz="4" w:space="0" w:color="B7C9E2"/>
              <w:left w:val="single" w:sz="4" w:space="0" w:color="B7C9E2"/>
              <w:bottom w:val="single" w:sz="4" w:space="0" w:color="B7C9E2"/>
              <w:right w:val="single" w:sz="4" w:space="0" w:color="B7C9E2"/>
            </w:tcBorders>
            <w:tcMar>
              <w:top w:w="55" w:type="dxa"/>
              <w:left w:w="90" w:type="dxa"/>
              <w:bottom w:w="55" w:type="dxa"/>
              <w:right w:w="90" w:type="dxa"/>
            </w:tcMar>
            <w:vAlign w:val="center"/>
          </w:tcPr>
          <w:p w14:paraId="50CBA41F" w14:textId="77777777" w:rsidR="00EF1F6A" w:rsidRDefault="00000000">
            <w:pPr>
              <w:spacing w:after="0" w:line="240" w:lineRule="auto"/>
            </w:pPr>
            <w:r>
              <w:rPr>
                <w:color w:val="232323"/>
                <w:sz w:val="17"/>
              </w:rPr>
              <w:t>crude_rate = stroke_deaths / Population x 100,000; reconstructed deaths match the reported counts within numerical tolerance.</w:t>
            </w:r>
          </w:p>
        </w:tc>
      </w:tr>
      <w:tr w:rsidR="00EF1F6A" w14:paraId="31AB077A" w14:textId="77777777">
        <w:trPr>
          <w:cantSplit/>
          <w:jc w:val="center"/>
        </w:trPr>
        <w:tc>
          <w:tcPr>
            <w:tcW w:w="2381" w:type="dxa"/>
            <w:tcBorders>
              <w:top w:val="single" w:sz="4" w:space="0" w:color="B7C9E2"/>
              <w:left w:val="single" w:sz="4" w:space="0" w:color="B7C9E2"/>
              <w:bottom w:val="single" w:sz="4" w:space="0" w:color="B7C9E2"/>
              <w:right w:val="single" w:sz="4" w:space="0" w:color="B7C9E2"/>
            </w:tcBorders>
            <w:tcMar>
              <w:top w:w="55" w:type="dxa"/>
              <w:left w:w="90" w:type="dxa"/>
              <w:bottom w:w="55" w:type="dxa"/>
              <w:right w:w="90" w:type="dxa"/>
            </w:tcMar>
            <w:vAlign w:val="center"/>
          </w:tcPr>
          <w:p w14:paraId="2DECF63B" w14:textId="77777777" w:rsidR="00EF1F6A" w:rsidRDefault="00000000">
            <w:pPr>
              <w:spacing w:after="0" w:line="240" w:lineRule="auto"/>
            </w:pPr>
            <w:r>
              <w:rPr>
                <w:b/>
                <w:color w:val="232323"/>
                <w:sz w:val="17"/>
              </w:rPr>
              <w:t>Key results</w:t>
            </w:r>
          </w:p>
        </w:tc>
        <w:tc>
          <w:tcPr>
            <w:tcW w:w="7483" w:type="dxa"/>
            <w:tcBorders>
              <w:top w:val="single" w:sz="4" w:space="0" w:color="B7C9E2"/>
              <w:left w:val="single" w:sz="4" w:space="0" w:color="B7C9E2"/>
              <w:bottom w:val="single" w:sz="4" w:space="0" w:color="B7C9E2"/>
              <w:right w:val="single" w:sz="4" w:space="0" w:color="B7C9E2"/>
            </w:tcBorders>
            <w:tcMar>
              <w:top w:w="55" w:type="dxa"/>
              <w:left w:w="90" w:type="dxa"/>
              <w:bottom w:w="55" w:type="dxa"/>
              <w:right w:w="90" w:type="dxa"/>
            </w:tcMar>
            <w:vAlign w:val="center"/>
          </w:tcPr>
          <w:p w14:paraId="76AEF99E" w14:textId="77777777" w:rsidR="00EF1F6A" w:rsidRDefault="00000000">
            <w:pPr>
              <w:spacing w:after="0" w:line="240" w:lineRule="auto"/>
            </w:pPr>
            <w:r>
              <w:rPr>
                <w:color w:val="232323"/>
                <w:sz w:val="17"/>
              </w:rPr>
              <w:t>The 2000-2021 comparison reports a 37.2% fall in the age-standardised rate, a 33.6% rise in total deaths, 12.4% population growth, and an 18.9% rise in the crude rate.</w:t>
            </w:r>
          </w:p>
        </w:tc>
      </w:tr>
      <w:tr w:rsidR="00EF1F6A" w14:paraId="02D8391A" w14:textId="77777777">
        <w:trPr>
          <w:cantSplit/>
          <w:jc w:val="center"/>
        </w:trPr>
        <w:tc>
          <w:tcPr>
            <w:tcW w:w="2381" w:type="dxa"/>
            <w:tcBorders>
              <w:top w:val="single" w:sz="4" w:space="0" w:color="B7C9E2"/>
              <w:left w:val="single" w:sz="4" w:space="0" w:color="B7C9E2"/>
              <w:bottom w:val="single" w:sz="4" w:space="0" w:color="B7C9E2"/>
              <w:right w:val="single" w:sz="4" w:space="0" w:color="B7C9E2"/>
            </w:tcBorders>
            <w:tcMar>
              <w:top w:w="55" w:type="dxa"/>
              <w:left w:w="90" w:type="dxa"/>
              <w:bottom w:w="55" w:type="dxa"/>
              <w:right w:w="90" w:type="dxa"/>
            </w:tcMar>
            <w:vAlign w:val="center"/>
          </w:tcPr>
          <w:p w14:paraId="094AAE83" w14:textId="77777777" w:rsidR="00EF1F6A" w:rsidRDefault="00000000">
            <w:pPr>
              <w:spacing w:after="0" w:line="240" w:lineRule="auto"/>
            </w:pPr>
            <w:r>
              <w:rPr>
                <w:b/>
                <w:color w:val="232323"/>
                <w:sz w:val="17"/>
              </w:rPr>
              <w:t>Demographic evidence</w:t>
            </w:r>
          </w:p>
        </w:tc>
        <w:tc>
          <w:tcPr>
            <w:tcW w:w="7483" w:type="dxa"/>
            <w:tcBorders>
              <w:top w:val="single" w:sz="4" w:space="0" w:color="B7C9E2"/>
              <w:left w:val="single" w:sz="4" w:space="0" w:color="B7C9E2"/>
              <w:bottom w:val="single" w:sz="4" w:space="0" w:color="B7C9E2"/>
              <w:right w:val="single" w:sz="4" w:space="0" w:color="B7C9E2"/>
            </w:tcBorders>
            <w:tcMar>
              <w:top w:w="55" w:type="dxa"/>
              <w:left w:w="90" w:type="dxa"/>
              <w:bottom w:w="55" w:type="dxa"/>
              <w:right w:w="90" w:type="dxa"/>
            </w:tcMar>
            <w:vAlign w:val="center"/>
          </w:tcPr>
          <w:p w14:paraId="11158D3E" w14:textId="77777777" w:rsidR="00EF1F6A" w:rsidRDefault="00000000">
            <w:pPr>
              <w:spacing w:after="0" w:line="240" w:lineRule="auto"/>
            </w:pPr>
            <w:r>
              <w:rPr>
                <w:color w:val="232323"/>
                <w:sz w:val="17"/>
              </w:rPr>
              <w:t>The 65+ population grows by 111.4% and is used as contextual evidence for ageing, not as a formal causal decomposition.</w:t>
            </w:r>
          </w:p>
        </w:tc>
      </w:tr>
      <w:tr w:rsidR="00EF1F6A" w14:paraId="00B72B49" w14:textId="77777777">
        <w:trPr>
          <w:cantSplit/>
          <w:jc w:val="center"/>
        </w:trPr>
        <w:tc>
          <w:tcPr>
            <w:tcW w:w="2381" w:type="dxa"/>
            <w:tcBorders>
              <w:top w:val="single" w:sz="4" w:space="0" w:color="B7C9E2"/>
              <w:left w:val="single" w:sz="4" w:space="0" w:color="B7C9E2"/>
              <w:bottom w:val="single" w:sz="4" w:space="0" w:color="B7C9E2"/>
              <w:right w:val="single" w:sz="4" w:space="0" w:color="B7C9E2"/>
            </w:tcBorders>
            <w:tcMar>
              <w:top w:w="55" w:type="dxa"/>
              <w:left w:w="90" w:type="dxa"/>
              <w:bottom w:w="55" w:type="dxa"/>
              <w:right w:w="90" w:type="dxa"/>
            </w:tcMar>
            <w:vAlign w:val="center"/>
          </w:tcPr>
          <w:p w14:paraId="3C13490D" w14:textId="77777777" w:rsidR="00EF1F6A" w:rsidRDefault="00000000">
            <w:pPr>
              <w:spacing w:after="0" w:line="240" w:lineRule="auto"/>
            </w:pPr>
            <w:r>
              <w:rPr>
                <w:b/>
                <w:color w:val="232323"/>
                <w:sz w:val="17"/>
              </w:rPr>
              <w:t>Visual accuracy</w:t>
            </w:r>
          </w:p>
        </w:tc>
        <w:tc>
          <w:tcPr>
            <w:tcW w:w="7483" w:type="dxa"/>
            <w:tcBorders>
              <w:top w:val="single" w:sz="4" w:space="0" w:color="B7C9E2"/>
              <w:left w:val="single" w:sz="4" w:space="0" w:color="B7C9E2"/>
              <w:bottom w:val="single" w:sz="4" w:space="0" w:color="B7C9E2"/>
              <w:right w:val="single" w:sz="4" w:space="0" w:color="B7C9E2"/>
            </w:tcBorders>
            <w:tcMar>
              <w:top w:w="55" w:type="dxa"/>
              <w:left w:w="90" w:type="dxa"/>
              <w:bottom w:w="55" w:type="dxa"/>
              <w:right w:w="90" w:type="dxa"/>
            </w:tcMar>
            <w:vAlign w:val="center"/>
          </w:tcPr>
          <w:p w14:paraId="4AE650D0" w14:textId="77777777" w:rsidR="00EF1F6A" w:rsidRDefault="00000000">
            <w:pPr>
              <w:spacing w:after="0" w:line="240" w:lineRule="auto"/>
            </w:pPr>
            <w:r>
              <w:rPr>
                <w:color w:val="232323"/>
                <w:sz w:val="17"/>
              </w:rPr>
              <w:t>Both charts use the intended years and age groups, and their plotted values, axis labels, and units match the verified tables.</w:t>
            </w:r>
          </w:p>
        </w:tc>
      </w:tr>
      <w:tr w:rsidR="00EF1F6A" w14:paraId="1D69A553" w14:textId="77777777">
        <w:trPr>
          <w:cantSplit/>
          <w:jc w:val="center"/>
        </w:trPr>
        <w:tc>
          <w:tcPr>
            <w:tcW w:w="2381" w:type="dxa"/>
            <w:tcBorders>
              <w:top w:val="single" w:sz="4" w:space="0" w:color="B7C9E2"/>
              <w:left w:val="single" w:sz="4" w:space="0" w:color="B7C9E2"/>
              <w:bottom w:val="single" w:sz="4" w:space="0" w:color="B7C9E2"/>
              <w:right w:val="single" w:sz="4" w:space="0" w:color="B7C9E2"/>
            </w:tcBorders>
            <w:tcMar>
              <w:top w:w="55" w:type="dxa"/>
              <w:left w:w="90" w:type="dxa"/>
              <w:bottom w:w="55" w:type="dxa"/>
              <w:right w:w="90" w:type="dxa"/>
            </w:tcMar>
            <w:vAlign w:val="center"/>
          </w:tcPr>
          <w:p w14:paraId="0E043C54" w14:textId="77777777" w:rsidR="00EF1F6A" w:rsidRDefault="00000000">
            <w:pPr>
              <w:spacing w:after="0" w:line="240" w:lineRule="auto"/>
            </w:pPr>
            <w:r>
              <w:rPr>
                <w:b/>
                <w:color w:val="232323"/>
                <w:sz w:val="17"/>
              </w:rPr>
              <w:t>Interpretation and limitation</w:t>
            </w:r>
          </w:p>
        </w:tc>
        <w:tc>
          <w:tcPr>
            <w:tcW w:w="7483" w:type="dxa"/>
            <w:tcBorders>
              <w:top w:val="single" w:sz="4" w:space="0" w:color="B7C9E2"/>
              <w:left w:val="single" w:sz="4" w:space="0" w:color="B7C9E2"/>
              <w:bottom w:val="single" w:sz="4" w:space="0" w:color="B7C9E2"/>
              <w:right w:val="single" w:sz="4" w:space="0" w:color="B7C9E2"/>
            </w:tcBorders>
            <w:tcMar>
              <w:top w:w="55" w:type="dxa"/>
              <w:left w:w="90" w:type="dxa"/>
              <w:bottom w:w="55" w:type="dxa"/>
              <w:right w:w="90" w:type="dxa"/>
            </w:tcMar>
            <w:vAlign w:val="center"/>
          </w:tcPr>
          <w:p w14:paraId="538B2DD2" w14:textId="77777777" w:rsidR="00EF1F6A" w:rsidRDefault="00000000">
            <w:pPr>
              <w:spacing w:after="0" w:line="240" w:lineRule="auto"/>
            </w:pPr>
            <w:r>
              <w:rPr>
                <w:color w:val="232323"/>
                <w:sz w:val="17"/>
              </w:rPr>
              <w:t>The narrative distinguishes individual risk from total burden, avoids causal overclaiming, and states that age-specific death counts are unavailable.</w:t>
            </w:r>
          </w:p>
        </w:tc>
      </w:tr>
    </w:tbl>
    <w:p w14:paraId="78F81CA4" w14:textId="77777777" w:rsidR="00FB1A55" w:rsidRDefault="00000000">
      <w:pPr>
        <w:pStyle w:val="1"/>
      </w:pPr>
      <w:r>
        <w:lastRenderedPageBreak/>
        <w:t>Collaboration Issues</w:t>
      </w:r>
    </w:p>
    <w:p w14:paraId="39CD8624" w14:textId="1450A21A" w:rsidR="00A363A5" w:rsidRPr="00A363A5" w:rsidRDefault="00A363A5" w:rsidP="00A363A5">
      <w:pPr>
        <w:spacing w:after="80"/>
        <w:rPr>
          <w:color w:val="232323"/>
        </w:rPr>
      </w:pPr>
      <w:r w:rsidRPr="00A363A5">
        <w:rPr>
          <w:color w:val="232323"/>
        </w:rPr>
        <w:t xml:space="preserve">This project was completed independently by me. I independently determined the research topic, identified and screened suitable datasets, selected the analytical and </w:t>
      </w:r>
      <w:proofErr w:type="spellStart"/>
      <w:r w:rsidRPr="00A363A5">
        <w:rPr>
          <w:color w:val="232323"/>
        </w:rPr>
        <w:t>visualisation</w:t>
      </w:r>
      <w:proofErr w:type="spellEnd"/>
      <w:r w:rsidRPr="00A363A5">
        <w:rPr>
          <w:color w:val="232323"/>
        </w:rPr>
        <w:t xml:space="preserve"> methods, wrote and revised all the Python code, and prepared and proofread the final documents.</w:t>
      </w:r>
    </w:p>
    <w:p w14:paraId="1C9FDE89" w14:textId="77777777" w:rsidR="00A363A5" w:rsidRPr="00A363A5" w:rsidRDefault="00A363A5" w:rsidP="00A363A5">
      <w:pPr>
        <w:spacing w:after="80"/>
        <w:rPr>
          <w:color w:val="232323"/>
        </w:rPr>
      </w:pPr>
      <w:r w:rsidRPr="00A363A5">
        <w:rPr>
          <w:color w:val="232323"/>
        </w:rPr>
        <w:t>Because this was an individual project, there was no division of work, no group ground rules, and no team roles such as project coordinator, project scribe, project progress tracker, or project liaison.</w:t>
      </w:r>
    </w:p>
    <w:p w14:paraId="70BED04F" w14:textId="3C28DDE0" w:rsidR="00FB1A55" w:rsidRDefault="00A363A5" w:rsidP="00A363A5">
      <w:pPr>
        <w:spacing w:after="80"/>
      </w:pPr>
      <w:r w:rsidRPr="00A363A5">
        <w:rPr>
          <w:color w:val="232323"/>
        </w:rPr>
        <w:t xml:space="preserve">I was responsible for the complete project workflow. </w:t>
      </w:r>
      <w:proofErr w:type="gramStart"/>
      <w:r w:rsidRPr="00A363A5">
        <w:rPr>
          <w:color w:val="232323"/>
        </w:rPr>
        <w:t>In particular, I</w:t>
      </w:r>
      <w:proofErr w:type="gramEnd"/>
      <w:r w:rsidRPr="00A363A5">
        <w:rPr>
          <w:color w:val="232323"/>
        </w:rPr>
        <w:t xml:space="preserve"> maintained the work schedule, documented my analytical decisions, tracked progress, and reviewed both the code and final outputs before submission.</w:t>
      </w:r>
    </w:p>
    <w:p w14:paraId="634A5B83" w14:textId="77777777" w:rsidR="00FB1A55" w:rsidRDefault="00000000">
      <w:pPr>
        <w:pStyle w:val="1"/>
      </w:pPr>
      <w:r>
        <w:t>References</w:t>
      </w:r>
    </w:p>
    <w:p w14:paraId="36A59153" w14:textId="77777777" w:rsidR="00FB1A55" w:rsidRDefault="00000000">
      <w:pPr>
        <w:ind w:left="369" w:hanging="369"/>
      </w:pPr>
      <w:r>
        <w:rPr>
          <w:color w:val="232323"/>
          <w:sz w:val="19"/>
        </w:rPr>
        <w:t xml:space="preserve">World Health Organization. (2024). </w:t>
      </w:r>
      <w:r>
        <w:rPr>
          <w:i/>
          <w:color w:val="232323"/>
          <w:sz w:val="19"/>
        </w:rPr>
        <w:t>Global Health Estimates 2021: Deaths by cause, age, sex, by country and by region, 2000-2021</w:t>
      </w:r>
      <w:r>
        <w:rPr>
          <w:color w:val="232323"/>
          <w:sz w:val="19"/>
        </w:rPr>
        <w:t xml:space="preserve">. Distributed by Our World in Data. </w:t>
      </w:r>
      <w:hyperlink r:id="rId14">
        <w:r w:rsidR="00FB1A55">
          <w:rPr>
            <w:color w:val="1F4E79"/>
            <w:sz w:val="18"/>
            <w:u w:val="single"/>
          </w:rPr>
          <w:t>https://ourworldindata.org/grapher/deaths-from-strokes-ghe</w:t>
        </w:r>
      </w:hyperlink>
    </w:p>
    <w:p w14:paraId="08C4E3BD" w14:textId="77777777" w:rsidR="00FB1A55" w:rsidRDefault="00000000">
      <w:pPr>
        <w:ind w:left="369" w:hanging="369"/>
      </w:pPr>
      <w:r>
        <w:rPr>
          <w:color w:val="232323"/>
          <w:sz w:val="19"/>
        </w:rPr>
        <w:t xml:space="preserve">United Nations, Department of Economic and Social Affairs, Population Division. (2024). </w:t>
      </w:r>
      <w:r>
        <w:rPr>
          <w:i/>
          <w:color w:val="232323"/>
          <w:sz w:val="19"/>
        </w:rPr>
        <w:t>World Population Prospects 2024: Total population and population by age group</w:t>
      </w:r>
      <w:r>
        <w:rPr>
          <w:color w:val="232323"/>
          <w:sz w:val="19"/>
        </w:rPr>
        <w:t xml:space="preserve">. Distributed by Our World in Data. </w:t>
      </w:r>
      <w:hyperlink r:id="rId15">
        <w:r w:rsidR="00FB1A55">
          <w:rPr>
            <w:color w:val="1F4E79"/>
            <w:sz w:val="18"/>
            <w:u w:val="single"/>
          </w:rPr>
          <w:t>https://ourworldindata.org/grapher/population</w:t>
        </w:r>
      </w:hyperlink>
      <w:r>
        <w:rPr>
          <w:color w:val="232323"/>
          <w:sz w:val="19"/>
        </w:rPr>
        <w:t xml:space="preserve"> and </w:t>
      </w:r>
      <w:hyperlink r:id="rId16">
        <w:r w:rsidR="00FB1A55">
          <w:rPr>
            <w:color w:val="1F4E79"/>
            <w:sz w:val="18"/>
            <w:u w:val="single"/>
          </w:rPr>
          <w:t>https://ourworldindata.org/grapher/population-by-age-group</w:t>
        </w:r>
      </w:hyperlink>
    </w:p>
    <w:sectPr w:rsidR="00FB1A55" w:rsidSect="00034616">
      <w:headerReference w:type="default" r:id="rId17"/>
      <w:footerReference w:type="default" r:id="rId18"/>
      <w:headerReference w:type="first" r:id="rId19"/>
      <w:footerReference w:type="first" r:id="rId20"/>
      <w:pgSz w:w="11906" w:h="16838"/>
      <w:pgMar w:top="850" w:right="1020" w:bottom="850" w:left="1020"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944492" w14:textId="77777777" w:rsidR="00E231D0" w:rsidRDefault="00E231D0">
      <w:pPr>
        <w:spacing w:after="0" w:line="240" w:lineRule="auto"/>
      </w:pPr>
      <w:r>
        <w:separator/>
      </w:r>
    </w:p>
  </w:endnote>
  <w:endnote w:type="continuationSeparator" w:id="0">
    <w:p w14:paraId="7140AC32" w14:textId="77777777" w:rsidR="00E231D0" w:rsidRDefault="00E231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1177F" w14:textId="77777777" w:rsidR="00FB1A55" w:rsidRDefault="00000000">
    <w:pPr>
      <w:pStyle w:val="a7"/>
      <w:tabs>
        <w:tab w:val="right" w:pos="9638"/>
      </w:tabs>
    </w:pPr>
    <w:r>
      <w:rPr>
        <w:color w:val="595959"/>
        <w:sz w:val="16"/>
      </w:rPr>
      <w:t>Stroke Burden in China, 2000-2021</w:t>
    </w:r>
    <w:r>
      <w:rPr>
        <w:color w:val="595959"/>
        <w:sz w:val="16"/>
      </w:rPr>
      <w:tab/>
      <w:t xml:space="preserve">Page </w:t>
    </w:r>
    <w:r>
      <w:rPr>
        <w:color w:val="595959"/>
        <w:sz w:val="16"/>
      </w:rPr>
      <w:fldChar w:fldCharType="begin"/>
    </w:r>
    <w:r>
      <w:rPr>
        <w:color w:val="595959"/>
        <w:sz w:val="16"/>
      </w:rPr>
      <w:instrText xml:space="preserve"> PAGE </w:instrText>
    </w:r>
    <w:r>
      <w:rPr>
        <w:color w:val="595959"/>
        <w:sz w:val="16"/>
      </w:rPr>
      <w:fldChar w:fldCharType="separate"/>
    </w:r>
    <w:r w:rsidR="00ED32A6">
      <w:rPr>
        <w:noProof/>
        <w:color w:val="595959"/>
        <w:sz w:val="16"/>
      </w:rPr>
      <w:t>2</w:t>
    </w:r>
    <w:r>
      <w:rPr>
        <w:color w:val="595959"/>
        <w:sz w:val="16"/>
      </w:rPr>
      <w:fldChar w:fldCharType="end"/>
    </w:r>
    <w:r>
      <w:rPr>
        <w:color w:val="595959"/>
        <w:sz w:val="16"/>
      </w:rPr>
      <w:t xml:space="preserve"> of </w:t>
    </w:r>
    <w:r>
      <w:rPr>
        <w:color w:val="595959"/>
        <w:sz w:val="16"/>
      </w:rPr>
      <w:fldChar w:fldCharType="begin"/>
    </w:r>
    <w:r>
      <w:rPr>
        <w:color w:val="595959"/>
        <w:sz w:val="16"/>
      </w:rPr>
      <w:instrText xml:space="preserve"> NUMPAGES </w:instrText>
    </w:r>
    <w:r>
      <w:rPr>
        <w:color w:val="595959"/>
        <w:sz w:val="16"/>
      </w:rPr>
      <w:fldChar w:fldCharType="separate"/>
    </w:r>
    <w:r w:rsidR="00ED32A6">
      <w:rPr>
        <w:noProof/>
        <w:color w:val="595959"/>
        <w:sz w:val="16"/>
      </w:rPr>
      <w:t>3</w:t>
    </w:r>
    <w:r>
      <w:rPr>
        <w:color w:val="595959"/>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4D59C" w14:textId="77777777" w:rsidR="00EF1F6A" w:rsidRDefault="00EF1F6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49FBFC" w14:textId="77777777" w:rsidR="00E231D0" w:rsidRDefault="00E231D0">
      <w:pPr>
        <w:spacing w:after="0" w:line="240" w:lineRule="auto"/>
      </w:pPr>
      <w:r>
        <w:separator/>
      </w:r>
    </w:p>
  </w:footnote>
  <w:footnote w:type="continuationSeparator" w:id="0">
    <w:p w14:paraId="135CE1B3" w14:textId="77777777" w:rsidR="00E231D0" w:rsidRDefault="00E231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49D86" w14:textId="77777777" w:rsidR="00FB1A55" w:rsidRDefault="00000000">
    <w:pPr>
      <w:pStyle w:val="a5"/>
      <w:jc w:val="right"/>
    </w:pPr>
    <w:r>
      <w:rPr>
        <w:color w:val="595959"/>
        <w:sz w:val="16"/>
      </w:rPr>
      <w:t>CISC7204 Assignment 01 | Preliminary Project Proposal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46EAC" w14:textId="77777777" w:rsidR="00EF1F6A" w:rsidRDefault="00EF1F6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106683543">
    <w:abstractNumId w:val="8"/>
  </w:num>
  <w:num w:numId="2" w16cid:durableId="1580020425">
    <w:abstractNumId w:val="6"/>
  </w:num>
  <w:num w:numId="3" w16cid:durableId="1085687711">
    <w:abstractNumId w:val="5"/>
  </w:num>
  <w:num w:numId="4" w16cid:durableId="601649786">
    <w:abstractNumId w:val="4"/>
  </w:num>
  <w:num w:numId="5" w16cid:durableId="233050020">
    <w:abstractNumId w:val="7"/>
  </w:num>
  <w:num w:numId="6" w16cid:durableId="450439350">
    <w:abstractNumId w:val="3"/>
  </w:num>
  <w:num w:numId="7" w16cid:durableId="291987610">
    <w:abstractNumId w:val="2"/>
  </w:num>
  <w:num w:numId="8" w16cid:durableId="51540121">
    <w:abstractNumId w:val="1"/>
  </w:num>
  <w:num w:numId="9" w16cid:durableId="1175723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760C"/>
    <w:rsid w:val="00135D5E"/>
    <w:rsid w:val="0015074B"/>
    <w:rsid w:val="001D3AD7"/>
    <w:rsid w:val="00211692"/>
    <w:rsid w:val="0029639D"/>
    <w:rsid w:val="00326F90"/>
    <w:rsid w:val="005528BC"/>
    <w:rsid w:val="006B71B5"/>
    <w:rsid w:val="00A363A5"/>
    <w:rsid w:val="00AA1D8D"/>
    <w:rsid w:val="00B47730"/>
    <w:rsid w:val="00BD3107"/>
    <w:rsid w:val="00CB0664"/>
    <w:rsid w:val="00E231D0"/>
    <w:rsid w:val="00E57B07"/>
    <w:rsid w:val="00ED32A6"/>
    <w:rsid w:val="00EF1F6A"/>
    <w:rsid w:val="00FB1A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4332AE4"/>
  <w14:defaultImageDpi w14:val="300"/>
  <w15:docId w15:val="{35B8ABCE-6E45-4F35-AD2A-7B2223F60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70" w:line="254" w:lineRule="auto"/>
    </w:pPr>
    <w:rPr>
      <w:rFonts w:ascii="Aptos" w:eastAsia="Aptos" w:hAnsi="Aptos"/>
      <w:sz w:val="21"/>
    </w:rPr>
  </w:style>
  <w:style w:type="paragraph" w:styleId="1">
    <w:name w:val="heading 1"/>
    <w:basedOn w:val="a1"/>
    <w:next w:val="a1"/>
    <w:link w:val="10"/>
    <w:uiPriority w:val="9"/>
    <w:qFormat/>
    <w:rsid w:val="00FC693F"/>
    <w:pPr>
      <w:keepNext/>
      <w:keepLines/>
      <w:spacing w:before="200" w:after="60"/>
      <w:outlineLvl w:val="0"/>
    </w:pPr>
    <w:rPr>
      <w:rFonts w:asciiTheme="majorHAnsi" w:eastAsiaTheme="majorEastAsia" w:hAnsiTheme="majorHAnsi" w:cstheme="majorBidi"/>
      <w:b/>
      <w:bCs/>
      <w:color w:val="1F4E79"/>
      <w:sz w:val="30"/>
      <w:szCs w:val="28"/>
    </w:rPr>
  </w:style>
  <w:style w:type="paragraph" w:styleId="21">
    <w:name w:val="heading 2"/>
    <w:basedOn w:val="a1"/>
    <w:next w:val="a1"/>
    <w:link w:val="22"/>
    <w:uiPriority w:val="9"/>
    <w:unhideWhenUsed/>
    <w:qFormat/>
    <w:rsid w:val="00FC693F"/>
    <w:pPr>
      <w:keepNext/>
      <w:keepLines/>
      <w:spacing w:before="120" w:after="40"/>
      <w:outlineLvl w:val="1"/>
    </w:pPr>
    <w:rPr>
      <w:rFonts w:asciiTheme="majorHAnsi" w:eastAsiaTheme="majorEastAsia" w:hAnsiTheme="majorHAnsi" w:cstheme="majorBidi"/>
      <w:b/>
      <w:bCs/>
      <w:color w:val="2E74B5"/>
      <w:sz w:val="23"/>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ourworldindata.org/grapher/deaths-from-strokes-ghe" TargetMode="External"/><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ourworldindata.org/grapher/population-by-age-group"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urworldindata.org/grapher/population-by-age-group" TargetMode="External"/><Relationship Id="rId5" Type="http://schemas.openxmlformats.org/officeDocument/2006/relationships/webSettings" Target="webSettings.xml"/><Relationship Id="rId15" Type="http://schemas.openxmlformats.org/officeDocument/2006/relationships/hyperlink" Target="https://ourworldindata.org/grapher/population" TargetMode="External"/><Relationship Id="rId10" Type="http://schemas.openxmlformats.org/officeDocument/2006/relationships/hyperlink" Target="https://ourworldindata.org/grapher/population" TargetMode="Externa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ourworldindata.org/grapher/deaths-from-strokes-ghe" TargetMode="External"/><Relationship Id="rId14" Type="http://schemas.openxmlformats.org/officeDocument/2006/relationships/hyperlink" Target="https://ourworldindata.org/grapher/deaths-from-strokes-ghe"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5</Pages>
  <Words>1521</Words>
  <Characters>8826</Characters>
  <Application>Microsoft Office Word</Application>
  <DocSecurity>0</DocSecurity>
  <Lines>200</Lines>
  <Paragraphs>154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More Deaths Despite Lower Risk</dc:title>
  <dc:subject>CISC7204 Preliminary Project Proposal</dc:subject>
  <dc:creator/>
  <cp:keywords>CISC7204, data visualisation, stroke, China, ageing</cp:keywords>
  <dc:description>Individual project version for Li Tianhao.</dc:description>
  <cp:lastModifiedBy>天浩 李</cp:lastModifiedBy>
  <cp:revision>5</cp:revision>
  <dcterms:created xsi:type="dcterms:W3CDTF">2013-12-23T23:15:00Z</dcterms:created>
  <dcterms:modified xsi:type="dcterms:W3CDTF">2026-09-19T02:13:00Z</dcterms:modified>
  <cp:category/>
</cp:coreProperties>
</file>