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jc w:val="center"/>
        <w:rPr>
          <w:rFonts w:ascii="Google Sans" w:cs="Google Sans" w:eastAsia="Google Sans" w:hAnsi="Google Sans"/>
          <w:sz w:val="24"/>
          <w:szCs w:val="24"/>
        </w:rPr>
      </w:pPr>
      <w:bookmarkStart w:colFirst="0" w:colLast="0" w:name="_87tykp1u0l36" w:id="0"/>
      <w:bookmarkEnd w:id="0"/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Modelo de lista de verificación de controles y cumplimiento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Google Sans" w:cs="Google Sans" w:eastAsia="Google Sans" w:hAnsi="Google Sans"/>
          <w:i w:val="1"/>
          <w:sz w:val="24"/>
          <w:szCs w:val="24"/>
        </w:rPr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Seleccione “sí” o “no” para responder la pregunta: </w:t>
      </w:r>
      <w:r w:rsidDel="00000000" w:rsidR="00000000" w:rsidRPr="00000000">
        <w:rPr>
          <w:rFonts w:ascii="Google Sans" w:cs="Google Sans" w:eastAsia="Google Sans" w:hAnsi="Google Sans"/>
          <w:i w:val="1"/>
          <w:sz w:val="24"/>
          <w:szCs w:val="24"/>
          <w:rtl w:val="0"/>
        </w:rPr>
        <w:t xml:space="preserve">¿Botium Toys cuenta actualmente con este control?</w:t>
      </w:r>
    </w:p>
    <w:p w:rsidR="00000000" w:rsidDel="00000000" w:rsidP="00000000" w:rsidRDefault="00000000" w:rsidRPr="00000000" w14:paraId="00000004">
      <w:pPr>
        <w:rPr>
          <w:rFonts w:ascii="Google Sans" w:cs="Google Sans" w:eastAsia="Google Sans" w:hAnsi="Google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Google Sans" w:cs="Google Sans" w:eastAsia="Google Sans" w:hAnsi="Google Sans"/>
          <w:sz w:val="26"/>
          <w:szCs w:val="26"/>
        </w:rPr>
      </w:pPr>
      <w:r w:rsidDel="00000000" w:rsidR="00000000" w:rsidRPr="00000000">
        <w:rPr>
          <w:rFonts w:ascii="Google Sans" w:cs="Google Sans" w:eastAsia="Google Sans" w:hAnsi="Google Sans"/>
          <w:b w:val="1"/>
          <w:sz w:val="24"/>
          <w:szCs w:val="24"/>
          <w:rtl w:val="0"/>
        </w:rPr>
        <w:t xml:space="preserve">Lista de verificación de evaluación de controles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8895.0" w:type="dxa"/>
        <w:jc w:val="left"/>
        <w:tblBorders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insideH w:color="ffffff" w:space="0" w:sz="8" w:val="single"/>
          <w:insideV w:color="ffffff" w:space="0" w:sz="8" w:val="single"/>
        </w:tblBorders>
        <w:tblLayout w:type="fixed"/>
        <w:tblLook w:val="0600"/>
      </w:tblPr>
      <w:tblGrid>
        <w:gridCol w:w="900"/>
        <w:gridCol w:w="945"/>
        <w:gridCol w:w="3525"/>
        <w:gridCol w:w="3525"/>
        <w:tblGridChange w:id="0">
          <w:tblGrid>
            <w:gridCol w:w="900"/>
            <w:gridCol w:w="945"/>
            <w:gridCol w:w="3525"/>
            <w:gridCol w:w="352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widowControl w:val="0"/>
              <w:spacing w:line="240" w:lineRule="auto"/>
              <w:jc w:val="right"/>
              <w:rPr>
                <w:rFonts w:ascii="Google Sans" w:cs="Google Sans" w:eastAsia="Google Sans" w:hAnsi="Google Sans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sz w:val="24"/>
                <w:szCs w:val="24"/>
                <w:rtl w:val="0"/>
              </w:rPr>
              <w:t xml:space="preserve">  Sí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widowControl w:val="0"/>
              <w:spacing w:line="240" w:lineRule="auto"/>
              <w:jc w:val="center"/>
              <w:rPr>
                <w:rFonts w:ascii="Google Sans" w:cs="Google Sans" w:eastAsia="Google Sans" w:hAnsi="Google Sans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sz w:val="24"/>
                <w:szCs w:val="24"/>
                <w:rtl w:val="0"/>
              </w:rPr>
              <w:t xml:space="preserve">    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sz w:val="24"/>
                <w:szCs w:val="24"/>
                <w:rtl w:val="0"/>
              </w:rPr>
              <w:t xml:space="preserve">Control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b w:val="1"/>
                <w:i w:val="1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i w:val="1"/>
                <w:sz w:val="24"/>
                <w:szCs w:val="24"/>
                <w:rtl w:val="0"/>
              </w:rPr>
              <w:t xml:space="preserve">Explicación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widowControl w:val="0"/>
              <w:numPr>
                <w:ilvl w:val="0"/>
                <w:numId w:val="13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strike w:val="1"/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i w:val="1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rtl w:val="0"/>
              </w:rPr>
              <w:t xml:space="preserve">Mínimo privilegio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i w:val="1"/>
                <w:sz w:val="24"/>
                <w:szCs w:val="24"/>
                <w:rtl w:val="0"/>
              </w:rPr>
              <w:t xml:space="preserve">Actualmente, todos los empleados tienen acceso a los datos de los clientes; Los privilegios deben limitarse para reducir el riesgo de una infracción.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widowControl w:val="0"/>
              <w:numPr>
                <w:ilvl w:val="0"/>
                <w:numId w:val="20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widowControl w:val="0"/>
              <w:numPr>
                <w:ilvl w:val="0"/>
                <w:numId w:val="19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strike w:val="1"/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rtl w:val="0"/>
              </w:rPr>
              <w:t xml:space="preserve">Planes de recuperación de desastres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>
                <w:rFonts w:ascii="Google Sans" w:cs="Google Sans" w:eastAsia="Google Sans" w:hAnsi="Google Sans"/>
                <w:i w:val="1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i w:val="1"/>
                <w:sz w:val="24"/>
                <w:szCs w:val="24"/>
                <w:rtl w:val="0"/>
              </w:rPr>
              <w:t xml:space="preserve">No existen planes de recuperación ante desastres. Estos deben implementarse para garantizar la continuidad del negocio.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widowControl w:val="0"/>
              <w:numPr>
                <w:ilvl w:val="0"/>
                <w:numId w:val="15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widowControl w:val="0"/>
              <w:numPr>
                <w:ilvl w:val="0"/>
                <w:numId w:val="8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strike w:val="1"/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rtl w:val="0"/>
              </w:rPr>
              <w:t xml:space="preserve">Políticas de contraseña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i w:val="1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i w:val="1"/>
                <w:sz w:val="24"/>
                <w:szCs w:val="24"/>
                <w:rtl w:val="0"/>
              </w:rPr>
              <w:t xml:space="preserve">Los requisitos de contraseña de los empleados son mínimos, lo que podría permitir que un actor de amenazas acceda más fácilmente a datos seguros/otros activos a través del equipo de trabajo de los empleados/la red interna.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widowControl w:val="0"/>
              <w:numPr>
                <w:ilvl w:val="0"/>
                <w:numId w:val="2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widowControl w:val="0"/>
              <w:numPr>
                <w:ilvl w:val="0"/>
                <w:numId w:val="12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strike w:val="1"/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rtl w:val="0"/>
              </w:rPr>
              <w:t xml:space="preserve">Separación de deberes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i w:val="1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i w:val="1"/>
                <w:sz w:val="24"/>
                <w:szCs w:val="24"/>
                <w:rtl w:val="0"/>
              </w:rPr>
              <w:t xml:space="preserve">Debe implementarse para reducir la posibilidad de fraude/acceso a datos críticos, ya que el director ejecutivo de la empresa actualmente dirige las operaciones diarias y administra la nómina.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widowControl w:val="0"/>
              <w:numPr>
                <w:ilvl w:val="0"/>
                <w:numId w:val="11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strike w:val="1"/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widowControl w:val="0"/>
              <w:numPr>
                <w:ilvl w:val="0"/>
                <w:numId w:val="17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rtl w:val="0"/>
              </w:rPr>
              <w:t xml:space="preserve">Cortafuegos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i w:val="1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i w:val="1"/>
                <w:sz w:val="24"/>
                <w:szCs w:val="24"/>
                <w:rtl w:val="0"/>
              </w:rPr>
              <w:t xml:space="preserve">El firewall existente bloquea el tráfico basándose en un conjunto de reglas de seguridad adecuadamente definidas.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widowControl w:val="0"/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widowControl w:val="0"/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i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widowControl w:val="0"/>
              <w:numPr>
                <w:ilvl w:val="0"/>
                <w:numId w:val="18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widowControl w:val="0"/>
              <w:numPr>
                <w:ilvl w:val="0"/>
                <w:numId w:val="4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strike w:val="1"/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rtl w:val="0"/>
              </w:rPr>
              <w:t xml:space="preserve">Sistema de detección de intrusos (IDS)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i w:val="1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i w:val="1"/>
                <w:sz w:val="24"/>
                <w:szCs w:val="24"/>
                <w:rtl w:val="0"/>
              </w:rPr>
              <w:t xml:space="preserve">El departamento de TI necesita un IDS para ayudar a identificar posibles intrusiones por parte de actores de amenazas.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widowControl w:val="0"/>
              <w:numPr>
                <w:ilvl w:val="0"/>
                <w:numId w:val="3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widowControl w:val="0"/>
              <w:numPr>
                <w:ilvl w:val="0"/>
                <w:numId w:val="14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strike w:val="1"/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rtl w:val="0"/>
              </w:rPr>
              <w:t xml:space="preserve">Copias de seguridad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i w:val="1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i w:val="1"/>
                <w:sz w:val="24"/>
                <w:szCs w:val="24"/>
                <w:rtl w:val="0"/>
              </w:rPr>
              <w:t xml:space="preserve">El departamento de TI necesita tener copias de seguridad de los datos críticos, en caso de una infracción, para garantizar la continuidad del negocio.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widowControl w:val="0"/>
              <w:numPr>
                <w:ilvl w:val="0"/>
                <w:numId w:val="6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strike w:val="1"/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widowControl w:val="0"/>
              <w:numPr>
                <w:ilvl w:val="0"/>
                <w:numId w:val="16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rtl w:val="0"/>
              </w:rPr>
              <w:t xml:space="preserve">software antivirus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i w:val="1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i w:val="1"/>
                <w:sz w:val="24"/>
                <w:szCs w:val="24"/>
                <w:rtl w:val="0"/>
              </w:rPr>
              <w:t xml:space="preserve">El departamento de TI instala y supervisa periódicamente el software antivirus.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widowControl w:val="0"/>
              <w:numPr>
                <w:ilvl w:val="0"/>
                <w:numId w:val="10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widowControl w:val="0"/>
              <w:numPr>
                <w:ilvl w:val="0"/>
                <w:numId w:val="5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strike w:val="1"/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rtl w:val="0"/>
              </w:rPr>
              <w:t xml:space="preserve">Monitoreo, mantenimiento e intervención manuales para sistemas heredados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i w:val="1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i w:val="1"/>
                <w:sz w:val="24"/>
                <w:szCs w:val="24"/>
                <w:rtl w:val="0"/>
              </w:rPr>
              <w:t xml:space="preserve">La lista de activos señala el uso de sistemas heredados. La evaluación de riesgos indica que estos sistemas son monitoreados y mantenidos, pero no existe un cronograma regular para esta tarea y los procedimientos/políticas relacionadas con la intervención no están claros, lo que podría poner a estos sistemas en riesgo de sufrir una violación.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widowControl w:val="0"/>
              <w:numPr>
                <w:ilvl w:val="0"/>
                <w:numId w:val="13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strike w:val="1"/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rtl w:val="0"/>
              </w:rPr>
              <w:t xml:space="preserve">Cifrado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i w:val="1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i w:val="1"/>
                <w:sz w:val="24"/>
                <w:szCs w:val="24"/>
                <w:rtl w:val="0"/>
              </w:rPr>
              <w:t xml:space="preserve">Actualmente no se utiliza cifrado; implementarlo proporcionaría una mayor confidencialidad de la información sensible.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widowControl w:val="0"/>
              <w:numPr>
                <w:ilvl w:val="0"/>
                <w:numId w:val="20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widowControl w:val="0"/>
              <w:numPr>
                <w:ilvl w:val="0"/>
                <w:numId w:val="19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strike w:val="1"/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rtl w:val="0"/>
              </w:rPr>
              <w:t xml:space="preserve">Sistema de gestión de contraseñas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i w:val="1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i w:val="1"/>
                <w:sz w:val="24"/>
                <w:szCs w:val="24"/>
                <w:rtl w:val="0"/>
              </w:rPr>
              <w:t xml:space="preserve">Actualmente no existe ningún sistema de gestión de contraseñas; La implementación de este control mejoraría la productividad del departamento de TI y de otros empleados en caso de problemas con las contraseñas.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widowControl w:val="0"/>
              <w:numPr>
                <w:ilvl w:val="0"/>
                <w:numId w:val="7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strike w:val="1"/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widowControl w:val="0"/>
              <w:numPr>
                <w:ilvl w:val="0"/>
                <w:numId w:val="9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rtl w:val="0"/>
              </w:rPr>
              <w:t xml:space="preserve">Cerraduras (oficinas, escaparate, almacén)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i w:val="1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i w:val="1"/>
                <w:sz w:val="24"/>
                <w:szCs w:val="24"/>
                <w:rtl w:val="0"/>
              </w:rPr>
              <w:t xml:space="preserve">La ubicación física de la tienda, que incluye las oficinas principales de la empresa, el frente de la tienda y el almacén de productos, cuenta con cerraduras suficientes.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widowControl w:val="0"/>
              <w:numPr>
                <w:ilvl w:val="0"/>
                <w:numId w:val="15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strike w:val="1"/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widowControl w:val="0"/>
              <w:numPr>
                <w:ilvl w:val="0"/>
                <w:numId w:val="8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rtl w:val="0"/>
              </w:rPr>
              <w:t xml:space="preserve">Vigilancia por circuito cerrado de televisión (CCTV)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i w:val="1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i w:val="1"/>
                <w:sz w:val="24"/>
                <w:szCs w:val="24"/>
                <w:rtl w:val="0"/>
              </w:rPr>
              <w:t xml:space="preserve">CCTV está instalado/funcionando en la ubicación física de la tienda.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widowControl w:val="0"/>
              <w:numPr>
                <w:ilvl w:val="0"/>
                <w:numId w:val="7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strike w:val="1"/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widowControl w:val="0"/>
              <w:numPr>
                <w:ilvl w:val="0"/>
                <w:numId w:val="9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rtl w:val="0"/>
              </w:rPr>
              <w:t xml:space="preserve">Detección/prevención de incendios (alarma de incendios, sistema de rociadores, etc.)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i w:val="1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i w:val="1"/>
                <w:sz w:val="24"/>
                <w:szCs w:val="24"/>
                <w:rtl w:val="0"/>
              </w:rPr>
              <w:t xml:space="preserve">La ubicación física de Botium Toys cuenta con un sistema de detección y prevención de incendios en funcionamiento.</w:t>
            </w:r>
          </w:p>
        </w:tc>
      </w:tr>
    </w:tbl>
    <w:p w:rsidR="00000000" w:rsidDel="00000000" w:rsidP="00000000" w:rsidRDefault="00000000" w:rsidRPr="00000000" w14:paraId="00000047">
      <w:pPr>
        <w:rPr>
          <w:rFonts w:ascii="Google Sans" w:cs="Google Sans" w:eastAsia="Google Sans" w:hAnsi="Google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rFonts w:ascii="Google Sans" w:cs="Google Sans" w:eastAsia="Google Sans" w:hAnsi="Google Sans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rFonts w:ascii="Google Sans" w:cs="Google Sans" w:eastAsia="Google Sans" w:hAnsi="Google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rFonts w:ascii="Google Sans" w:cs="Google Sans" w:eastAsia="Google Sans" w:hAnsi="Google Sans"/>
          <w:b w:val="1"/>
          <w:sz w:val="24"/>
          <w:szCs w:val="24"/>
        </w:rPr>
      </w:pPr>
      <w:r w:rsidDel="00000000" w:rsidR="00000000" w:rsidRPr="00000000">
        <w:rPr>
          <w:rFonts w:ascii="Google Sans" w:cs="Google Sans" w:eastAsia="Google Sans" w:hAnsi="Google Sans"/>
          <w:b w:val="1"/>
          <w:sz w:val="24"/>
          <w:szCs w:val="24"/>
          <w:rtl w:val="0"/>
        </w:rPr>
        <w:t xml:space="preserve">Lista de verificación de cumplimiento</w:t>
      </w:r>
    </w:p>
    <w:p w:rsidR="00000000" w:rsidDel="00000000" w:rsidP="00000000" w:rsidRDefault="00000000" w:rsidRPr="00000000" w14:paraId="0000004B">
      <w:pPr>
        <w:rPr>
          <w:rFonts w:ascii="Google Sans" w:cs="Google Sans" w:eastAsia="Google Sans" w:hAnsi="Google Sans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rFonts w:ascii="Google Sans" w:cs="Google Sans" w:eastAsia="Google Sans" w:hAnsi="Google Sans"/>
          <w:b w:val="1"/>
          <w:i w:val="1"/>
          <w:sz w:val="24"/>
          <w:szCs w:val="24"/>
        </w:rPr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Seleccione “sí” o “no” para responder la pregunta: </w:t>
      </w:r>
      <w:r w:rsidDel="00000000" w:rsidR="00000000" w:rsidRPr="00000000">
        <w:rPr>
          <w:rFonts w:ascii="Google Sans" w:cs="Google Sans" w:eastAsia="Google Sans" w:hAnsi="Google Sans"/>
          <w:i w:val="1"/>
          <w:sz w:val="24"/>
          <w:szCs w:val="24"/>
          <w:rtl w:val="0"/>
        </w:rPr>
        <w:t xml:space="preserve">¿Botium Toys cumple actualmente con estas mejores prácticas de cumplimiento?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>
          <w:rFonts w:ascii="Google Sans" w:cs="Google Sans" w:eastAsia="Google Sans" w:hAnsi="Google Sans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200" w:line="360" w:lineRule="auto"/>
        <w:rPr>
          <w:rFonts w:ascii="Google Sans" w:cs="Google Sans" w:eastAsia="Google Sans" w:hAnsi="Google Sans"/>
          <w:sz w:val="24"/>
          <w:szCs w:val="24"/>
          <w:u w:val="single"/>
        </w:rPr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u w:val="single"/>
          <w:rtl w:val="0"/>
        </w:rPr>
        <w:t xml:space="preserve">Estándar de seguridad de datos de la industria de tarjetas de pago (PCI DSS)</w:t>
      </w:r>
    </w:p>
    <w:tbl>
      <w:tblPr>
        <w:tblStyle w:val="Table2"/>
        <w:tblW w:w="9345.0" w:type="dxa"/>
        <w:jc w:val="left"/>
        <w:tblBorders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insideH w:color="ffffff" w:space="0" w:sz="8" w:val="single"/>
          <w:insideV w:color="ffffff" w:space="0" w:sz="8" w:val="single"/>
        </w:tblBorders>
        <w:tblLayout w:type="fixed"/>
        <w:tblLook w:val="0600"/>
      </w:tblPr>
      <w:tblGrid>
        <w:gridCol w:w="780"/>
        <w:gridCol w:w="915"/>
        <w:gridCol w:w="3750"/>
        <w:gridCol w:w="3900"/>
        <w:tblGridChange w:id="0">
          <w:tblGrid>
            <w:gridCol w:w="780"/>
            <w:gridCol w:w="915"/>
            <w:gridCol w:w="3750"/>
            <w:gridCol w:w="390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widowControl w:val="0"/>
              <w:spacing w:line="240" w:lineRule="auto"/>
              <w:jc w:val="right"/>
              <w:rPr>
                <w:rFonts w:ascii="Google Sans" w:cs="Google Sans" w:eastAsia="Google Sans" w:hAnsi="Google Sans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sz w:val="24"/>
                <w:szCs w:val="24"/>
                <w:rtl w:val="0"/>
              </w:rPr>
              <w:t xml:space="preserve">Sí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widowControl w:val="0"/>
              <w:spacing w:line="240" w:lineRule="auto"/>
              <w:jc w:val="center"/>
              <w:rPr>
                <w:rFonts w:ascii="Google Sans" w:cs="Google Sans" w:eastAsia="Google Sans" w:hAnsi="Google Sans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sz w:val="24"/>
                <w:szCs w:val="24"/>
                <w:rtl w:val="0"/>
              </w:rPr>
              <w:t xml:space="preserve">    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sz w:val="24"/>
                <w:szCs w:val="24"/>
                <w:rtl w:val="0"/>
              </w:rPr>
              <w:t xml:space="preserve">Mejores prácticas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b w:val="1"/>
                <w:i w:val="1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i w:val="1"/>
                <w:sz w:val="24"/>
                <w:szCs w:val="24"/>
                <w:rtl w:val="0"/>
              </w:rPr>
              <w:t xml:space="preserve">Explicación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widowControl w:val="0"/>
              <w:numPr>
                <w:ilvl w:val="0"/>
                <w:numId w:val="13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strike w:val="1"/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rtl w:val="0"/>
              </w:rPr>
              <w:t xml:space="preserve">Sólo los usuarios autorizados tienen acceso a la información de la tarjeta de crédito de los clientes.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rPr>
                <w:rFonts w:ascii="Google Sans" w:cs="Google Sans" w:eastAsia="Google Sans" w:hAnsi="Google Sans"/>
                <w:i w:val="1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i w:val="1"/>
                <w:sz w:val="24"/>
                <w:szCs w:val="24"/>
                <w:rtl w:val="0"/>
              </w:rPr>
              <w:t xml:space="preserve">Actualmente, todos los empleados tienen acceso a los datos internos de la empresa.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widowControl w:val="0"/>
              <w:numPr>
                <w:ilvl w:val="0"/>
                <w:numId w:val="20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widowControl w:val="0"/>
              <w:numPr>
                <w:ilvl w:val="0"/>
                <w:numId w:val="19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strike w:val="1"/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rtl w:val="0"/>
              </w:rPr>
              <w:t xml:space="preserve">La información de la tarjeta de crédito se acepta, procesa, transmite y almacena internamente, en un entorno seguro.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i w:val="1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i w:val="1"/>
                <w:sz w:val="24"/>
                <w:szCs w:val="24"/>
                <w:rtl w:val="0"/>
              </w:rPr>
              <w:t xml:space="preserve">La información de la tarjeta de crédito no está cifrada y actualmente todos los empleados tienen acceso a los datos internos, incluida la información de la tarjeta de crédito de los clientes.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widowControl w:val="0"/>
              <w:numPr>
                <w:ilvl w:val="0"/>
                <w:numId w:val="15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widowControl w:val="0"/>
              <w:numPr>
                <w:ilvl w:val="0"/>
                <w:numId w:val="8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strike w:val="1"/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sz w:val="24"/>
                <w:szCs w:val="24"/>
                <w:highlight w:val="yellow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rtl w:val="0"/>
              </w:rPr>
              <w:t xml:space="preserve">Implemente procedimientos de cifrado de datos para proteger mejor los datos y los puntos de contacto de las transacciones con tarjetas de crédito.</w:t>
            </w: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highlight w:val="yellow"/>
                <w:rtl w:val="0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i w:val="1"/>
                <w:sz w:val="24"/>
                <w:szCs w:val="24"/>
                <w:rtl w:val="0"/>
              </w:rPr>
              <w:t xml:space="preserve">Actualmente, la empresa no utiliza cifrado para garantizar mejor la confidencialidad de la información financiera de los clientes.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widowControl w:val="0"/>
              <w:numPr>
                <w:ilvl w:val="0"/>
                <w:numId w:val="2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widowControl w:val="0"/>
              <w:numPr>
                <w:ilvl w:val="0"/>
                <w:numId w:val="12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strike w:val="1"/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rtl w:val="0"/>
              </w:rPr>
              <w:t xml:space="preserve">Adopte políticas seguras de gestión de contraseñas.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i w:val="1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i w:val="1"/>
                <w:sz w:val="24"/>
                <w:szCs w:val="24"/>
                <w:rtl w:val="0"/>
              </w:rPr>
              <w:t xml:space="preserve">Las políticas de contraseñas son nominales y actualmente no existe ningún sistema de administración de contraseñas.</w:t>
            </w:r>
          </w:p>
        </w:tc>
      </w:tr>
    </w:tbl>
    <w:p w:rsidR="00000000" w:rsidDel="00000000" w:rsidP="00000000" w:rsidRDefault="00000000" w:rsidRPr="00000000" w14:paraId="00000063">
      <w:pPr>
        <w:rPr>
          <w:rFonts w:ascii="Google Sans" w:cs="Google Sans" w:eastAsia="Google Sans" w:hAnsi="Google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>
          <w:rFonts w:ascii="Google Sans" w:cs="Google Sans" w:eastAsia="Google Sans" w:hAnsi="Google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after="200" w:line="360" w:lineRule="auto"/>
        <w:rPr>
          <w:rFonts w:ascii="Google Sans" w:cs="Google Sans" w:eastAsia="Google Sans" w:hAnsi="Google Sans"/>
          <w:sz w:val="24"/>
          <w:szCs w:val="24"/>
          <w:u w:val="single"/>
        </w:rPr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u w:val="single"/>
          <w:rtl w:val="0"/>
        </w:rPr>
        <w:t xml:space="preserve">Reglamento General de Protección de Datos (GDPR)</w:t>
      </w:r>
    </w:p>
    <w:tbl>
      <w:tblPr>
        <w:tblStyle w:val="Table3"/>
        <w:tblW w:w="9480.0" w:type="dxa"/>
        <w:jc w:val="left"/>
        <w:tblBorders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insideH w:color="ffffff" w:space="0" w:sz="8" w:val="single"/>
          <w:insideV w:color="ffffff" w:space="0" w:sz="8" w:val="single"/>
        </w:tblBorders>
        <w:tblLayout w:type="fixed"/>
        <w:tblLook w:val="0600"/>
      </w:tblPr>
      <w:tblGrid>
        <w:gridCol w:w="900"/>
        <w:gridCol w:w="945"/>
        <w:gridCol w:w="3615"/>
        <w:gridCol w:w="4020"/>
        <w:tblGridChange w:id="0">
          <w:tblGrid>
            <w:gridCol w:w="900"/>
            <w:gridCol w:w="945"/>
            <w:gridCol w:w="3615"/>
            <w:gridCol w:w="402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widowControl w:val="0"/>
              <w:spacing w:line="240" w:lineRule="auto"/>
              <w:jc w:val="right"/>
              <w:rPr>
                <w:rFonts w:ascii="Google Sans" w:cs="Google Sans" w:eastAsia="Google Sans" w:hAnsi="Google Sans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sz w:val="24"/>
                <w:szCs w:val="24"/>
                <w:rtl w:val="0"/>
              </w:rPr>
              <w:t xml:space="preserve">Sí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widowControl w:val="0"/>
              <w:spacing w:line="240" w:lineRule="auto"/>
              <w:jc w:val="center"/>
              <w:rPr>
                <w:rFonts w:ascii="Google Sans" w:cs="Google Sans" w:eastAsia="Google Sans" w:hAnsi="Google Sans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sz w:val="24"/>
                <w:szCs w:val="24"/>
                <w:rtl w:val="0"/>
              </w:rPr>
              <w:t xml:space="preserve">    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sz w:val="24"/>
                <w:szCs w:val="24"/>
                <w:rtl w:val="0"/>
              </w:rPr>
              <w:t xml:space="preserve">Mejores prácticas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i w:val="1"/>
                <w:sz w:val="24"/>
                <w:szCs w:val="24"/>
                <w:rtl w:val="0"/>
              </w:rPr>
              <w:t xml:space="preserve">Explicación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widowControl w:val="0"/>
              <w:numPr>
                <w:ilvl w:val="0"/>
                <w:numId w:val="13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strike w:val="1"/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rtl w:val="0"/>
              </w:rPr>
              <w:t xml:space="preserve">UE. Los datos de los clientes se mantienen privados/seguros.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i w:val="1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i w:val="1"/>
                <w:sz w:val="24"/>
                <w:szCs w:val="24"/>
                <w:rtl w:val="0"/>
              </w:rPr>
              <w:t xml:space="preserve">Actualmente, la empresa no utiliza cifrado para garantizar mejor la confidencialidad de la información financiera de los clientes.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widowControl w:val="0"/>
              <w:numPr>
                <w:ilvl w:val="0"/>
                <w:numId w:val="20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strike w:val="1"/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widowControl w:val="0"/>
              <w:numPr>
                <w:ilvl w:val="0"/>
                <w:numId w:val="19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rtl w:val="0"/>
              </w:rPr>
              <w:t xml:space="preserve">Existe un plan para notificar a la UE. clientes dentro de las 72 horas si sus datos se ven comprometidos/hay una violación.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i w:val="1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i w:val="1"/>
                <w:sz w:val="24"/>
                <w:szCs w:val="24"/>
                <w:rtl w:val="0"/>
              </w:rPr>
              <w:t xml:space="preserve">Existe un plan para notificar a la UE. clientes dentro de las 72 horas posteriores a una violación de datos.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widowControl w:val="0"/>
              <w:numPr>
                <w:ilvl w:val="0"/>
                <w:numId w:val="15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widowControl w:val="0"/>
              <w:numPr>
                <w:ilvl w:val="0"/>
                <w:numId w:val="8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strike w:val="1"/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rtl w:val="0"/>
              </w:rPr>
              <w:t xml:space="preserve">Asegúrese de que los datos estén clasificados e inventariados adecuadamente.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i w:val="1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i w:val="1"/>
                <w:sz w:val="24"/>
                <w:szCs w:val="24"/>
                <w:rtl w:val="0"/>
              </w:rPr>
              <w:t xml:space="preserve">Los activos corrientes han sido inventariados/cotizados, pero no clasificados.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widowControl w:val="0"/>
              <w:numPr>
                <w:ilvl w:val="0"/>
                <w:numId w:val="2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strike w:val="1"/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widowControl w:val="0"/>
              <w:numPr>
                <w:ilvl w:val="0"/>
                <w:numId w:val="12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rtl w:val="0"/>
              </w:rPr>
              <w:t xml:space="preserve">Hacer cumplir políticas, procedimientos y procesos de privacidad para documentar y mantener adecuadamente los datos.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i w:val="1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i w:val="1"/>
                <w:sz w:val="24"/>
                <w:szCs w:val="24"/>
                <w:rtl w:val="0"/>
              </w:rPr>
              <w:t xml:space="preserve">Se han desarrollado y aplicado políticas, procedimientos y procesos de privacidad entre los miembros del equipo de TI y otros empleados, según sea necesario.</w:t>
            </w:r>
          </w:p>
        </w:tc>
      </w:tr>
    </w:tbl>
    <w:p w:rsidR="00000000" w:rsidDel="00000000" w:rsidP="00000000" w:rsidRDefault="00000000" w:rsidRPr="00000000" w14:paraId="0000007A">
      <w:pPr>
        <w:rPr>
          <w:rFonts w:ascii="Google Sans" w:cs="Google Sans" w:eastAsia="Google Sans" w:hAnsi="Google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>
          <w:rFonts w:ascii="Google Sans" w:cs="Google Sans" w:eastAsia="Google Sans" w:hAnsi="Google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pacing w:after="200" w:line="360" w:lineRule="auto"/>
        <w:rPr>
          <w:rFonts w:ascii="Google Sans" w:cs="Google Sans" w:eastAsia="Google Sans" w:hAnsi="Google Sans"/>
          <w:sz w:val="24"/>
          <w:szCs w:val="24"/>
        </w:rPr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u w:val="single"/>
          <w:rtl w:val="0"/>
        </w:rPr>
        <w:t xml:space="preserve">Controles de sistemas y organizaciones (SOC tipo 1, SOC tipo 2)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 </w:t>
      </w:r>
    </w:p>
    <w:tbl>
      <w:tblPr>
        <w:tblStyle w:val="Table4"/>
        <w:tblW w:w="9135.0" w:type="dxa"/>
        <w:jc w:val="left"/>
        <w:tblBorders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insideH w:color="ffffff" w:space="0" w:sz="8" w:val="single"/>
          <w:insideV w:color="ffffff" w:space="0" w:sz="8" w:val="single"/>
        </w:tblBorders>
        <w:tblLayout w:type="fixed"/>
        <w:tblLook w:val="0600"/>
      </w:tblPr>
      <w:tblGrid>
        <w:gridCol w:w="930"/>
        <w:gridCol w:w="915"/>
        <w:gridCol w:w="3795"/>
        <w:gridCol w:w="3495"/>
        <w:tblGridChange w:id="0">
          <w:tblGrid>
            <w:gridCol w:w="930"/>
            <w:gridCol w:w="915"/>
            <w:gridCol w:w="3795"/>
            <w:gridCol w:w="349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widowControl w:val="0"/>
              <w:spacing w:line="240" w:lineRule="auto"/>
              <w:jc w:val="right"/>
              <w:rPr>
                <w:rFonts w:ascii="Google Sans" w:cs="Google Sans" w:eastAsia="Google Sans" w:hAnsi="Google Sans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sz w:val="24"/>
                <w:szCs w:val="24"/>
                <w:rtl w:val="0"/>
              </w:rPr>
              <w:t xml:space="preserve">Sí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widowControl w:val="0"/>
              <w:spacing w:line="240" w:lineRule="auto"/>
              <w:jc w:val="center"/>
              <w:rPr>
                <w:rFonts w:ascii="Google Sans" w:cs="Google Sans" w:eastAsia="Google Sans" w:hAnsi="Google Sans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sz w:val="24"/>
                <w:szCs w:val="24"/>
                <w:rtl w:val="0"/>
              </w:rPr>
              <w:t xml:space="preserve">    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sz w:val="24"/>
                <w:szCs w:val="24"/>
                <w:rtl w:val="0"/>
              </w:rPr>
              <w:t xml:space="preserve">Mejores prácticas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i w:val="1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i w:val="1"/>
                <w:sz w:val="24"/>
                <w:szCs w:val="24"/>
                <w:rtl w:val="0"/>
              </w:rPr>
              <w:t xml:space="preserve">Explicación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widowControl w:val="0"/>
              <w:numPr>
                <w:ilvl w:val="0"/>
                <w:numId w:val="13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strike w:val="1"/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rtl w:val="0"/>
              </w:rPr>
              <w:t xml:space="preserve">Se establecen políticas de acceso de usuarios.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rPr>
                <w:rFonts w:ascii="Google Sans" w:cs="Google Sans" w:eastAsia="Google Sans" w:hAnsi="Google Sans"/>
                <w:i w:val="1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i w:val="1"/>
                <w:sz w:val="24"/>
                <w:szCs w:val="24"/>
                <w:rtl w:val="0"/>
              </w:rPr>
              <w:t xml:space="preserve">Actualmente no existen controles de privilegios mínimos ni separación de funciones; todos los empleados tienen acceso a los datos almacenados internamente.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widowControl w:val="0"/>
              <w:numPr>
                <w:ilvl w:val="0"/>
                <w:numId w:val="20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widowControl w:val="0"/>
              <w:numPr>
                <w:ilvl w:val="0"/>
                <w:numId w:val="19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strike w:val="1"/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rtl w:val="0"/>
              </w:rPr>
              <w:t xml:space="preserve">Los datos confidenciales (PII/SPII) son confidenciales/privados.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i w:val="1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i w:val="1"/>
                <w:sz w:val="24"/>
                <w:szCs w:val="24"/>
                <w:rtl w:val="0"/>
              </w:rPr>
              <w:t xml:space="preserve">Actualmente no se utiliza el cifrado para garantizar mejor la confidencialidad de la PII/SPII.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widowControl w:val="0"/>
              <w:numPr>
                <w:ilvl w:val="0"/>
                <w:numId w:val="15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strike w:val="1"/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widowControl w:val="0"/>
              <w:numPr>
                <w:ilvl w:val="0"/>
                <w:numId w:val="8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rtl w:val="0"/>
              </w:rPr>
              <w:t xml:space="preserve">La integridad de los datos garantiza que los datos sean coherentes, completos, precisos y hayan sido validados.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i w:val="1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i w:val="1"/>
                <w:sz w:val="24"/>
                <w:szCs w:val="24"/>
                <w:rtl w:val="0"/>
              </w:rPr>
              <w:t xml:space="preserve">La integridad de los datos está vigente.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widowControl w:val="0"/>
              <w:numPr>
                <w:ilvl w:val="0"/>
                <w:numId w:val="2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widowControl w:val="0"/>
              <w:numPr>
                <w:ilvl w:val="0"/>
                <w:numId w:val="12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strike w:val="1"/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rtl w:val="0"/>
              </w:rPr>
              <w:t xml:space="preserve">Los datos están disponibles para las personas autorizadas a acceder a ellos.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i w:val="1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i w:val="1"/>
                <w:sz w:val="24"/>
                <w:szCs w:val="24"/>
                <w:rtl w:val="0"/>
              </w:rPr>
              <w:t xml:space="preserve">Si bien los datos están disponibles para todos los empleados, la autorización debe limitarse únicamente a las personas que necesitan acceder a ellos para realizar su trabajo.</w:t>
            </w:r>
          </w:p>
        </w:tc>
      </w:tr>
    </w:tbl>
    <w:p w:rsidR="00000000" w:rsidDel="00000000" w:rsidP="00000000" w:rsidRDefault="00000000" w:rsidRPr="00000000" w14:paraId="00000091">
      <w:pPr>
        <w:spacing w:after="200" w:line="360" w:lineRule="auto"/>
        <w:rPr>
          <w:rFonts w:ascii="Google Sans" w:cs="Google Sans" w:eastAsia="Google Sans" w:hAnsi="Google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spacing w:after="200" w:line="360" w:lineRule="auto"/>
        <w:rPr>
          <w:rFonts w:ascii="Google Sans" w:cs="Google Sans" w:eastAsia="Google Sans" w:hAnsi="Google Sans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spacing w:after="200" w:lineRule="auto"/>
        <w:rPr/>
      </w:pPr>
      <w:r w:rsidDel="00000000" w:rsidR="00000000" w:rsidRPr="00000000">
        <w:rPr>
          <w:rFonts w:ascii="Google Sans" w:cs="Google Sans" w:eastAsia="Google Sans" w:hAnsi="Google Sans"/>
          <w:b w:val="1"/>
          <w:sz w:val="24"/>
          <w:szCs w:val="24"/>
          <w:rtl w:val="0"/>
        </w:rPr>
        <w:t xml:space="preserve">Recomendaciones (opcional):  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En esta sección, proporcione recomendaciones relacionadas con controles y/o necesidades de cumplimiento que su gerente de TI podría comunicar a las partes interesadas para reducir los riesgos para los activos y mejorar la postura de seguridad de Botium Toys.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>
          <w:rFonts w:ascii="Google Sans" w:cs="Google Sans" w:eastAsia="Google Sans" w:hAnsi="Google Sans"/>
          <w:i w:val="1"/>
          <w:sz w:val="24"/>
          <w:szCs w:val="24"/>
        </w:rPr>
      </w:pPr>
      <w:r w:rsidDel="00000000" w:rsidR="00000000" w:rsidRPr="00000000">
        <w:rPr>
          <w:rFonts w:ascii="Google Sans" w:cs="Google Sans" w:eastAsia="Google Sans" w:hAnsi="Google Sans"/>
          <w:i w:val="1"/>
          <w:sz w:val="24"/>
          <w:szCs w:val="24"/>
          <w:rtl w:val="0"/>
        </w:rPr>
        <w:t xml:space="preserve">Es necesario implementar múltiples controles para mejorar la postura de seguridad de Botium Toys y garantizar mejor la confidencialidad de la información confidencial, incluidos: privilegios mínimos, planes de recuperación ante desastres, políticas de contraseñas, separación de funciones, un IDS, administración continua de sistemas heredados, cifrado y un sistema de gestión de contraseñas.</w:t>
      </w:r>
    </w:p>
    <w:p w:rsidR="00000000" w:rsidDel="00000000" w:rsidP="00000000" w:rsidRDefault="00000000" w:rsidRPr="00000000" w14:paraId="00000095">
      <w:pPr>
        <w:rPr>
          <w:rFonts w:ascii="Google Sans" w:cs="Google Sans" w:eastAsia="Google Sans" w:hAnsi="Google Sans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>
          <w:rFonts w:ascii="Google Sans" w:cs="Google Sans" w:eastAsia="Google Sans" w:hAnsi="Google Sans"/>
          <w:i w:val="1"/>
          <w:sz w:val="24"/>
          <w:szCs w:val="24"/>
        </w:rPr>
      </w:pPr>
      <w:r w:rsidDel="00000000" w:rsidR="00000000" w:rsidRPr="00000000">
        <w:rPr>
          <w:rFonts w:ascii="Google Sans" w:cs="Google Sans" w:eastAsia="Google Sans" w:hAnsi="Google Sans"/>
          <w:i w:val="1"/>
          <w:sz w:val="24"/>
          <w:szCs w:val="24"/>
          <w:rtl w:val="0"/>
        </w:rPr>
        <w:t xml:space="preserve">Para abordar las brechas en el cumplimiento, Botium Toys necesita implementar controles como Mínimos Privilegios, separación de funciones y cifrado. La empresa también necesita clasificar adecuadamente los activos para identificar controles adicionales que puedan necesitar implementarse para mejorar su postura de seguridad y proteger mejor la información confidencial.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