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4554" w:rsidRDefault="002318BD" w:rsidP="002318BD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Critério</w:t>
      </w:r>
      <w:r w:rsidR="002A711A">
        <w:rPr>
          <w:rFonts w:ascii="Arial" w:hAnsi="Arial" w:cs="Arial"/>
          <w:b/>
          <w:sz w:val="28"/>
        </w:rPr>
        <w:t>s</w:t>
      </w:r>
      <w:r>
        <w:rPr>
          <w:rFonts w:ascii="Arial" w:hAnsi="Arial" w:cs="Arial"/>
          <w:b/>
          <w:sz w:val="28"/>
        </w:rPr>
        <w:t xml:space="preserve"> de Aceite da História de Usuário FIDC</w:t>
      </w:r>
    </w:p>
    <w:p w:rsidR="002318BD" w:rsidRDefault="002318BD" w:rsidP="002318BD">
      <w:pPr>
        <w:jc w:val="center"/>
        <w:rPr>
          <w:rFonts w:ascii="Arial" w:hAnsi="Arial" w:cs="Arial"/>
          <w:b/>
          <w:sz w:val="28"/>
        </w:rPr>
      </w:pPr>
    </w:p>
    <w:p w:rsidR="002318BD" w:rsidRDefault="002318BD" w:rsidP="002318B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A história do usuário para migração do FIDC para o Portal Torra apresenta 24 critérios de aceite, localizados na página 6. </w:t>
      </w:r>
      <w:r w:rsidR="007C3EB9">
        <w:rPr>
          <w:rFonts w:ascii="Arial" w:hAnsi="Arial" w:cs="Arial"/>
        </w:rPr>
        <w:t>O sistema será aceito se cumprir os seguintes critérios:</w:t>
      </w:r>
    </w:p>
    <w:p w:rsidR="002318BD" w:rsidRPr="001B55F9" w:rsidRDefault="002318BD" w:rsidP="002318B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Somente notas de fornecedores e </w:t>
      </w:r>
      <w:r>
        <w:t>de fornecedores de mercadorias do Magazine com</w:t>
      </w:r>
      <w:r>
        <w:t xml:space="preserve"> valor a pagar </w:t>
      </w:r>
      <w:r w:rsidRPr="001B55F9">
        <w:rPr>
          <w:rFonts w:ascii="Arial" w:hAnsi="Arial" w:cs="Arial"/>
        </w:rPr>
        <w:t>maior que zero são consideradas notas válidas.</w:t>
      </w:r>
    </w:p>
    <w:p w:rsidR="002318BD" w:rsidRPr="001B55F9" w:rsidRDefault="002318BD" w:rsidP="002318BD">
      <w:pPr>
        <w:jc w:val="both"/>
        <w:rPr>
          <w:rFonts w:ascii="Arial" w:hAnsi="Arial" w:cs="Arial"/>
        </w:rPr>
      </w:pPr>
      <w:r w:rsidRPr="001B55F9">
        <w:rPr>
          <w:rFonts w:ascii="Arial" w:hAnsi="Arial" w:cs="Arial"/>
        </w:rPr>
        <w:t>- Apenas parcelas com valor em aberto ou parcial maior que zero no cadastro de A pagar do ERP e classificado como 9990 são documentos elegíveis</w:t>
      </w:r>
    </w:p>
    <w:p w:rsidR="002318BD" w:rsidRPr="001B55F9" w:rsidRDefault="002318BD" w:rsidP="002318BD">
      <w:pPr>
        <w:jc w:val="both"/>
        <w:rPr>
          <w:rFonts w:ascii="Arial" w:hAnsi="Arial" w:cs="Arial"/>
        </w:rPr>
      </w:pPr>
      <w:r w:rsidRPr="001B55F9">
        <w:rPr>
          <w:rFonts w:ascii="Arial" w:hAnsi="Arial" w:cs="Arial"/>
        </w:rPr>
        <w:t>- Apenas</w:t>
      </w:r>
      <w:r w:rsidR="00861028" w:rsidRPr="001B55F9">
        <w:rPr>
          <w:rFonts w:ascii="Arial" w:hAnsi="Arial" w:cs="Arial"/>
        </w:rPr>
        <w:t xml:space="preserve"> notas com</w:t>
      </w:r>
      <w:r w:rsidR="00861028" w:rsidRPr="001B55F9">
        <w:rPr>
          <w:rFonts w:ascii="Arial" w:hAnsi="Arial" w:cs="Arial"/>
        </w:rPr>
        <w:t xml:space="preserve"> “conferido ok: liberado </w:t>
      </w:r>
      <w:proofErr w:type="spellStart"/>
      <w:r w:rsidR="00861028" w:rsidRPr="001B55F9">
        <w:rPr>
          <w:rFonts w:ascii="Arial" w:hAnsi="Arial" w:cs="Arial"/>
        </w:rPr>
        <w:t>pgto</w:t>
      </w:r>
      <w:proofErr w:type="spellEnd"/>
      <w:r w:rsidR="00861028" w:rsidRPr="001B55F9">
        <w:rPr>
          <w:rFonts w:ascii="Arial" w:hAnsi="Arial" w:cs="Arial"/>
        </w:rPr>
        <w:t>”</w:t>
      </w:r>
      <w:r w:rsidR="00861028" w:rsidRPr="001B55F9">
        <w:rPr>
          <w:rFonts w:ascii="Arial" w:hAnsi="Arial" w:cs="Arial"/>
        </w:rPr>
        <w:t xml:space="preserve"> são recebimentos registrados.</w:t>
      </w:r>
    </w:p>
    <w:p w:rsidR="00861028" w:rsidRPr="001B55F9" w:rsidRDefault="00861028" w:rsidP="002318BD">
      <w:pPr>
        <w:jc w:val="both"/>
        <w:rPr>
          <w:rFonts w:ascii="Arial" w:hAnsi="Arial" w:cs="Arial"/>
        </w:rPr>
      </w:pPr>
      <w:r w:rsidRPr="001B55F9">
        <w:rPr>
          <w:rFonts w:ascii="Arial" w:hAnsi="Arial" w:cs="Arial"/>
        </w:rPr>
        <w:t>- O f</w:t>
      </w:r>
      <w:r w:rsidRPr="001B55F9">
        <w:rPr>
          <w:rFonts w:ascii="Arial" w:hAnsi="Arial" w:cs="Arial"/>
        </w:rPr>
        <w:t>ornecedor deve escolh</w:t>
      </w:r>
      <w:r w:rsidRPr="001B55F9">
        <w:rPr>
          <w:rFonts w:ascii="Arial" w:hAnsi="Arial" w:cs="Arial"/>
        </w:rPr>
        <w:t>er a data desejada para crédito</w:t>
      </w:r>
      <w:r w:rsidR="00D643BD" w:rsidRPr="001B55F9">
        <w:rPr>
          <w:rFonts w:ascii="Arial" w:hAnsi="Arial" w:cs="Arial"/>
        </w:rPr>
        <w:t>.</w:t>
      </w:r>
    </w:p>
    <w:p w:rsidR="00D643BD" w:rsidRPr="001B55F9" w:rsidRDefault="00D643BD" w:rsidP="002318BD">
      <w:pPr>
        <w:jc w:val="both"/>
        <w:rPr>
          <w:rFonts w:ascii="Arial" w:hAnsi="Arial" w:cs="Arial"/>
        </w:rPr>
      </w:pPr>
      <w:r w:rsidRPr="001B55F9">
        <w:rPr>
          <w:rFonts w:ascii="Arial" w:hAnsi="Arial" w:cs="Arial"/>
        </w:rPr>
        <w:t>- O horário limite só será válido se for dia útil (validação: D+1 até 16h, D+2 após 16h)</w:t>
      </w:r>
    </w:p>
    <w:p w:rsidR="007C3EB9" w:rsidRPr="001B55F9" w:rsidRDefault="007C3EB9" w:rsidP="002318BD">
      <w:pPr>
        <w:jc w:val="both"/>
        <w:rPr>
          <w:rFonts w:ascii="Arial" w:hAnsi="Arial" w:cs="Arial"/>
        </w:rPr>
      </w:pPr>
      <w:r w:rsidRPr="001B55F9">
        <w:rPr>
          <w:rFonts w:ascii="Arial" w:hAnsi="Arial" w:cs="Arial"/>
        </w:rPr>
        <w:t>- Ao inserir horário acima do limite, o sistema exibe alerta ao ultrapassar horário de solicitação</w:t>
      </w:r>
    </w:p>
    <w:p w:rsidR="007C3EB9" w:rsidRPr="001B55F9" w:rsidRDefault="007C3EB9" w:rsidP="002318B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Fornecedor deve visualizar </w:t>
      </w:r>
      <w:r w:rsidRPr="001B55F9">
        <w:rPr>
          <w:rFonts w:ascii="Arial" w:hAnsi="Arial" w:cs="Arial"/>
        </w:rPr>
        <w:t>e selecionar as notas para antecipação.</w:t>
      </w:r>
    </w:p>
    <w:p w:rsidR="007C3EB9" w:rsidRPr="001B55F9" w:rsidRDefault="007C3EB9" w:rsidP="002318BD">
      <w:pPr>
        <w:jc w:val="both"/>
        <w:rPr>
          <w:rFonts w:ascii="Arial" w:hAnsi="Arial" w:cs="Arial"/>
        </w:rPr>
      </w:pPr>
      <w:r w:rsidRPr="001B55F9">
        <w:rPr>
          <w:rFonts w:ascii="Arial" w:hAnsi="Arial" w:cs="Arial"/>
        </w:rPr>
        <w:t>- Mensagem de sucesso ao realizar a solicitação.</w:t>
      </w:r>
    </w:p>
    <w:p w:rsidR="007C3EB9" w:rsidRPr="001B55F9" w:rsidRDefault="007C3EB9" w:rsidP="002318BD">
      <w:pPr>
        <w:jc w:val="both"/>
        <w:rPr>
          <w:rFonts w:ascii="Arial" w:hAnsi="Arial" w:cs="Arial"/>
        </w:rPr>
      </w:pPr>
      <w:r w:rsidRPr="001B55F9">
        <w:rPr>
          <w:rFonts w:ascii="Arial" w:hAnsi="Arial" w:cs="Arial"/>
        </w:rPr>
        <w:t xml:space="preserve">- </w:t>
      </w:r>
      <w:r w:rsidR="00A4527B" w:rsidRPr="001B55F9">
        <w:rPr>
          <w:rFonts w:ascii="Arial" w:hAnsi="Arial" w:cs="Arial"/>
        </w:rPr>
        <w:t>Registro da solicitação: Atualiza a listagem das Notas Fiscais para o financeiro aprovar.</w:t>
      </w:r>
    </w:p>
    <w:p w:rsidR="00A4527B" w:rsidRPr="001B55F9" w:rsidRDefault="00CF7C37" w:rsidP="002318BD">
      <w:pPr>
        <w:jc w:val="both"/>
        <w:rPr>
          <w:rFonts w:ascii="Arial" w:hAnsi="Arial" w:cs="Arial"/>
        </w:rPr>
      </w:pPr>
      <w:r w:rsidRPr="001B55F9">
        <w:rPr>
          <w:rFonts w:ascii="Arial" w:hAnsi="Arial" w:cs="Arial"/>
        </w:rPr>
        <w:t>- Confirmação por e-mail: Envia confirmação ao fornecedor por e-mail.</w:t>
      </w:r>
    </w:p>
    <w:p w:rsidR="00CF7C37" w:rsidRPr="001B55F9" w:rsidRDefault="00CF7C37" w:rsidP="002318BD">
      <w:pPr>
        <w:jc w:val="both"/>
        <w:rPr>
          <w:rFonts w:ascii="Arial" w:hAnsi="Arial" w:cs="Arial"/>
        </w:rPr>
      </w:pPr>
      <w:r w:rsidRPr="001B55F9">
        <w:rPr>
          <w:rFonts w:ascii="Arial" w:hAnsi="Arial" w:cs="Arial"/>
        </w:rPr>
        <w:t xml:space="preserve">- Listagem de Notas Fiscais: </w:t>
      </w:r>
      <w:r w:rsidR="00E47FC5" w:rsidRPr="001B55F9">
        <w:rPr>
          <w:rFonts w:ascii="Arial" w:hAnsi="Arial" w:cs="Arial"/>
        </w:rPr>
        <w:t>Financeiro pode visualizar notas pendentes de aprovação de antecipação.</w:t>
      </w:r>
    </w:p>
    <w:p w:rsidR="00E47FC5" w:rsidRPr="001B55F9" w:rsidRDefault="00E47FC5" w:rsidP="002318BD">
      <w:pPr>
        <w:jc w:val="both"/>
        <w:rPr>
          <w:rFonts w:ascii="Arial" w:hAnsi="Arial" w:cs="Arial"/>
        </w:rPr>
      </w:pPr>
      <w:r w:rsidRPr="001B55F9">
        <w:rPr>
          <w:rFonts w:ascii="Arial" w:hAnsi="Arial" w:cs="Arial"/>
        </w:rPr>
        <w:t xml:space="preserve">- </w:t>
      </w:r>
      <w:proofErr w:type="spellStart"/>
      <w:r w:rsidRPr="001B55F9">
        <w:rPr>
          <w:rFonts w:ascii="Arial" w:hAnsi="Arial" w:cs="Arial"/>
        </w:rPr>
        <w:t>Multise</w:t>
      </w:r>
      <w:bookmarkStart w:id="0" w:name="_GoBack"/>
      <w:bookmarkEnd w:id="0"/>
      <w:r w:rsidRPr="001B55F9">
        <w:rPr>
          <w:rFonts w:ascii="Arial" w:hAnsi="Arial" w:cs="Arial"/>
        </w:rPr>
        <w:t>leção</w:t>
      </w:r>
      <w:proofErr w:type="spellEnd"/>
      <w:r w:rsidRPr="001B55F9">
        <w:rPr>
          <w:rFonts w:ascii="Arial" w:hAnsi="Arial" w:cs="Arial"/>
        </w:rPr>
        <w:t xml:space="preserve">: para aprovação: aprovação em massa </w:t>
      </w:r>
    </w:p>
    <w:p w:rsidR="00E47FC5" w:rsidRPr="001B55F9" w:rsidRDefault="00E47FC5" w:rsidP="002318BD">
      <w:pPr>
        <w:jc w:val="both"/>
        <w:rPr>
          <w:rFonts w:ascii="Arial" w:hAnsi="Arial" w:cs="Arial"/>
        </w:rPr>
      </w:pPr>
      <w:r w:rsidRPr="001B55F9">
        <w:rPr>
          <w:rFonts w:ascii="Arial" w:hAnsi="Arial" w:cs="Arial"/>
        </w:rPr>
        <w:t xml:space="preserve">- </w:t>
      </w:r>
      <w:r w:rsidR="00F06479" w:rsidRPr="001B55F9">
        <w:rPr>
          <w:rFonts w:ascii="Arial" w:hAnsi="Arial" w:cs="Arial"/>
        </w:rPr>
        <w:t>Campo de observação: Permitir observações (notas) nas aprovações.</w:t>
      </w:r>
    </w:p>
    <w:p w:rsidR="00F06479" w:rsidRPr="001B55F9" w:rsidRDefault="00F06479" w:rsidP="002318BD">
      <w:pPr>
        <w:jc w:val="both"/>
        <w:rPr>
          <w:rFonts w:ascii="Arial" w:hAnsi="Arial" w:cs="Arial"/>
        </w:rPr>
      </w:pPr>
      <w:r w:rsidRPr="001B55F9">
        <w:rPr>
          <w:rFonts w:ascii="Arial" w:hAnsi="Arial" w:cs="Arial"/>
        </w:rPr>
        <w:t>- Mensagem de sucesso ao confirmar ação.</w:t>
      </w:r>
    </w:p>
    <w:p w:rsidR="00F06479" w:rsidRPr="001B55F9" w:rsidRDefault="00F06479" w:rsidP="002318BD">
      <w:pPr>
        <w:jc w:val="both"/>
        <w:rPr>
          <w:rFonts w:ascii="Arial" w:hAnsi="Arial" w:cs="Arial"/>
        </w:rPr>
      </w:pPr>
      <w:r w:rsidRPr="001B55F9">
        <w:rPr>
          <w:rFonts w:ascii="Arial" w:hAnsi="Arial" w:cs="Arial"/>
        </w:rPr>
        <w:t>- Disparo de e-mail para fornecedor detalhando observações.</w:t>
      </w:r>
    </w:p>
    <w:p w:rsidR="00F06479" w:rsidRPr="001B55F9" w:rsidRDefault="00F06479" w:rsidP="002318BD">
      <w:pPr>
        <w:jc w:val="both"/>
        <w:rPr>
          <w:rFonts w:ascii="Arial" w:hAnsi="Arial" w:cs="Arial"/>
        </w:rPr>
      </w:pPr>
      <w:r w:rsidRPr="001B55F9">
        <w:rPr>
          <w:rFonts w:ascii="Arial" w:hAnsi="Arial" w:cs="Arial"/>
        </w:rPr>
        <w:t xml:space="preserve">- </w:t>
      </w:r>
      <w:r w:rsidR="00E21B28" w:rsidRPr="001B55F9">
        <w:rPr>
          <w:rFonts w:ascii="Arial" w:hAnsi="Arial" w:cs="Arial"/>
        </w:rPr>
        <w:t>Se o f</w:t>
      </w:r>
      <w:r w:rsidRPr="001B55F9">
        <w:rPr>
          <w:rFonts w:ascii="Arial" w:hAnsi="Arial" w:cs="Arial"/>
        </w:rPr>
        <w:t>ornecedor sem cada</w:t>
      </w:r>
      <w:r w:rsidR="00E21B28" w:rsidRPr="001B55F9">
        <w:rPr>
          <w:rFonts w:ascii="Arial" w:hAnsi="Arial" w:cs="Arial"/>
        </w:rPr>
        <w:t>stro BANVOX, o sistema exibe alerta e permite cadastro.</w:t>
      </w:r>
    </w:p>
    <w:p w:rsidR="00E21B28" w:rsidRPr="001B55F9" w:rsidRDefault="00E21B28" w:rsidP="002318BD">
      <w:pPr>
        <w:jc w:val="both"/>
        <w:rPr>
          <w:rFonts w:ascii="Arial" w:hAnsi="Arial" w:cs="Arial"/>
        </w:rPr>
      </w:pPr>
      <w:r w:rsidRPr="001B55F9">
        <w:rPr>
          <w:rFonts w:ascii="Arial" w:hAnsi="Arial" w:cs="Arial"/>
        </w:rPr>
        <w:t>- Se o cadastro da BANVOX for rejeitado, o financeiro corrigirá junto aos times internos para um novo envio.</w:t>
      </w:r>
    </w:p>
    <w:p w:rsidR="00E21B28" w:rsidRPr="001B55F9" w:rsidRDefault="00E21B28" w:rsidP="002318BD">
      <w:pPr>
        <w:jc w:val="both"/>
        <w:rPr>
          <w:rFonts w:ascii="Arial" w:hAnsi="Arial" w:cs="Arial"/>
        </w:rPr>
      </w:pPr>
      <w:r w:rsidRPr="001B55F9">
        <w:rPr>
          <w:rFonts w:ascii="Arial" w:hAnsi="Arial" w:cs="Arial"/>
        </w:rPr>
        <w:t>- Se houver alteração no ERP, muda-se a conta portadora para “FIDC Enviados Outros”.</w:t>
      </w:r>
    </w:p>
    <w:p w:rsidR="00E21B28" w:rsidRPr="001B55F9" w:rsidRDefault="00E21B28" w:rsidP="002318BD">
      <w:pPr>
        <w:jc w:val="both"/>
        <w:rPr>
          <w:rFonts w:ascii="Arial" w:hAnsi="Arial" w:cs="Arial"/>
        </w:rPr>
      </w:pPr>
      <w:r w:rsidRPr="001B55F9">
        <w:rPr>
          <w:rFonts w:ascii="Arial" w:hAnsi="Arial" w:cs="Arial"/>
        </w:rPr>
        <w:t>- BANVOX gera um ID da operação de confirmação de recebimento.</w:t>
      </w:r>
    </w:p>
    <w:p w:rsidR="00E21B28" w:rsidRPr="001B55F9" w:rsidRDefault="00E21B28" w:rsidP="002318BD">
      <w:pPr>
        <w:jc w:val="both"/>
        <w:rPr>
          <w:rFonts w:ascii="Arial" w:hAnsi="Arial" w:cs="Arial"/>
        </w:rPr>
      </w:pPr>
      <w:r w:rsidRPr="001B55F9">
        <w:rPr>
          <w:rFonts w:ascii="Arial" w:hAnsi="Arial" w:cs="Arial"/>
        </w:rPr>
        <w:t>- O ID da operação informada pela BANVOX é registrado no ERP.</w:t>
      </w:r>
    </w:p>
    <w:p w:rsidR="001B55F9" w:rsidRPr="001B55F9" w:rsidRDefault="00E21B28" w:rsidP="002318BD">
      <w:pPr>
        <w:jc w:val="both"/>
        <w:rPr>
          <w:rFonts w:ascii="Arial" w:hAnsi="Arial" w:cs="Arial"/>
        </w:rPr>
      </w:pPr>
      <w:r w:rsidRPr="001B55F9">
        <w:rPr>
          <w:rFonts w:ascii="Arial" w:hAnsi="Arial" w:cs="Arial"/>
        </w:rPr>
        <w:t xml:space="preserve">- </w:t>
      </w:r>
      <w:r w:rsidR="001B55F9" w:rsidRPr="001B55F9">
        <w:rPr>
          <w:rFonts w:ascii="Arial" w:hAnsi="Arial" w:cs="Arial"/>
        </w:rPr>
        <w:t>Aplicar taxa de 1,8% A.M. ou se menor que um mês, aplica-se um Pro rata (taxa mensal / 30 * n° de dias) com mínimo de 1%.</w:t>
      </w:r>
    </w:p>
    <w:p w:rsidR="00E21B28" w:rsidRPr="001B55F9" w:rsidRDefault="001B55F9" w:rsidP="002318BD">
      <w:pPr>
        <w:jc w:val="both"/>
        <w:rPr>
          <w:rFonts w:ascii="Arial" w:hAnsi="Arial" w:cs="Arial"/>
        </w:rPr>
      </w:pPr>
      <w:r w:rsidRPr="001B55F9">
        <w:rPr>
          <w:rFonts w:ascii="Arial" w:hAnsi="Arial" w:cs="Arial"/>
        </w:rPr>
        <w:t>- Permitir o envio à BANVOX dos títulos para baixar na posição do CNPJ destinado.</w:t>
      </w:r>
    </w:p>
    <w:p w:rsidR="001B55F9" w:rsidRPr="001B55F9" w:rsidRDefault="001B55F9" w:rsidP="002318BD">
      <w:pPr>
        <w:jc w:val="both"/>
        <w:rPr>
          <w:rFonts w:ascii="Arial" w:hAnsi="Arial" w:cs="Arial"/>
        </w:rPr>
      </w:pPr>
      <w:r w:rsidRPr="001B55F9">
        <w:rPr>
          <w:rFonts w:ascii="Arial" w:hAnsi="Arial" w:cs="Arial"/>
        </w:rPr>
        <w:t>- BANVOX deve confirmar a baixa dos títulos.</w:t>
      </w:r>
    </w:p>
    <w:sectPr w:rsidR="001B55F9" w:rsidRPr="001B55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18BD"/>
    <w:rsid w:val="001B55F9"/>
    <w:rsid w:val="002318BD"/>
    <w:rsid w:val="00264DE4"/>
    <w:rsid w:val="002A711A"/>
    <w:rsid w:val="007C3EB9"/>
    <w:rsid w:val="00861028"/>
    <w:rsid w:val="009B5007"/>
    <w:rsid w:val="00A4527B"/>
    <w:rsid w:val="00CF7C37"/>
    <w:rsid w:val="00D643BD"/>
    <w:rsid w:val="00E21B28"/>
    <w:rsid w:val="00E47FC5"/>
    <w:rsid w:val="00F06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2BFC87"/>
  <w15:chartTrackingRefBased/>
  <w15:docId w15:val="{47A1EB5D-EE4B-4254-988B-0777DA940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327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Paula Macedo Batista</dc:creator>
  <cp:keywords/>
  <dc:description/>
  <cp:lastModifiedBy>Ana Paula Macedo Batista</cp:lastModifiedBy>
  <cp:revision>1</cp:revision>
  <dcterms:created xsi:type="dcterms:W3CDTF">2025-04-10T15:21:00Z</dcterms:created>
  <dcterms:modified xsi:type="dcterms:W3CDTF">2025-04-10T17:22:00Z</dcterms:modified>
</cp:coreProperties>
</file>