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3C" w:rsidRDefault="00C2253C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6C736A" w:rsidRDefault="006C736A" w:rsidP="006C736A">
      <w:pPr>
        <w:jc w:val="center"/>
        <w:rPr>
          <w:szCs w:val="20"/>
        </w:rPr>
      </w:pPr>
    </w:p>
    <w:p w:rsidR="00B23A43" w:rsidRDefault="00B23A43" w:rsidP="006C736A">
      <w:pPr>
        <w:jc w:val="center"/>
        <w:rPr>
          <w:szCs w:val="20"/>
        </w:rPr>
      </w:pPr>
    </w:p>
    <w:p w:rsidR="00B23A43" w:rsidRDefault="00B23A43" w:rsidP="006C736A">
      <w:pPr>
        <w:jc w:val="center"/>
        <w:rPr>
          <w:szCs w:val="20"/>
        </w:rPr>
      </w:pPr>
    </w:p>
    <w:p w:rsidR="009A2403" w:rsidRPr="00E3703E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E3703E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Protocolo Institucional</w:t>
      </w:r>
    </w:p>
    <w:p w:rsidR="009A2403" w:rsidRPr="00E3703E" w:rsidRDefault="009A2403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E3703E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 </w:t>
      </w:r>
    </w:p>
    <w:p w:rsidR="006C736A" w:rsidRPr="00E3703E" w:rsidRDefault="006C736A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 w:rsidRPr="00E3703E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 </w:t>
      </w:r>
      <w:r w:rsidR="00FF4379" w:rsidRPr="00E3703E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PROTOCOLO </w:t>
      </w:r>
      <w:r w:rsidR="00D1655F" w:rsidRPr="00E3703E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 xml:space="preserve">DE </w:t>
      </w:r>
      <w:r w:rsidR="004E40B1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PREV</w:t>
      </w:r>
      <w:r w:rsidR="009D4A42"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ENÇÃO DE LESÃO POR PRESSÃO</w:t>
      </w:r>
    </w:p>
    <w:p w:rsidR="006C736A" w:rsidRDefault="006C736A" w:rsidP="006C736A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:rsidR="006C736A" w:rsidRDefault="006C736A" w:rsidP="006C736A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:rsidR="006C736A" w:rsidRDefault="006C736A" w:rsidP="006C736A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:rsidR="006C736A" w:rsidRDefault="006C736A" w:rsidP="006C736A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:rsidR="00E3703E" w:rsidRDefault="00E3703E" w:rsidP="006C736A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:rsidR="009A2403" w:rsidRDefault="009A2403" w:rsidP="006C736A">
      <w:pPr>
        <w:jc w:val="center"/>
        <w:rPr>
          <w:rFonts w:ascii="Arial" w:hAnsi="Arial" w:cs="Arial"/>
          <w:b/>
          <w:bCs/>
          <w:sz w:val="40"/>
          <w:szCs w:val="40"/>
          <w:lang w:eastAsia="pt-BR"/>
        </w:rPr>
      </w:pPr>
    </w:p>
    <w:p w:rsidR="009A2403" w:rsidRPr="00E3703E" w:rsidRDefault="00EC1086" w:rsidP="006C736A">
      <w:pPr>
        <w:jc w:val="center"/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</w:pPr>
      <w:r>
        <w:rPr>
          <w:rFonts w:ascii="Comic Sans MS" w:hAnsi="Comic Sans MS" w:cs="Arial"/>
          <w:b/>
          <w:bCs/>
          <w:color w:val="17365D" w:themeColor="text2" w:themeShade="BF"/>
          <w:sz w:val="48"/>
          <w:szCs w:val="48"/>
          <w:lang w:eastAsia="pt-BR"/>
        </w:rPr>
        <w:t>2023</w:t>
      </w:r>
    </w:p>
    <w:p w:rsidR="009A2403" w:rsidRPr="009A2403" w:rsidRDefault="009A2403" w:rsidP="006C736A">
      <w:pPr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5232B6" w:rsidRDefault="005232B6" w:rsidP="00B979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page9"/>
      <w:bookmarkEnd w:id="0"/>
    </w:p>
    <w:p w:rsidR="009D4A42" w:rsidRPr="002319A8" w:rsidRDefault="009D4A42" w:rsidP="009D4A42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INTRODUÇÃO</w:t>
      </w:r>
    </w:p>
    <w:p w:rsidR="009D4A42" w:rsidRPr="002319A8" w:rsidRDefault="009D4A42" w:rsidP="009D4A42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9D4A42" w:rsidRPr="002319A8" w:rsidRDefault="009D4A42" w:rsidP="009D4A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A Lesão por pressão (LPP) em pacientes hospitalizados é um grande problema de saúde. Sua incidência aumenta proporcionalmente à combinação de fatores de riscos, dentre eles, idade avançada e restrição ao leito.</w:t>
      </w:r>
    </w:p>
    <w:p w:rsidR="009D4A42" w:rsidRPr="002319A8" w:rsidRDefault="009D4A42" w:rsidP="009D4A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Pode acarretar desconforto físico para o paciente, aumento de custos no tratamento, necessidade de cuidados intensivos de enfermagem, internação hospitalar prolongada, aumento do risco para o desenvolvimento de complicações adicionais, necessidade de cirurgia corretiva e aumento na taxa de mortalidade.</w:t>
      </w:r>
    </w:p>
    <w:p w:rsidR="005232B6" w:rsidRPr="002319A8" w:rsidRDefault="009D4A42" w:rsidP="009D4A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 xml:space="preserve">Conhecer e entender as causas das lesões por pressão e os fatores de risco para o seu desenvolvimento, permite a toda equipe de saúde </w:t>
      </w:r>
      <w:proofErr w:type="gramStart"/>
      <w:r w:rsidRPr="002319A8">
        <w:rPr>
          <w:rFonts w:ascii="Times New Roman" w:hAnsi="Times New Roman"/>
          <w:sz w:val="24"/>
          <w:szCs w:val="24"/>
          <w:lang w:eastAsia="pt-BR"/>
        </w:rPr>
        <w:t>implementar</w:t>
      </w:r>
      <w:proofErr w:type="gramEnd"/>
      <w:r w:rsidRPr="002319A8">
        <w:rPr>
          <w:rFonts w:ascii="Times New Roman" w:hAnsi="Times New Roman"/>
          <w:sz w:val="24"/>
          <w:szCs w:val="24"/>
          <w:lang w:eastAsia="pt-BR"/>
        </w:rPr>
        <w:t xml:space="preserve"> ações efetivas de prevenção e tratamento.</w:t>
      </w:r>
    </w:p>
    <w:p w:rsidR="005232B6" w:rsidRPr="002319A8" w:rsidRDefault="005232B6" w:rsidP="00B979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321017" w:rsidRPr="002319A8" w:rsidRDefault="00321017" w:rsidP="0032101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OBJETIVO</w:t>
      </w:r>
    </w:p>
    <w:p w:rsidR="00321017" w:rsidRPr="002319A8" w:rsidRDefault="00321017" w:rsidP="003210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321017" w:rsidRPr="002319A8" w:rsidRDefault="00321017" w:rsidP="003210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LiberationSerif" w:hAnsi="Times New Roman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sz w:val="24"/>
          <w:szCs w:val="24"/>
          <w:lang w:eastAsia="pt-BR"/>
        </w:rPr>
        <w:t>Atender a meta internacional de Reduzir o Risco de lesão por pressão respaldada pelo Programa Nacional de Segurança do Paciente (PNSP).</w:t>
      </w:r>
    </w:p>
    <w:p w:rsidR="00321017" w:rsidRPr="002319A8" w:rsidRDefault="00321017" w:rsidP="003210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gramStart"/>
      <w:r w:rsidRPr="002319A8">
        <w:rPr>
          <w:rFonts w:ascii="Times New Roman" w:hAnsi="Times New Roman"/>
          <w:sz w:val="24"/>
          <w:szCs w:val="24"/>
          <w:lang w:eastAsia="pt-BR"/>
        </w:rPr>
        <w:t>Implementar</w:t>
      </w:r>
      <w:proofErr w:type="gramEnd"/>
      <w:r w:rsidRPr="002319A8">
        <w:rPr>
          <w:rFonts w:ascii="Times New Roman" w:hAnsi="Times New Roman"/>
          <w:sz w:val="24"/>
          <w:szCs w:val="24"/>
          <w:lang w:eastAsia="pt-BR"/>
        </w:rPr>
        <w:t xml:space="preserve"> medidas sistematizadas na prevenção e notificação de lesões por pressão de forma multidisciplinar vislumbrando a melhoria do cuidado.</w:t>
      </w:r>
    </w:p>
    <w:p w:rsidR="00321017" w:rsidRPr="002319A8" w:rsidRDefault="00321017" w:rsidP="003210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21017" w:rsidRPr="002319A8" w:rsidRDefault="00321017" w:rsidP="0032101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sz w:val="24"/>
          <w:szCs w:val="24"/>
          <w:lang w:eastAsia="pt-BR"/>
        </w:rPr>
        <w:t>ABRANGÊNCIA</w:t>
      </w:r>
    </w:p>
    <w:p w:rsidR="00321017" w:rsidRPr="002319A8" w:rsidRDefault="00321017" w:rsidP="003210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21017" w:rsidRPr="002319A8" w:rsidRDefault="00321017" w:rsidP="003210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sz w:val="24"/>
          <w:szCs w:val="24"/>
          <w:lang w:eastAsia="pt-BR"/>
        </w:rPr>
        <w:t>Promover a prevenção de ocorrência de lesão por pressão em pacientes internados nos setores do Hospital São Vicente de Paulo.</w:t>
      </w:r>
    </w:p>
    <w:p w:rsidR="00321017" w:rsidRPr="002319A8" w:rsidRDefault="00321017" w:rsidP="003210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21017" w:rsidRPr="002319A8" w:rsidRDefault="00321017" w:rsidP="0032101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sz w:val="24"/>
          <w:szCs w:val="24"/>
          <w:lang w:eastAsia="pt-BR"/>
        </w:rPr>
        <w:t>CONCEITO</w:t>
      </w:r>
    </w:p>
    <w:p w:rsidR="00321017" w:rsidRPr="002319A8" w:rsidRDefault="00321017" w:rsidP="003210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LESÃO POR PRESSÃO:</w:t>
      </w:r>
    </w:p>
    <w:p w:rsidR="00857117" w:rsidRPr="002319A8" w:rsidRDefault="00857117" w:rsidP="008571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57117" w:rsidRPr="002319A8" w:rsidRDefault="00321017" w:rsidP="008571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Lesão por pressão e um dano localizado na pele e/ou tecidos moles subjacentes, geralmente sobre uma proeminência óssea ou relacionada ao uso de dispositivo medico ou a outro artefato. A lesão pode se apresentar em pele integra ou como ulcera aberta e pode ser dolorosa. A lesão ocorre como resultado da pressão intensa e/ou prolongada em combinação com o cisalhamento. A tolerância do tecido mole a pressão e ao cisalhamento pode também ser afetada pelo micro clima, nutrição, perfusão, comorbidades e pela sua condição (</w:t>
      </w:r>
      <w:r w:rsidRPr="002319A8">
        <w:rPr>
          <w:rFonts w:ascii="Times New Roman" w:eastAsia="LiberationSerif" w:hAnsi="Times New Roman"/>
          <w:color w:val="00000A"/>
          <w:sz w:val="24"/>
          <w:szCs w:val="24"/>
          <w:lang w:eastAsia="pt-BR"/>
        </w:rPr>
        <w:t>NPUAP, 2016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). </w:t>
      </w:r>
    </w:p>
    <w:p w:rsidR="00857117" w:rsidRPr="002319A8" w:rsidRDefault="00857117" w:rsidP="003210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CISALHAMENTO:</w:t>
      </w:r>
    </w:p>
    <w:p w:rsidR="00857117" w:rsidRPr="002319A8" w:rsidRDefault="00857117" w:rsidP="008571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Deformação que sofre um corpo quando sujeito à ação de forças cortantes.</w:t>
      </w:r>
    </w:p>
    <w:p w:rsidR="00857117" w:rsidRPr="002319A8" w:rsidRDefault="00857117" w:rsidP="008571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 xml:space="preserve">ESTADIAMENTO DE </w:t>
      </w:r>
      <w:r w:rsidR="008D596D">
        <w:rPr>
          <w:rFonts w:ascii="Times New Roman" w:hAnsi="Times New Roman"/>
          <w:b/>
          <w:bCs/>
          <w:sz w:val="24"/>
          <w:szCs w:val="24"/>
          <w:lang w:eastAsia="pt-BR"/>
        </w:rPr>
        <w:t>L</w:t>
      </w: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PP:</w:t>
      </w:r>
    </w:p>
    <w:p w:rsidR="00857117" w:rsidRPr="002319A8" w:rsidRDefault="00857117" w:rsidP="00857117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57117" w:rsidRPr="002319A8" w:rsidRDefault="00857117" w:rsidP="0085711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 xml:space="preserve">Classificação da </w:t>
      </w:r>
      <w:r w:rsidR="008D596D">
        <w:rPr>
          <w:rFonts w:ascii="Times New Roman" w:hAnsi="Times New Roman"/>
          <w:sz w:val="24"/>
          <w:szCs w:val="24"/>
          <w:lang w:eastAsia="pt-BR"/>
        </w:rPr>
        <w:t>L</w:t>
      </w:r>
      <w:r w:rsidRPr="002319A8">
        <w:rPr>
          <w:rFonts w:ascii="Times New Roman" w:hAnsi="Times New Roman"/>
          <w:sz w:val="24"/>
          <w:szCs w:val="24"/>
          <w:lang w:eastAsia="pt-BR"/>
        </w:rPr>
        <w:t>PP, que auxilia na descrição clínica da profundidade observável de destruição tecidual.</w:t>
      </w:r>
    </w:p>
    <w:p w:rsidR="00857117" w:rsidRPr="002319A8" w:rsidRDefault="00857117" w:rsidP="0085711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CLASSIFICAÇÃO DAS LESÕES POR PRESSÃO</w:t>
      </w:r>
    </w:p>
    <w:p w:rsidR="00857117" w:rsidRPr="002319A8" w:rsidRDefault="00857117" w:rsidP="008571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</w:p>
    <w:p w:rsidR="00857117" w:rsidRPr="002319A8" w:rsidRDefault="00321017" w:rsidP="008571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O sistema de classificação atualizado inclui as seguintes </w:t>
      </w:r>
      <w:r w:rsidR="008571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definições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: </w:t>
      </w:r>
    </w:p>
    <w:p w:rsidR="005C2B81" w:rsidRPr="002319A8" w:rsidRDefault="005C2B81" w:rsidP="008571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Lesão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por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Pressão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Estagio </w:t>
      </w:r>
      <w:proofErr w:type="gramStart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1</w:t>
      </w:r>
      <w:proofErr w:type="gramEnd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: Pele integra com eritema que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não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embranquece; </w:t>
      </w:r>
    </w:p>
    <w:p w:rsidR="00857117" w:rsidRPr="002319A8" w:rsidRDefault="00857117" w:rsidP="008571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Pele intacta com rubor não branqueável numa área localizada, normalmente sobre uma proeminência óssea. Em pele de pigmentação escura pode não ser visível o branqueamento; a sua cor pode ser diferente da pele da área circundante. A área pode estar dolorosa, dura, mole, mais quente ou mais fria comparativamente ao tecido adjacente.</w:t>
      </w:r>
    </w:p>
    <w:p w:rsidR="005C2B81" w:rsidRPr="002319A8" w:rsidRDefault="005C2B81" w:rsidP="00857117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57117" w:rsidRPr="002319A8" w:rsidRDefault="00857117" w:rsidP="00857117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Lesão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por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Pressão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Estagio </w:t>
      </w:r>
      <w:proofErr w:type="gramStart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2</w:t>
      </w:r>
      <w:proofErr w:type="gramEnd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: Perda da pele em sua espessura parcial com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exposição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da derme; </w:t>
      </w:r>
    </w:p>
    <w:p w:rsidR="005C2B81" w:rsidRPr="002319A8" w:rsidRDefault="005C2B81" w:rsidP="005C2B8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 xml:space="preserve">Perda parcial da espessura da derme que se apresenta como uma ferida superficial (rasa) com leito vermelho-rosa sem tecido desvitalizado. Pode também apresentar-se como </w:t>
      </w:r>
      <w:proofErr w:type="spellStart"/>
      <w:r w:rsidRPr="002319A8">
        <w:rPr>
          <w:rFonts w:ascii="Times New Roman" w:hAnsi="Times New Roman"/>
          <w:sz w:val="24"/>
          <w:szCs w:val="24"/>
          <w:lang w:eastAsia="pt-BR"/>
        </w:rPr>
        <w:t>flitena</w:t>
      </w:r>
      <w:proofErr w:type="spellEnd"/>
      <w:r w:rsidRPr="002319A8">
        <w:rPr>
          <w:rFonts w:ascii="Times New Roman" w:hAnsi="Times New Roman"/>
          <w:sz w:val="24"/>
          <w:szCs w:val="24"/>
          <w:lang w:eastAsia="pt-BR"/>
        </w:rPr>
        <w:t xml:space="preserve"> fechada ou aberta preenchida por líquido seroso. Apresenta-se como uma úlcera brilhante ou seca, sem tecido desvitalizado ou equimose.</w:t>
      </w:r>
    </w:p>
    <w:p w:rsidR="005C2B81" w:rsidRPr="002319A8" w:rsidRDefault="005C2B81" w:rsidP="005C2B8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00"/>
          <w:sz w:val="24"/>
          <w:szCs w:val="24"/>
          <w:lang w:eastAsia="pt-BR"/>
        </w:rPr>
      </w:pPr>
    </w:p>
    <w:p w:rsidR="00857117" w:rsidRPr="002319A8" w:rsidRDefault="00857117" w:rsidP="005C2B81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Lesão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por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Pressão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Estagio </w:t>
      </w:r>
      <w:proofErr w:type="gramStart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3</w:t>
      </w:r>
      <w:proofErr w:type="gramEnd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:</w:t>
      </w:r>
      <w:r w:rsidR="005C2B81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Perda da pele em sua espessura total; </w:t>
      </w:r>
    </w:p>
    <w:p w:rsidR="005C2B81" w:rsidRPr="002319A8" w:rsidRDefault="005C2B81" w:rsidP="005C2B8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 xml:space="preserve">Perda total da espessura dos tecidos. O tecido adiposo subcutâneo pode ser visível, mas os ossos, tendões ou músculos não estão expostos. Pode estar presente algum tecido desvitalizado, mas não oculta à profundidade dos tecidos lesados. Podem ser </w:t>
      </w:r>
      <w:proofErr w:type="spellStart"/>
      <w:r w:rsidRPr="002319A8">
        <w:rPr>
          <w:rFonts w:ascii="Times New Roman" w:hAnsi="Times New Roman"/>
          <w:sz w:val="24"/>
          <w:szCs w:val="24"/>
          <w:lang w:eastAsia="pt-BR"/>
        </w:rPr>
        <w:t>cavitárias</w:t>
      </w:r>
      <w:proofErr w:type="spellEnd"/>
      <w:r w:rsidRPr="002319A8">
        <w:rPr>
          <w:rFonts w:ascii="Times New Roman" w:hAnsi="Times New Roman"/>
          <w:sz w:val="24"/>
          <w:szCs w:val="24"/>
          <w:lang w:eastAsia="pt-BR"/>
        </w:rPr>
        <w:t xml:space="preserve"> e fistuladas. Tanto o osso como o tendão não são visíveis nem diretamente palpáveis.</w:t>
      </w:r>
    </w:p>
    <w:p w:rsidR="005C2B81" w:rsidRPr="002319A8" w:rsidRDefault="005C2B81" w:rsidP="005C2B81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857117" w:rsidRPr="002319A8" w:rsidRDefault="00857117" w:rsidP="005C2B81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Lesão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por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pressão</w:t>
      </w:r>
      <w:r w:rsidR="005C2B81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Estagio </w:t>
      </w:r>
      <w:proofErr w:type="gramStart"/>
      <w:r w:rsidR="005C2B81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4</w:t>
      </w:r>
      <w:proofErr w:type="gramEnd"/>
      <w:r w:rsidR="005C2B81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: 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Perda da pele em sua espessura total e perda tissular; </w:t>
      </w:r>
    </w:p>
    <w:p w:rsidR="00D61B7C" w:rsidRPr="002319A8" w:rsidRDefault="00D61B7C" w:rsidP="00D61B7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19A8">
        <w:rPr>
          <w:rFonts w:ascii="Times New Roman" w:hAnsi="Times New Roman"/>
          <w:sz w:val="24"/>
          <w:szCs w:val="24"/>
        </w:rPr>
        <w:t xml:space="preserve">Perda total da espessura dos tecidos com exposição óssea, dos tendões ou dos músculos. Em algumas partes do leito da ferida, pode aparecer tecido desvitalizado (úmido) ou necrose (seca). </w:t>
      </w:r>
      <w:proofErr w:type="spellStart"/>
      <w:r w:rsidRPr="002319A8">
        <w:rPr>
          <w:rFonts w:ascii="Times New Roman" w:hAnsi="Times New Roman"/>
          <w:sz w:val="24"/>
          <w:szCs w:val="24"/>
        </w:rPr>
        <w:t>Freqüentemente</w:t>
      </w:r>
      <w:proofErr w:type="spellEnd"/>
      <w:r w:rsidRPr="002319A8">
        <w:rPr>
          <w:rFonts w:ascii="Times New Roman" w:hAnsi="Times New Roman"/>
          <w:sz w:val="24"/>
          <w:szCs w:val="24"/>
        </w:rPr>
        <w:t xml:space="preserve"> são </w:t>
      </w:r>
      <w:proofErr w:type="spellStart"/>
      <w:r w:rsidRPr="002319A8">
        <w:rPr>
          <w:rFonts w:ascii="Times New Roman" w:hAnsi="Times New Roman"/>
          <w:sz w:val="24"/>
          <w:szCs w:val="24"/>
        </w:rPr>
        <w:t>cavitárias</w:t>
      </w:r>
      <w:proofErr w:type="spellEnd"/>
      <w:r w:rsidRPr="002319A8">
        <w:rPr>
          <w:rFonts w:ascii="Times New Roman" w:hAnsi="Times New Roman"/>
          <w:sz w:val="24"/>
          <w:szCs w:val="24"/>
        </w:rPr>
        <w:t xml:space="preserve"> e fistuladas. Uma úlcera de Categoria/Grau IV pode atingir o músculo e/ou as estruturas de suporte (ou seja, </w:t>
      </w:r>
      <w:proofErr w:type="spellStart"/>
      <w:r w:rsidRPr="002319A8">
        <w:rPr>
          <w:rFonts w:ascii="Times New Roman" w:hAnsi="Times New Roman"/>
          <w:sz w:val="24"/>
          <w:szCs w:val="24"/>
        </w:rPr>
        <w:t>fáscia</w:t>
      </w:r>
      <w:proofErr w:type="spellEnd"/>
      <w:r w:rsidRPr="002319A8">
        <w:rPr>
          <w:rFonts w:ascii="Times New Roman" w:hAnsi="Times New Roman"/>
          <w:sz w:val="24"/>
          <w:szCs w:val="24"/>
        </w:rPr>
        <w:t xml:space="preserve">, tendão ou cápsula articular), tornando possível a </w:t>
      </w:r>
      <w:proofErr w:type="spellStart"/>
      <w:r w:rsidRPr="002319A8">
        <w:rPr>
          <w:rFonts w:ascii="Times New Roman" w:hAnsi="Times New Roman"/>
          <w:sz w:val="24"/>
          <w:szCs w:val="24"/>
        </w:rPr>
        <w:t>osteomielite</w:t>
      </w:r>
      <w:proofErr w:type="spellEnd"/>
      <w:r w:rsidRPr="002319A8">
        <w:rPr>
          <w:rFonts w:ascii="Times New Roman" w:hAnsi="Times New Roman"/>
          <w:sz w:val="24"/>
          <w:szCs w:val="24"/>
        </w:rPr>
        <w:t>.</w:t>
      </w:r>
    </w:p>
    <w:p w:rsidR="005C2B81" w:rsidRPr="002319A8" w:rsidRDefault="005C2B81" w:rsidP="005C2B8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857117" w:rsidRPr="002319A8" w:rsidRDefault="00857117" w:rsidP="005C2B81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Lesão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por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Pressão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Não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Classificável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: Perda da pele em sua espessura total e perda tissular não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visível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. </w:t>
      </w:r>
    </w:p>
    <w:p w:rsidR="00D61B7C" w:rsidRPr="002319A8" w:rsidRDefault="00D61B7C" w:rsidP="00D61B7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19A8">
        <w:rPr>
          <w:rFonts w:ascii="Times New Roman" w:hAnsi="Times New Roman"/>
          <w:sz w:val="24"/>
          <w:szCs w:val="24"/>
        </w:rPr>
        <w:t xml:space="preserve">Perda total da espessura dos tecidos, na qual a base da úlcera está coberta por tecido desvitalizado (amarelo, acastanhado, cinzentos, verde ou castanho) e/ou necrótico (amarelo escuro, castanho ou preto) no leito da ferida. Até que seja removido tecido desvitalizado e/ou necrótico suficiente para expor a base da ferida, a verdadeira profundidade e, por conseguinte, a verdadeira Categoria/Grau, não </w:t>
      </w:r>
      <w:proofErr w:type="gramStart"/>
      <w:r w:rsidRPr="002319A8">
        <w:rPr>
          <w:rFonts w:ascii="Times New Roman" w:hAnsi="Times New Roman"/>
          <w:sz w:val="24"/>
          <w:szCs w:val="24"/>
        </w:rPr>
        <w:t>podem ser determinados</w:t>
      </w:r>
      <w:proofErr w:type="gramEnd"/>
      <w:r w:rsidRPr="002319A8">
        <w:rPr>
          <w:rFonts w:ascii="Times New Roman" w:hAnsi="Times New Roman"/>
          <w:sz w:val="24"/>
          <w:szCs w:val="24"/>
        </w:rPr>
        <w:t>.</w:t>
      </w:r>
    </w:p>
    <w:p w:rsidR="005C2B81" w:rsidRPr="002319A8" w:rsidRDefault="005C2B81" w:rsidP="005C2B8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21017" w:rsidRPr="002319A8" w:rsidRDefault="00857117" w:rsidP="005C2B81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lastRenderedPageBreak/>
        <w:t>Lesão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por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Pressão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Tissular Profunda:</w:t>
      </w:r>
      <w:r w:rsidR="005C2B81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descoloração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vermelho</w:t>
      </w:r>
      <w:proofErr w:type="gramEnd"/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 xml:space="preserve"> escura, marrom ou </w:t>
      </w:r>
      <w:r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púrpura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, persistente e que não embranquece (</w:t>
      </w:r>
      <w:r w:rsidR="00321017" w:rsidRPr="002319A8">
        <w:rPr>
          <w:rFonts w:ascii="Times New Roman" w:eastAsia="LiberationSerif" w:hAnsi="Times New Roman"/>
          <w:color w:val="00000A"/>
          <w:sz w:val="24"/>
          <w:szCs w:val="24"/>
          <w:lang w:eastAsia="pt-BR"/>
        </w:rPr>
        <w:t>NPUAP, 2016</w:t>
      </w:r>
      <w:r w:rsidR="00321017" w:rsidRPr="002319A8">
        <w:rPr>
          <w:rFonts w:ascii="Times New Roman" w:eastAsia="LiberationSerif" w:hAnsi="Times New Roman"/>
          <w:color w:val="000000"/>
          <w:sz w:val="24"/>
          <w:szCs w:val="24"/>
          <w:lang w:eastAsia="pt-BR"/>
        </w:rPr>
        <w:t>).</w:t>
      </w:r>
    </w:p>
    <w:p w:rsidR="00D61B7C" w:rsidRPr="002319A8" w:rsidRDefault="00D61B7C" w:rsidP="00D61B7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19A8">
        <w:rPr>
          <w:rFonts w:ascii="Times New Roman" w:hAnsi="Times New Roman"/>
          <w:sz w:val="24"/>
          <w:szCs w:val="24"/>
        </w:rPr>
        <w:t xml:space="preserve">Área vermelha escura ou púrpura localizada em pele intacta e descolorada ou </w:t>
      </w:r>
      <w:proofErr w:type="spellStart"/>
      <w:r w:rsidRPr="002319A8">
        <w:rPr>
          <w:rFonts w:ascii="Times New Roman" w:hAnsi="Times New Roman"/>
          <w:sz w:val="24"/>
          <w:szCs w:val="24"/>
        </w:rPr>
        <w:t>flictena</w:t>
      </w:r>
      <w:proofErr w:type="spellEnd"/>
      <w:r w:rsidRPr="002319A8">
        <w:rPr>
          <w:rFonts w:ascii="Times New Roman" w:hAnsi="Times New Roman"/>
          <w:sz w:val="24"/>
          <w:szCs w:val="24"/>
        </w:rPr>
        <w:t xml:space="preserve"> preenchida com sangue, provocadas por danos no tecido mole subjacente resultantes de pressão e/ou cisalhamento. A área pode estar rodeada por tecido doloroso, firme, mole, úmido, mais quente ou mais frio comparativamente ao tecido adjacente. </w:t>
      </w:r>
    </w:p>
    <w:p w:rsidR="00D61B7C" w:rsidRPr="002319A8" w:rsidRDefault="00D61B7C" w:rsidP="00D61B7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19A8">
        <w:rPr>
          <w:rFonts w:ascii="Times New Roman" w:hAnsi="Times New Roman"/>
          <w:sz w:val="24"/>
          <w:szCs w:val="24"/>
        </w:rPr>
        <w:t xml:space="preserve">A lesão dos tecidos profundos pode ser difícil de identificar em indivíduos com tons de pele escuros. </w:t>
      </w:r>
    </w:p>
    <w:p w:rsidR="00D61B7C" w:rsidRPr="002319A8" w:rsidRDefault="00D61B7C" w:rsidP="00D61B7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19A8">
        <w:rPr>
          <w:rFonts w:ascii="Times New Roman" w:hAnsi="Times New Roman"/>
          <w:sz w:val="24"/>
          <w:szCs w:val="24"/>
        </w:rPr>
        <w:t>A ferida pode evoluir ficando coberta por uma fina camada de tecido necrótico.</w:t>
      </w:r>
    </w:p>
    <w:p w:rsidR="002319A8" w:rsidRPr="002319A8" w:rsidRDefault="002319A8" w:rsidP="00D61B7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19A8" w:rsidRPr="002319A8" w:rsidRDefault="002319A8" w:rsidP="002319A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FATORES DE RISCO PARA LPP</w:t>
      </w:r>
    </w:p>
    <w:p w:rsidR="002319A8" w:rsidRPr="002319A8" w:rsidRDefault="002319A8" w:rsidP="002319A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2319A8" w:rsidRPr="002319A8" w:rsidRDefault="002319A8" w:rsidP="002319A8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Fatores extrínsecos:</w:t>
      </w:r>
    </w:p>
    <w:p w:rsidR="002319A8" w:rsidRPr="002319A8" w:rsidRDefault="002319A8" w:rsidP="002319A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Tempo de Internação</w:t>
      </w:r>
    </w:p>
    <w:p w:rsidR="002319A8" w:rsidRPr="002319A8" w:rsidRDefault="002319A8" w:rsidP="002319A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Pressão</w:t>
      </w:r>
    </w:p>
    <w:p w:rsidR="002319A8" w:rsidRPr="002319A8" w:rsidRDefault="002319A8" w:rsidP="002319A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Fricção</w:t>
      </w:r>
    </w:p>
    <w:p w:rsidR="002319A8" w:rsidRPr="002319A8" w:rsidRDefault="002319A8" w:rsidP="002319A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Umidade</w:t>
      </w:r>
    </w:p>
    <w:p w:rsidR="002319A8" w:rsidRPr="002319A8" w:rsidRDefault="002319A8" w:rsidP="002319A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Deficiência na mudança de decúbito</w:t>
      </w:r>
    </w:p>
    <w:p w:rsidR="002319A8" w:rsidRPr="002319A8" w:rsidRDefault="002319A8" w:rsidP="0023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</w:p>
    <w:p w:rsidR="002319A8" w:rsidRPr="002319A8" w:rsidRDefault="002319A8" w:rsidP="002319A8">
      <w:pPr>
        <w:pStyle w:val="Pargrafoda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Fatores intrínsecos:</w:t>
      </w:r>
    </w:p>
    <w:p w:rsidR="002319A8" w:rsidRPr="002319A8" w:rsidRDefault="002319A8" w:rsidP="002319A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Estado nutricional e peso</w:t>
      </w:r>
    </w:p>
    <w:p w:rsidR="002319A8" w:rsidRPr="002319A8" w:rsidRDefault="002319A8" w:rsidP="002319A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Idade</w:t>
      </w:r>
    </w:p>
    <w:p w:rsidR="002319A8" w:rsidRPr="002319A8" w:rsidRDefault="002319A8" w:rsidP="002319A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Tipo de pele</w:t>
      </w:r>
    </w:p>
    <w:p w:rsidR="002319A8" w:rsidRPr="002319A8" w:rsidRDefault="002319A8" w:rsidP="002319A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Patologias crônicas</w:t>
      </w:r>
    </w:p>
    <w:p w:rsidR="002319A8" w:rsidRPr="002319A8" w:rsidRDefault="002319A8" w:rsidP="002319A8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2319A8">
        <w:rPr>
          <w:rFonts w:ascii="Times New Roman" w:hAnsi="Times New Roman"/>
          <w:sz w:val="24"/>
          <w:szCs w:val="24"/>
          <w:lang w:eastAsia="pt-BR"/>
        </w:rPr>
        <w:t>Uso de Medicamentos</w:t>
      </w:r>
    </w:p>
    <w:p w:rsidR="002319A8" w:rsidRPr="002319A8" w:rsidRDefault="002319A8" w:rsidP="002319A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2319A8" w:rsidRPr="002319A8" w:rsidRDefault="002319A8" w:rsidP="002319A8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2319A8">
        <w:rPr>
          <w:rFonts w:ascii="Times New Roman" w:hAnsi="Times New Roman"/>
          <w:b/>
          <w:bCs/>
          <w:sz w:val="24"/>
          <w:szCs w:val="24"/>
          <w:lang w:eastAsia="pt-BR"/>
        </w:rPr>
        <w:t>PRINCIPAIS LOCAIS PARA O APARECIMENTO DE LPP</w:t>
      </w:r>
    </w:p>
    <w:p w:rsidR="002319A8" w:rsidRPr="002319A8" w:rsidRDefault="002319A8" w:rsidP="002319A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57117" w:rsidRDefault="002319A8" w:rsidP="002319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3574156" cy="2639582"/>
            <wp:effectExtent l="19050" t="0" r="7244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56" cy="264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97" w:rsidRDefault="002319A8" w:rsidP="00B30C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B30C97"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ETAPAS DE PREVENÇÃO DE LPP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30C97" w:rsidRP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B30C97">
        <w:rPr>
          <w:rFonts w:ascii="Times New Roman" w:hAnsi="Times New Roman"/>
          <w:b/>
          <w:bCs/>
          <w:sz w:val="24"/>
          <w:szCs w:val="24"/>
          <w:lang w:eastAsia="pt-BR"/>
        </w:rPr>
        <w:t>8.1. Avaliação de úlcera por pressão na admissão de todos os pacientes: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 avaliação de risco deve contemplar os seguintes fatores: mobilidade; incontinência; déficit sensitivo e estado nutricional (incluindo desidratação). A escala de </w:t>
      </w:r>
      <w:proofErr w:type="spellStart"/>
      <w:r>
        <w:rPr>
          <w:rFonts w:ascii="Times New Roman" w:hAnsi="Times New Roman"/>
          <w:sz w:val="24"/>
          <w:szCs w:val="24"/>
          <w:lang w:eastAsia="pt-BR"/>
        </w:rPr>
        <w:t>Braden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é a ferramenta mais amplamente utilizada dentre as várias disponíveis.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8.2. Reavaliação diári</w:t>
      </w:r>
      <w:r w:rsidR="008D596D">
        <w:rPr>
          <w:rFonts w:ascii="Times New Roman" w:hAnsi="Times New Roman"/>
          <w:b/>
          <w:bCs/>
          <w:sz w:val="24"/>
          <w:szCs w:val="24"/>
          <w:lang w:eastAsia="pt-BR"/>
        </w:rPr>
        <w:t>a de risco de desenvolvimento da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 w:rsidR="008D596D">
        <w:rPr>
          <w:rFonts w:ascii="Times New Roman" w:hAnsi="Times New Roman"/>
          <w:b/>
          <w:bCs/>
          <w:sz w:val="24"/>
          <w:szCs w:val="24"/>
          <w:lang w:eastAsia="pt-BR"/>
        </w:rPr>
        <w:t>L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PP de todos os pacientes internados: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Todo paciente deverá ser avaliado sistematicamente na admissão. Essa avaliação deve levar em consideração as fragilidades, vulnerabilidades e fatores de risco para o desenvolvimento de alterações de pele.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8.3. Inspeção diária da pele: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Inspeção diária de toda a superfície cutânea, da cabeça aos pés. Em virtude da rápida mudança de fatores de risco em pacientes agudamente enfermos, a inspeção diária da pele é fundamental.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30C97" w:rsidRP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8.4. Manejo da Umidade: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Atenção para minimizar a exposição cutânea à umidade decorrente de incontinência, transpiração ou </w:t>
      </w:r>
      <w:proofErr w:type="spellStart"/>
      <w:r>
        <w:rPr>
          <w:rFonts w:ascii="Times New Roman" w:hAnsi="Times New Roman"/>
          <w:sz w:val="24"/>
          <w:szCs w:val="24"/>
          <w:lang w:eastAsia="pt-BR"/>
        </w:rPr>
        <w:t>exsudato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de feridas.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B30C97">
        <w:rPr>
          <w:rFonts w:ascii="Times New Roman" w:hAnsi="Times New Roman"/>
          <w:b/>
          <w:sz w:val="24"/>
          <w:szCs w:val="24"/>
          <w:lang w:eastAsia="pt-BR"/>
        </w:rPr>
        <w:t>8.</w:t>
      </w:r>
      <w:r w:rsidRPr="00B30C97">
        <w:rPr>
          <w:rFonts w:ascii="Times New Roman" w:hAnsi="Times New Roman"/>
          <w:b/>
          <w:bCs/>
          <w:sz w:val="24"/>
          <w:szCs w:val="24"/>
          <w:lang w:eastAsia="pt-BR"/>
        </w:rPr>
        <w:t>5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. </w:t>
      </w:r>
      <w:proofErr w:type="gramStart"/>
      <w:r>
        <w:rPr>
          <w:rFonts w:ascii="Times New Roman" w:hAnsi="Times New Roman"/>
          <w:b/>
          <w:bCs/>
          <w:sz w:val="24"/>
          <w:szCs w:val="24"/>
          <w:lang w:eastAsia="pt-BR"/>
        </w:rPr>
        <w:t>Otimização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da nutrição e da hidratação: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 Pacientes com déficit nutricional ou desidratação podem apresentar perda de massa muscular e de peso, tornando os ossos mais salientes e a deambulação mais difícil.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8.6. Minimizar a pressão:</w:t>
      </w:r>
    </w:p>
    <w:p w:rsidR="00B30C97" w:rsidRDefault="00B30C97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A preocupação principal é a redistribuição da pressão, especialmente sobre as proeminências ósseas.</w:t>
      </w:r>
    </w:p>
    <w:p w:rsidR="00B22B1C" w:rsidRDefault="00B22B1C" w:rsidP="00B30C9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22B1C" w:rsidRPr="00B22B1C" w:rsidRDefault="00B22B1C" w:rsidP="00B22B1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AÇÕES DE PREVENÇÃO</w:t>
      </w:r>
    </w:p>
    <w:p w:rsidR="00B22B1C" w:rsidRDefault="00B22B1C" w:rsidP="00B22B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22B1C" w:rsidRPr="00B22B1C" w:rsidRDefault="00B22B1C" w:rsidP="00B22B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proofErr w:type="gramStart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>9.1Inspeção</w:t>
      </w:r>
      <w:proofErr w:type="gramEnd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diária da pele:</w:t>
      </w:r>
    </w:p>
    <w:p w:rsidR="00B22B1C" w:rsidRDefault="00B22B1C" w:rsidP="00B22B1C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Manter a pele limpa e seca;</w:t>
      </w:r>
    </w:p>
    <w:p w:rsidR="00B22B1C" w:rsidRDefault="00B22B1C" w:rsidP="00B22B1C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Recomenda-se a utilização de água morna e sabão neutro para reduzir a irritação e o ressecamento da pele;</w:t>
      </w:r>
    </w:p>
    <w:p w:rsidR="00B22B1C" w:rsidRDefault="00B22B1C" w:rsidP="00B22B1C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Utilizar um produto de limpeza da pele com um ph equilibrado;</w:t>
      </w:r>
    </w:p>
    <w:p w:rsidR="00B22B1C" w:rsidRPr="00B22B1C" w:rsidRDefault="00B22B1C" w:rsidP="00B22B1C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Considerar a utilização de emolientes para hidratar a pele seca, a fim de reduzir o risco de</w:t>
      </w:r>
    </w:p>
    <w:p w:rsidR="00B22B1C" w:rsidRDefault="00B22B1C" w:rsidP="00B22B1C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sz w:val="24"/>
          <w:szCs w:val="24"/>
          <w:lang w:eastAsia="pt-BR"/>
        </w:rPr>
        <w:t>dano</w:t>
      </w:r>
      <w:proofErr w:type="gramEnd"/>
      <w:r>
        <w:rPr>
          <w:rFonts w:ascii="Times New Roman" w:hAnsi="Times New Roman"/>
          <w:sz w:val="24"/>
          <w:szCs w:val="24"/>
          <w:lang w:eastAsia="pt-BR"/>
        </w:rPr>
        <w:t xml:space="preserve"> da pele;</w:t>
      </w:r>
    </w:p>
    <w:p w:rsidR="00B22B1C" w:rsidRDefault="00B22B1C" w:rsidP="00B22B1C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 xml:space="preserve">Durante a hidratação da pele, não massagear áreas de proeminências ósseas ou áreas </w:t>
      </w:r>
      <w:proofErr w:type="spellStart"/>
      <w:r w:rsidRPr="00B22B1C">
        <w:rPr>
          <w:rFonts w:ascii="Times New Roman" w:hAnsi="Times New Roman"/>
          <w:sz w:val="24"/>
          <w:szCs w:val="24"/>
          <w:lang w:eastAsia="pt-BR"/>
        </w:rPr>
        <w:t>hiperemiadas</w:t>
      </w:r>
      <w:proofErr w:type="spellEnd"/>
      <w:r w:rsidRPr="00B22B1C">
        <w:rPr>
          <w:rFonts w:ascii="Times New Roman" w:hAnsi="Times New Roman"/>
          <w:sz w:val="24"/>
          <w:szCs w:val="24"/>
          <w:lang w:eastAsia="pt-BR"/>
        </w:rPr>
        <w:t>. A aplicação de hidratante deve ser realizada com movimentos suaves e circulares</w:t>
      </w:r>
      <w:r>
        <w:rPr>
          <w:rFonts w:ascii="Times New Roman" w:hAnsi="Times New Roman"/>
          <w:sz w:val="24"/>
          <w:szCs w:val="24"/>
          <w:lang w:eastAsia="pt-BR"/>
        </w:rPr>
        <w:t>;</w:t>
      </w:r>
    </w:p>
    <w:p w:rsidR="00B22B1C" w:rsidRPr="00B22B1C" w:rsidRDefault="00B22B1C" w:rsidP="00B22B1C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lastRenderedPageBreak/>
        <w:t>A massagem está contraindicada na presença de inflamação aguda e onde existe a possibilidade de haver vasos sanguíneos danificados ou pele frágil. A massagem não deverá ser recomendada como uma estratégia de prevenção de úlceras por pressão.</w:t>
      </w:r>
    </w:p>
    <w:p w:rsidR="00B22B1C" w:rsidRDefault="00B22B1C" w:rsidP="00B22B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22B1C" w:rsidRDefault="00B22B1C" w:rsidP="00B22B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proofErr w:type="gramStart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>9.2Manejo</w:t>
      </w:r>
      <w:proofErr w:type="gramEnd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da umidade:</w:t>
      </w:r>
    </w:p>
    <w:p w:rsidR="00B22B1C" w:rsidRPr="00B22B1C" w:rsidRDefault="00B22B1C" w:rsidP="00B22B1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Proteger a pele da exposição à umidade excessiva através do uso de produtos barreira de forma a reduzir o risco de danos de pressão;</w:t>
      </w:r>
    </w:p>
    <w:p w:rsidR="00B22B1C" w:rsidRPr="00B22B1C" w:rsidRDefault="00B22B1C" w:rsidP="00B22B1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 xml:space="preserve">Desenvolver e </w:t>
      </w:r>
      <w:proofErr w:type="gramStart"/>
      <w:r w:rsidRPr="00B22B1C">
        <w:rPr>
          <w:rFonts w:ascii="Times New Roman" w:hAnsi="Times New Roman"/>
          <w:sz w:val="24"/>
          <w:szCs w:val="24"/>
          <w:lang w:eastAsia="pt-BR"/>
        </w:rPr>
        <w:t>implementar</w:t>
      </w:r>
      <w:proofErr w:type="gramEnd"/>
      <w:r w:rsidRPr="00B22B1C">
        <w:rPr>
          <w:rFonts w:ascii="Times New Roman" w:hAnsi="Times New Roman"/>
          <w:sz w:val="24"/>
          <w:szCs w:val="24"/>
          <w:lang w:eastAsia="pt-BR"/>
        </w:rPr>
        <w:t xml:space="preserve"> um plano individualizado de tratamento da incontinência;</w:t>
      </w:r>
    </w:p>
    <w:p w:rsidR="00B22B1C" w:rsidRPr="00B22B1C" w:rsidRDefault="00B22B1C" w:rsidP="00B22B1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Limpar a pele imediatamente após os episódios de incontinência;</w:t>
      </w:r>
    </w:p>
    <w:p w:rsidR="00B22B1C" w:rsidRDefault="00B22B1C" w:rsidP="00B22B1C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A utilização de fraldas e absorventes é recomendada quando as fontes de umidade não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puderem ser controladas.</w:t>
      </w:r>
    </w:p>
    <w:p w:rsidR="00B22B1C" w:rsidRDefault="00B22B1C" w:rsidP="00B22B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22B1C" w:rsidRPr="00B22B1C" w:rsidRDefault="00B22B1C" w:rsidP="00B22B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>9.3</w:t>
      </w:r>
      <w:proofErr w:type="gramStart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>Otimização</w:t>
      </w:r>
      <w:proofErr w:type="gramEnd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da nutrição e hidratação:</w:t>
      </w:r>
    </w:p>
    <w:p w:rsidR="00B22B1C" w:rsidRPr="00B22B1C" w:rsidRDefault="00B22B1C" w:rsidP="00B22B1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Avaliar a adequação da ingestão total de nutrientes (ou seja, alimentos, líquidos, suplementos orais e nutrição entérica/</w:t>
      </w:r>
      <w:proofErr w:type="spellStart"/>
      <w:r w:rsidRPr="00B22B1C">
        <w:rPr>
          <w:rFonts w:ascii="Times New Roman" w:hAnsi="Times New Roman"/>
          <w:sz w:val="24"/>
          <w:szCs w:val="24"/>
          <w:lang w:eastAsia="pt-BR"/>
        </w:rPr>
        <w:t>parentérica</w:t>
      </w:r>
      <w:proofErr w:type="spellEnd"/>
      <w:r w:rsidRPr="00B22B1C">
        <w:rPr>
          <w:rFonts w:ascii="Times New Roman" w:hAnsi="Times New Roman"/>
          <w:sz w:val="24"/>
          <w:szCs w:val="24"/>
          <w:lang w:eastAsia="pt-BR"/>
        </w:rPr>
        <w:t>)</w:t>
      </w:r>
      <w:r>
        <w:rPr>
          <w:rFonts w:ascii="Times New Roman" w:hAnsi="Times New Roman"/>
          <w:sz w:val="24"/>
          <w:szCs w:val="24"/>
          <w:lang w:eastAsia="pt-BR"/>
        </w:rPr>
        <w:t>;</w:t>
      </w:r>
    </w:p>
    <w:p w:rsidR="00B22B1C" w:rsidRPr="00B22B1C" w:rsidRDefault="00B22B1C" w:rsidP="00B22B1C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Edema e menor fluxo sanguíneo cutâneo geralmente acompanham os déficits nutricionais e hídricos, resultando em lesões isquêmicas que contribuem para as lesões na pele.</w:t>
      </w:r>
    </w:p>
    <w:p w:rsidR="00B22B1C" w:rsidRPr="00B22B1C" w:rsidRDefault="00B22B1C" w:rsidP="007C0BE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 xml:space="preserve">Avaliar e comunicar a equipe multidisciplinar sobre a presença de sinais clínicos de desnutrição ou que podem predispor alterações no estado nutricional: edema, perda de peso, </w:t>
      </w:r>
      <w:proofErr w:type="spellStart"/>
      <w:r w:rsidRPr="00B22B1C">
        <w:rPr>
          <w:rFonts w:ascii="Times New Roman" w:hAnsi="Times New Roman"/>
          <w:sz w:val="24"/>
          <w:szCs w:val="24"/>
          <w:lang w:eastAsia="pt-BR"/>
        </w:rPr>
        <w:t>disfagia</w:t>
      </w:r>
      <w:proofErr w:type="spellEnd"/>
      <w:r w:rsidRPr="00B22B1C">
        <w:rPr>
          <w:rFonts w:ascii="Times New Roman" w:hAnsi="Times New Roman"/>
          <w:sz w:val="24"/>
          <w:szCs w:val="24"/>
          <w:lang w:eastAsia="pt-BR"/>
        </w:rPr>
        <w:t>, inapetência, desidratação, entre outros. Na vigência de baixa aceitação alimentar (inferior a 60% das necessidades nutricionais num período de cinco a sete dias), discutir com a equipe a possibilidade de sondagem.</w:t>
      </w:r>
    </w:p>
    <w:p w:rsidR="00B22B1C" w:rsidRDefault="00B22B1C" w:rsidP="007C0BE0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Encaminhar os indivíduos identificados como estando em risco de desnutrição ou com úlceras por pressão para um nutricionista ou uma equipa nutricional multidisciplinar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vista a uma avaliação nutricional completa.</w:t>
      </w:r>
    </w:p>
    <w:p w:rsidR="00B22B1C" w:rsidRDefault="00B22B1C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22B1C" w:rsidRPr="00B22B1C" w:rsidRDefault="00B22B1C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gramStart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>9.4Mudança</w:t>
      </w:r>
      <w:proofErr w:type="gramEnd"/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de Decúbito:</w:t>
      </w:r>
    </w:p>
    <w:p w:rsidR="00B22B1C" w:rsidRPr="00B22B1C" w:rsidRDefault="00B22B1C" w:rsidP="007C0BE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Reposicionar o paciente de tal forma que a pressão seja aliviada ou redistribuída.</w:t>
      </w:r>
    </w:p>
    <w:p w:rsidR="00B22B1C" w:rsidRPr="00B22B1C" w:rsidRDefault="00B22B1C" w:rsidP="007C0BE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Evitar posicionar o paciente diretamente sobre sondas, drenos e sobre proeminências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ósseas.</w:t>
      </w:r>
    </w:p>
    <w:p w:rsidR="00B22B1C" w:rsidRPr="00B22B1C" w:rsidRDefault="00B22B1C" w:rsidP="007C0BE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Realizar mudança de decúbito espontaneamente ou a cada 2 horas na ausência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contraindicação relacionadas á condição geral, clínica e/ou hemodinâmica do paciente.</w:t>
      </w:r>
    </w:p>
    <w:p w:rsidR="00B22B1C" w:rsidRPr="00B22B1C" w:rsidRDefault="00B22B1C" w:rsidP="007C0BE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 xml:space="preserve">O reposicionamento deve ser feito usando 30º na posição de </w:t>
      </w:r>
      <w:proofErr w:type="gramStart"/>
      <w:r w:rsidRPr="00B22B1C">
        <w:rPr>
          <w:rFonts w:ascii="Times New Roman" w:hAnsi="Times New Roman"/>
          <w:sz w:val="24"/>
          <w:szCs w:val="24"/>
          <w:lang w:eastAsia="pt-BR"/>
        </w:rPr>
        <w:t>semi-fowler</w:t>
      </w:r>
      <w:proofErr w:type="gramEnd"/>
      <w:r w:rsidRPr="00B22B1C">
        <w:rPr>
          <w:rFonts w:ascii="Times New Roman" w:hAnsi="Times New Roman"/>
          <w:sz w:val="24"/>
          <w:szCs w:val="24"/>
          <w:lang w:eastAsia="pt-BR"/>
        </w:rPr>
        <w:t xml:space="preserve"> e uma inclinação de 30º para posições laterais (alternadamente lado direito, dorsal e lado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esquerdo), se o paciente tolerar estas posições e a sua condição clínica permitir.</w:t>
      </w:r>
    </w:p>
    <w:p w:rsidR="00B22B1C" w:rsidRPr="00B22B1C" w:rsidRDefault="00B22B1C" w:rsidP="007C0BE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Evitar posições como Fowler acima dos 30º, a posição de deitado de lado a 90º, ou 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 xml:space="preserve">posição de </w:t>
      </w:r>
      <w:proofErr w:type="gramStart"/>
      <w:r w:rsidRPr="00B22B1C">
        <w:rPr>
          <w:rFonts w:ascii="Times New Roman" w:hAnsi="Times New Roman"/>
          <w:sz w:val="24"/>
          <w:szCs w:val="24"/>
          <w:lang w:eastAsia="pt-BR"/>
        </w:rPr>
        <w:t>semi-deitado</w:t>
      </w:r>
      <w:proofErr w:type="gramEnd"/>
      <w:r w:rsidRPr="00B22B1C">
        <w:rPr>
          <w:rFonts w:ascii="Times New Roman" w:hAnsi="Times New Roman"/>
          <w:sz w:val="24"/>
          <w:szCs w:val="24"/>
          <w:lang w:eastAsia="pt-BR"/>
        </w:rPr>
        <w:t>.</w:t>
      </w:r>
    </w:p>
    <w:p w:rsidR="00B22B1C" w:rsidRDefault="00B22B1C" w:rsidP="007C0BE0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Se a mobilidade do paciente está comprometida e a pressão nesta interface não é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redistribuída, a pressão pode prejudicar a circulação, levando ao surgimento da úlcera.</w:t>
      </w:r>
    </w:p>
    <w:p w:rsidR="00B22B1C" w:rsidRDefault="00B22B1C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22B1C" w:rsidRPr="00B22B1C" w:rsidRDefault="00B22B1C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b/>
          <w:bCs/>
          <w:sz w:val="24"/>
          <w:szCs w:val="24"/>
          <w:lang w:eastAsia="pt-BR"/>
        </w:rPr>
        <w:t>9.5Materiais e equipamentos para redistribuição de pressão:</w:t>
      </w:r>
    </w:p>
    <w:p w:rsidR="00B22B1C" w:rsidRPr="00B22B1C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Utilizar colchões de espuma altamente específica em vez de colchões hospitalares padrão,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em todos os indivíduos de risco para desenvolver UPP;</w:t>
      </w:r>
    </w:p>
    <w:p w:rsidR="00B22B1C" w:rsidRPr="00B22B1C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lastRenderedPageBreak/>
        <w:t>Usar uma superfície de apoio ativo (sobreposição ou colchão) para os pacientes com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maior risco de desenvolvimento de úlceras por pressão, quando o reposicionamento manual frequente não é possível;</w:t>
      </w:r>
    </w:p>
    <w:p w:rsidR="00B22B1C" w:rsidRPr="00B22B1C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Utilizar uma almofada ou travesseiro abaixo das pernas (região dos gêmeos) para elevar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B22B1C">
        <w:rPr>
          <w:rFonts w:ascii="Times New Roman" w:hAnsi="Times New Roman"/>
          <w:sz w:val="24"/>
          <w:szCs w:val="24"/>
          <w:lang w:eastAsia="pt-BR"/>
        </w:rPr>
        <w:t>os calcâneos e mantê-los flutuantes.</w:t>
      </w:r>
    </w:p>
    <w:p w:rsidR="00B22B1C" w:rsidRPr="007C0BE0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C0BE0">
        <w:rPr>
          <w:rFonts w:ascii="Times New Roman" w:hAnsi="Times New Roman"/>
          <w:sz w:val="24"/>
          <w:szCs w:val="24"/>
          <w:lang w:eastAsia="pt-BR"/>
        </w:rPr>
        <w:t>Os dispositivos de prevenção de UPP nos calcâneos devem elevá-los de tal forma que o</w:t>
      </w:r>
      <w:r w:rsidR="007C0BE0" w:rsidRP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peso da perna seja distribuído ao longo da sua parte posterior, sem colocar pressão sobre o</w:t>
      </w:r>
      <w:r w:rsid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tendão de Aquiles.</w:t>
      </w:r>
    </w:p>
    <w:p w:rsidR="007C0BE0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C0BE0">
        <w:rPr>
          <w:rFonts w:ascii="Times New Roman" w:hAnsi="Times New Roman"/>
          <w:sz w:val="24"/>
          <w:szCs w:val="24"/>
          <w:lang w:eastAsia="pt-BR"/>
        </w:rPr>
        <w:t>Utilizar um assento de redistribuição de pressão para os pacientes com mobilidade</w:t>
      </w:r>
      <w:r w:rsidR="007C0BE0" w:rsidRP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reduzida e que apresentam risco de desenvolvimento de úlceras por pressão quando estes</w:t>
      </w:r>
      <w:r w:rsidR="007C0BE0" w:rsidRP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estiverem</w:t>
      </w:r>
      <w:r w:rsid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sentados em uma cadeira. Almofadas de ar e espuma redistribuem melhor a</w:t>
      </w:r>
      <w:r w:rsid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pressão, já as almofadas de gel e de pele de carneiro causam maior pressão.</w:t>
      </w:r>
    </w:p>
    <w:p w:rsidR="007C0BE0" w:rsidRDefault="007C0BE0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B22B1C" w:rsidRPr="007C0BE0" w:rsidRDefault="007C0BE0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7C0BE0">
        <w:rPr>
          <w:rFonts w:ascii="Times New Roman" w:hAnsi="Times New Roman"/>
          <w:b/>
          <w:sz w:val="24"/>
          <w:szCs w:val="24"/>
          <w:lang w:eastAsia="pt-BR"/>
        </w:rPr>
        <w:t>9.6</w:t>
      </w:r>
      <w:r w:rsidR="00B22B1C" w:rsidRPr="007C0BE0">
        <w:rPr>
          <w:rFonts w:ascii="Times New Roman" w:hAnsi="Times New Roman"/>
          <w:b/>
          <w:bCs/>
          <w:sz w:val="24"/>
          <w:szCs w:val="24"/>
          <w:lang w:eastAsia="pt-BR"/>
        </w:rPr>
        <w:t>Cuidados com o leito:</w:t>
      </w:r>
    </w:p>
    <w:p w:rsidR="00B22B1C" w:rsidRPr="00B22B1C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B22B1C">
        <w:rPr>
          <w:rFonts w:ascii="Times New Roman" w:hAnsi="Times New Roman"/>
          <w:sz w:val="24"/>
          <w:szCs w:val="24"/>
          <w:lang w:eastAsia="pt-BR"/>
        </w:rPr>
        <w:t>Manter lençóis sempre limpos, secos e bem esticados.</w:t>
      </w:r>
    </w:p>
    <w:p w:rsidR="00B22B1C" w:rsidRPr="007C0BE0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C0BE0">
        <w:rPr>
          <w:rFonts w:ascii="Times New Roman" w:hAnsi="Times New Roman"/>
          <w:sz w:val="24"/>
          <w:szCs w:val="24"/>
          <w:lang w:eastAsia="pt-BR"/>
        </w:rPr>
        <w:t>Atentar para lençóis com dobras e com corpos estranhos, tais como restos alimentares,</w:t>
      </w:r>
      <w:r w:rsid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drenos, pode irritar a pele do paciente, favorecendo a formação das úlceras por pressão.</w:t>
      </w:r>
    </w:p>
    <w:p w:rsidR="00B22B1C" w:rsidRPr="007C0BE0" w:rsidRDefault="00B22B1C" w:rsidP="007C0BE0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 w:rsidRPr="007C0BE0">
        <w:rPr>
          <w:rFonts w:ascii="Times New Roman" w:hAnsi="Times New Roman"/>
          <w:sz w:val="24"/>
          <w:szCs w:val="24"/>
          <w:lang w:eastAsia="pt-BR"/>
        </w:rPr>
        <w:t>A equipe de enfermagem deve usar forro móvel ou dispositivo mecânico de elevação para</w:t>
      </w:r>
      <w:r w:rsidR="007C0BE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7C0BE0">
        <w:rPr>
          <w:rFonts w:ascii="Times New Roman" w:hAnsi="Times New Roman"/>
          <w:sz w:val="24"/>
          <w:szCs w:val="24"/>
          <w:lang w:eastAsia="pt-BR"/>
        </w:rPr>
        <w:t>mover pacientes acamados durante transferência e mudança de decúbito.</w:t>
      </w:r>
    </w:p>
    <w:p w:rsidR="007C0BE0" w:rsidRDefault="007C0BE0" w:rsidP="007C0BE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lang w:eastAsia="pt-BR"/>
        </w:rPr>
      </w:pPr>
    </w:p>
    <w:p w:rsidR="007C0BE0" w:rsidRPr="007C0BE0" w:rsidRDefault="007C0BE0" w:rsidP="007C0BE0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ESCALA DE BRADEN</w:t>
      </w:r>
    </w:p>
    <w:p w:rsidR="007C0BE0" w:rsidRDefault="007C0BE0" w:rsidP="007C0BE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7C0BE0" w:rsidRDefault="007C0BE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A escala de </w:t>
      </w:r>
      <w:proofErr w:type="spellStart"/>
      <w:r>
        <w:rPr>
          <w:rFonts w:ascii="Times New Roman" w:hAnsi="Times New Roman"/>
          <w:sz w:val="24"/>
          <w:szCs w:val="24"/>
          <w:lang w:eastAsia="pt-BR"/>
        </w:rPr>
        <w:t>Braden</w:t>
      </w:r>
      <w:proofErr w:type="spellEnd"/>
      <w:r>
        <w:rPr>
          <w:rFonts w:ascii="Times New Roman" w:hAnsi="Times New Roman"/>
          <w:sz w:val="24"/>
          <w:szCs w:val="24"/>
          <w:lang w:eastAsia="pt-BR"/>
        </w:rPr>
        <w:t xml:space="preserve"> é um instrumento de avaliação de risco para o desenvolvimento de lesão por pressão. É a ferramenta mais amplamente utilizada dentre as várias disponíveis, sendo realizada no Sistema MV. Ela caracterizará o paciente em risco baixo, risco moderado, risco alto e risco muito alto para desenvolver LPP. A classificação do risco se dá inversamente proporcional à pontuação, ou seja, quanto maior o número de pontos menor é a classificação de risco para a ocorrência dessa lesão.</w:t>
      </w:r>
    </w:p>
    <w:p w:rsidR="007C0BE0" w:rsidRDefault="007C0BE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 xml:space="preserve">Esta escala deverá ser aplicada em cada internação e ser reavaliada diariamente até a alta do usuário. </w:t>
      </w: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6E3020" w:rsidRPr="007C0BE0" w:rsidRDefault="006E3020" w:rsidP="007C0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319A8" w:rsidRPr="002319A8" w:rsidRDefault="002319A8" w:rsidP="002319A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1955"/>
        <w:gridCol w:w="1955"/>
        <w:gridCol w:w="1956"/>
        <w:gridCol w:w="1956"/>
        <w:gridCol w:w="1956"/>
      </w:tblGrid>
      <w:tr w:rsidR="00F070F7" w:rsidRPr="006E3020" w:rsidTr="00F070F7"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lastRenderedPageBreak/>
              <w:t>Percepção Sensorial: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capacidade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reagir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significativamente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á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pressão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relacionada ao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desconforto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1-Totalmente limitado: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reage a estímulos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dolorosos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, devido ao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nível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consciência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diminuído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devido 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sedação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, ou capacidade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limitada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sentir dor na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maior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parte do corpo.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2-Muito limitado: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Somente reage 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estímulos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dolorosos. Não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é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capaz de comunicar 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desconforto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exceto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através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gemido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agitação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Ou possui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alguma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deficiência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sensorial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que limita 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capacidade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sentir dor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ou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desconforto em mais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metade do corpo.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3- Levemente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limitado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responde ao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comando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verbal, mas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nem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sempre é capaz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comunicar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desconforto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expressar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necessidade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ser mudado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posição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tem um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certo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grau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deficiência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sensorial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que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limita a capacidade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sentir dor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desconforto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em 1 ou 2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extremidades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4-Nenhuma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Limitação: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Responde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aos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comandos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verbais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Não tem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déficit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sensorial que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limitaria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 capacidade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sentir ou verbalizar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dor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desconforto.</w:t>
            </w:r>
          </w:p>
        </w:tc>
      </w:tr>
      <w:tr w:rsidR="00F070F7" w:rsidRPr="006E3020" w:rsidTr="00F070F7"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Umidade: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Nível ao qual 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pele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é exposta á umidade</w:t>
            </w:r>
          </w:p>
        </w:tc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1-Completamente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molhada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 pele é mantida molhada quase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constantemente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por transpiração, urina, etc.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 umidade é detectada ás movimentações do paciente.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2- Muito molhada: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pele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está freqüentemente,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nem sempre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molhada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A roupa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deve ser trocada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pelo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menos uma vez por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turno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3-Ocasionalmente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molhada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Apele fica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ocasionalmente</w:t>
            </w:r>
            <w:proofErr w:type="gramEnd"/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molhada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requerendo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uma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troca extra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roupa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cama.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4-Raramente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molhada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 pele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geralmente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está seca,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troca de roupa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é necessária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somente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nos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intervalos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rotina.</w:t>
            </w:r>
          </w:p>
        </w:tc>
      </w:tr>
      <w:tr w:rsidR="00F070F7" w:rsidRPr="006E3020" w:rsidTr="00F070F7"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Atividade: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Grau 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atividade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física.</w:t>
            </w:r>
          </w:p>
        </w:tc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1-Acamado: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Confinado a cama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2-Confinado á cadeira: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 capacidade de andar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está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severamente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limitada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nula. Não é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capaz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sustentar 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próprio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peso e/ou precisa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ser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ajudado a se sentar.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3-Anda Ocasionalmente: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Anda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ocasionalmente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durante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dia, embora distâncias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muito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curtas, com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sem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ajuda., passa 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maior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parte de cada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turno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na cama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cadeira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4-Anda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freqüentemente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Anda fora do quarto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pelo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menos 2 vezes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por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dia e dentro do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quarto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pelo menos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uma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vez a cada 2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horas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durante as horas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que está acordado.</w:t>
            </w:r>
          </w:p>
        </w:tc>
      </w:tr>
      <w:tr w:rsidR="00F070F7" w:rsidRPr="006E3020" w:rsidTr="00F070F7"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Mobilidade: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Capacidade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mudar e controlar 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posição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do corpo</w:t>
            </w:r>
          </w:p>
        </w:tc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1-Totalmente imóvel: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Não faz nem mesmo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pequenas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mudanças na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posição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do corpo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extremidade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sem ajuda.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2- Bastante limitado: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Faz pequenas mudanças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ocasionais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na posição do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corpo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extremidades,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é incapaz de fazer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mudanças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freqüentes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significantes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sozinho.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3- Levemente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limitado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Faz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freqüentes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, embora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pequenas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mudanças na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posição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do corpo ou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extremidades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sem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ajuda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6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4- Não </w:t>
            </w: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apresenta</w:t>
            </w:r>
            <w:proofErr w:type="gramEnd"/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Limitação: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Faz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importantes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freqüentes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mudanças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posição sem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auxílio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</w:tr>
      <w:tr w:rsidR="00F070F7" w:rsidRPr="006E3020" w:rsidTr="00F070F7">
        <w:tc>
          <w:tcPr>
            <w:tcW w:w="1955" w:type="dxa"/>
          </w:tcPr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Nutrição: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padrão usual</w:t>
            </w:r>
          </w:p>
          <w:p w:rsidR="00F070F7" w:rsidRPr="006E3020" w:rsidRDefault="00F070F7" w:rsidP="00F070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consumo alimentar</w:t>
            </w:r>
          </w:p>
        </w:tc>
        <w:tc>
          <w:tcPr>
            <w:tcW w:w="1955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1-Muito Pobre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: Nunca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uma refeição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completa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Raramente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mais de 1/3 do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alimento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oferecido.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Ingere pouco líquido.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Não aceita suplemento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alimentar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líquido. Ou é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mantido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em jejum e/ou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dieta líquida por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mais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5 dias.</w:t>
            </w:r>
          </w:p>
        </w:tc>
        <w:tc>
          <w:tcPr>
            <w:tcW w:w="1956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2-Provavelmente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inadequado</w:t>
            </w:r>
            <w:proofErr w:type="gramEnd"/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Raramente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uma refeição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completa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 geralmente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cerca da metade do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alimento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oferecido.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Ocasionalmente aceitará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um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suplemento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alimentar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Ou recebe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abaixo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da quantidade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satisfatória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de dieta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líquida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alimentação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por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sonda.</w:t>
            </w:r>
          </w:p>
        </w:tc>
        <w:tc>
          <w:tcPr>
            <w:tcW w:w="1956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3-Adequado: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mais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da metade da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maioria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das refeições.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Ocasionalmente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recusará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uma refeição,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geralmente aceitará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um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complemento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oferecido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Ou é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alimentado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por sonda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ou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regime de Nutrição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Parenteral Total.</w:t>
            </w:r>
          </w:p>
        </w:tc>
        <w:tc>
          <w:tcPr>
            <w:tcW w:w="1956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4-Excelente: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Come 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maior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parte de cada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refeição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Nunca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recusa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uma refeição.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Ocasionalmente come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entre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as refeições.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Não requer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suplemento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alimentar.</w:t>
            </w:r>
          </w:p>
        </w:tc>
      </w:tr>
      <w:tr w:rsidR="00F070F7" w:rsidRPr="006E3020" w:rsidTr="00F070F7">
        <w:tc>
          <w:tcPr>
            <w:tcW w:w="1955" w:type="dxa"/>
          </w:tcPr>
          <w:p w:rsidR="00F070F7" w:rsidRPr="006E3020" w:rsidRDefault="006E3020" w:rsidP="003210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Fricção e cisalhamento</w:t>
            </w:r>
          </w:p>
        </w:tc>
        <w:tc>
          <w:tcPr>
            <w:tcW w:w="1955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1-Problema: </w:t>
            </w: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Requer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assistência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moderada 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máxima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para se mover.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É impossível levantá-lo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ou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erguê-lo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completamente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sem que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haja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atrito com o lençol.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Freqüentemente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escorrega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na cama ou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cadeira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6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2-Problema em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 xml:space="preserve">Potencial: </w:t>
            </w: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Move-se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, mas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sem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vigor ou requer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mínima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assistência.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Durante o movimento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provavelmente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ocorre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um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certo atrito da pele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 lençol, cadeira ou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outros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 Ocasionalmente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escorrega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.</w:t>
            </w:r>
          </w:p>
        </w:tc>
        <w:tc>
          <w:tcPr>
            <w:tcW w:w="1956" w:type="dxa"/>
          </w:tcPr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b/>
                <w:bCs/>
                <w:sz w:val="16"/>
                <w:szCs w:val="16"/>
                <w:lang w:eastAsia="pt-BR"/>
              </w:rPr>
              <w:t>3-Nenhum Problema: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Move-se sozinho na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cadeira e tem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suficiente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força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muscular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para erguer-se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completamente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durante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o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movimento. Sempre</w:t>
            </w:r>
          </w:p>
          <w:p w:rsidR="006E3020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mantém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boa posição na</w:t>
            </w:r>
          </w:p>
          <w:p w:rsidR="00F070F7" w:rsidRPr="006E3020" w:rsidRDefault="006E3020" w:rsidP="006E30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  <w:proofErr w:type="gramStart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>cama</w:t>
            </w:r>
            <w:proofErr w:type="gramEnd"/>
            <w:r w:rsidRPr="006E3020">
              <w:rPr>
                <w:rFonts w:ascii="Times New Roman" w:hAnsi="Times New Roman"/>
                <w:sz w:val="16"/>
                <w:szCs w:val="16"/>
                <w:lang w:eastAsia="pt-BR"/>
              </w:rPr>
              <w:t xml:space="preserve"> ou na cadeira.</w:t>
            </w:r>
          </w:p>
        </w:tc>
        <w:tc>
          <w:tcPr>
            <w:tcW w:w="1956" w:type="dxa"/>
          </w:tcPr>
          <w:p w:rsidR="00F070F7" w:rsidRPr="006E3020" w:rsidRDefault="00F070F7" w:rsidP="0032101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  <w:lang w:eastAsia="pt-BR"/>
              </w:rPr>
            </w:pPr>
          </w:p>
        </w:tc>
      </w:tr>
    </w:tbl>
    <w:p w:rsidR="00321017" w:rsidRDefault="00321017" w:rsidP="003210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321017" w:rsidRDefault="00321017" w:rsidP="003210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Default="006E3020" w:rsidP="006E3020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MEDIDAS PREVENTIVAS PARA LPP CONFORME CLASSIFICAÇÃO DE RISCO</w:t>
      </w:r>
    </w:p>
    <w:p w:rsidR="006E3020" w:rsidRDefault="006E3020" w:rsidP="006E302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Pr="00C21EC7" w:rsidRDefault="00C21EC7" w:rsidP="00C21EC7">
      <w:pPr>
        <w:ind w:firstLine="360"/>
        <w:rPr>
          <w:rFonts w:ascii="Times New Roman" w:hAnsi="Times New Roman"/>
          <w:b/>
          <w:sz w:val="24"/>
          <w:szCs w:val="24"/>
          <w:lang w:eastAsia="pt-BR"/>
        </w:rPr>
      </w:pPr>
      <w:proofErr w:type="gramStart"/>
      <w:r w:rsidRPr="00C21EC7">
        <w:rPr>
          <w:rFonts w:ascii="Times New Roman" w:hAnsi="Times New Roman"/>
          <w:b/>
          <w:sz w:val="24"/>
          <w:szCs w:val="24"/>
          <w:lang w:eastAsia="pt-BR"/>
        </w:rPr>
        <w:t xml:space="preserve">11.1 </w:t>
      </w:r>
      <w:r w:rsidR="006E3020" w:rsidRPr="00C21EC7">
        <w:rPr>
          <w:rFonts w:ascii="Times New Roman" w:hAnsi="Times New Roman"/>
          <w:b/>
          <w:sz w:val="24"/>
          <w:szCs w:val="24"/>
          <w:lang w:eastAsia="pt-BR"/>
        </w:rPr>
        <w:t>Risco</w:t>
      </w:r>
      <w:proofErr w:type="gramEnd"/>
      <w:r w:rsidR="006E3020" w:rsidRPr="00C21EC7">
        <w:rPr>
          <w:rFonts w:ascii="Times New Roman" w:hAnsi="Times New Roman"/>
          <w:b/>
          <w:sz w:val="24"/>
          <w:szCs w:val="24"/>
          <w:lang w:eastAsia="pt-BR"/>
        </w:rPr>
        <w:t xml:space="preserve"> baixo (15 a 18 pontos na escala de </w:t>
      </w:r>
      <w:proofErr w:type="spellStart"/>
      <w:r w:rsidR="006E3020" w:rsidRPr="00C21EC7">
        <w:rPr>
          <w:rFonts w:ascii="Times New Roman" w:hAnsi="Times New Roman"/>
          <w:b/>
          <w:sz w:val="24"/>
          <w:szCs w:val="24"/>
          <w:lang w:eastAsia="pt-BR"/>
        </w:rPr>
        <w:t>Braden</w:t>
      </w:r>
      <w:proofErr w:type="spellEnd"/>
      <w:r w:rsidR="006E3020" w:rsidRPr="00C21EC7">
        <w:rPr>
          <w:rFonts w:ascii="Times New Roman" w:hAnsi="Times New Roman"/>
          <w:b/>
          <w:sz w:val="24"/>
          <w:szCs w:val="24"/>
          <w:lang w:eastAsia="pt-BR"/>
        </w:rPr>
        <w:t>):</w:t>
      </w:r>
    </w:p>
    <w:p w:rsidR="006E3020" w:rsidRPr="006E3020" w:rsidRDefault="006E3020" w:rsidP="006E3020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Cronograma de mudança de decúbito;</w:t>
      </w:r>
    </w:p>
    <w:p w:rsidR="006E3020" w:rsidRPr="006E3020" w:rsidRDefault="006E3020" w:rsidP="006E3020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proofErr w:type="gramStart"/>
      <w:r w:rsidRPr="006E3020">
        <w:rPr>
          <w:rFonts w:ascii="Times New Roman" w:hAnsi="Times New Roman"/>
          <w:sz w:val="24"/>
          <w:szCs w:val="24"/>
          <w:lang w:eastAsia="pt-BR"/>
        </w:rPr>
        <w:t>Otimização</w:t>
      </w:r>
      <w:proofErr w:type="gramEnd"/>
      <w:r w:rsidRPr="006E3020">
        <w:rPr>
          <w:rFonts w:ascii="Times New Roman" w:hAnsi="Times New Roman"/>
          <w:sz w:val="24"/>
          <w:szCs w:val="24"/>
          <w:lang w:eastAsia="pt-BR"/>
        </w:rPr>
        <w:t xml:space="preserve"> da mobilização;</w:t>
      </w:r>
    </w:p>
    <w:p w:rsidR="006E3020" w:rsidRPr="006E3020" w:rsidRDefault="006E3020" w:rsidP="006E3020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Proteção do calcanhar;</w:t>
      </w:r>
    </w:p>
    <w:p w:rsidR="006E3020" w:rsidRPr="006E3020" w:rsidRDefault="006E3020" w:rsidP="006E3020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Manejo da umidade, nutrição, fricção e cisalhamento, bem como uso de superfície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6E3020">
        <w:rPr>
          <w:rFonts w:ascii="Times New Roman" w:hAnsi="Times New Roman"/>
          <w:sz w:val="24"/>
          <w:szCs w:val="24"/>
          <w:lang w:eastAsia="pt-BR"/>
        </w:rPr>
        <w:t>redistribuição de pressão.</w:t>
      </w: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bCs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lang w:eastAsia="pt-BR"/>
        </w:rPr>
        <w:t>11.2</w:t>
      </w:r>
      <w:r w:rsidRPr="006E3020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>Risco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moderado (13 a 14 pontos na escala de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pt-BR"/>
        </w:rPr>
        <w:t>Braden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pt-BR"/>
        </w:rPr>
        <w:t>):</w:t>
      </w:r>
    </w:p>
    <w:p w:rsidR="006E3020" w:rsidRPr="006E3020" w:rsidRDefault="006E3020" w:rsidP="006E3020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Continuar as intervenções do risco baixo;</w:t>
      </w:r>
    </w:p>
    <w:p w:rsidR="006E3020" w:rsidRPr="006E3020" w:rsidRDefault="006E3020" w:rsidP="006E3020">
      <w:pPr>
        <w:pStyle w:val="PargrafodaLista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Mudança de decúbito com posicionamento a 30°.</w:t>
      </w: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bCs/>
          <w:sz w:val="24"/>
          <w:szCs w:val="24"/>
          <w:lang w:eastAsia="pt-BR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lang w:eastAsia="pt-BR"/>
        </w:rPr>
        <w:t>11.3 Risco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alto (10 a 12 pontos na escala de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pt-BR"/>
        </w:rPr>
        <w:t>Braden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pt-BR"/>
        </w:rPr>
        <w:t>):</w:t>
      </w:r>
    </w:p>
    <w:p w:rsidR="006E3020" w:rsidRPr="006E3020" w:rsidRDefault="006E3020" w:rsidP="006E3020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Continuar as intervenções do risco moderado;</w:t>
      </w:r>
    </w:p>
    <w:p w:rsidR="006E3020" w:rsidRPr="006E3020" w:rsidRDefault="006E3020" w:rsidP="006E3020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Mudança de decúbito frequente;</w:t>
      </w:r>
    </w:p>
    <w:p w:rsidR="006E3020" w:rsidRPr="006E3020" w:rsidRDefault="006E3020" w:rsidP="006E3020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 xml:space="preserve">Utilização de coxins de espuma para facilitar a </w:t>
      </w:r>
      <w:proofErr w:type="spellStart"/>
      <w:r w:rsidRPr="006E3020">
        <w:rPr>
          <w:rFonts w:ascii="Times New Roman" w:hAnsi="Times New Roman"/>
          <w:sz w:val="24"/>
          <w:szCs w:val="24"/>
          <w:lang w:eastAsia="pt-BR"/>
        </w:rPr>
        <w:t>lateralização</w:t>
      </w:r>
      <w:proofErr w:type="spellEnd"/>
      <w:r w:rsidRPr="006E3020">
        <w:rPr>
          <w:rFonts w:ascii="Times New Roman" w:hAnsi="Times New Roman"/>
          <w:sz w:val="24"/>
          <w:szCs w:val="24"/>
          <w:lang w:eastAsia="pt-BR"/>
        </w:rPr>
        <w:t xml:space="preserve"> a 30º.</w:t>
      </w: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11.4 </w:t>
      </w:r>
      <w:proofErr w:type="gramStart"/>
      <w:r>
        <w:rPr>
          <w:rFonts w:ascii="Times New Roman" w:hAnsi="Times New Roman"/>
          <w:b/>
          <w:bCs/>
          <w:sz w:val="24"/>
          <w:szCs w:val="24"/>
          <w:lang w:eastAsia="pt-BR"/>
        </w:rPr>
        <w:t>Risco</w:t>
      </w:r>
      <w:proofErr w:type="gramEnd"/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 muito alto (</w:t>
      </w:r>
      <w:r>
        <w:rPr>
          <w:rFonts w:ascii="TimesNewRoman,Bold" w:eastAsia="TimesNewRoman,Bold" w:hAnsi="Times New Roman" w:cs="TimesNewRoman,Bold" w:hint="eastAsia"/>
          <w:b/>
          <w:bCs/>
          <w:sz w:val="24"/>
          <w:szCs w:val="24"/>
          <w:lang w:eastAsia="pt-BR"/>
        </w:rPr>
        <w:t>≤</w:t>
      </w:r>
      <w:r>
        <w:rPr>
          <w:rFonts w:ascii="Times New Roman" w:hAnsi="Times New Roman"/>
          <w:b/>
          <w:bCs/>
          <w:sz w:val="24"/>
          <w:szCs w:val="24"/>
          <w:lang w:eastAsia="pt-BR"/>
        </w:rPr>
        <w:t xml:space="preserve">9 pontos na escala de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pt-BR"/>
        </w:rPr>
        <w:t>Braden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pt-BR"/>
        </w:rPr>
        <w:t>):</w:t>
      </w:r>
    </w:p>
    <w:p w:rsidR="006E3020" w:rsidRPr="006E3020" w:rsidRDefault="006E3020" w:rsidP="006E302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Continuar as intervenções do risco alto;</w:t>
      </w:r>
    </w:p>
    <w:p w:rsidR="006E3020" w:rsidRPr="006E3020" w:rsidRDefault="006E3020" w:rsidP="006E302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Utilização de superfícies de apoio dinâmico com pequena perda de ar, se possível;</w:t>
      </w:r>
    </w:p>
    <w:p w:rsidR="006E3020" w:rsidRPr="006E3020" w:rsidRDefault="006E3020" w:rsidP="006E3020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6E3020">
        <w:rPr>
          <w:rFonts w:ascii="Times New Roman" w:hAnsi="Times New Roman"/>
          <w:sz w:val="24"/>
          <w:szCs w:val="24"/>
          <w:lang w:eastAsia="pt-BR"/>
        </w:rPr>
        <w:t>Manejo da dor.</w:t>
      </w:r>
    </w:p>
    <w:p w:rsidR="006E3020" w:rsidRDefault="006E3020" w:rsidP="006E30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Pr="006E3020" w:rsidRDefault="006E3020" w:rsidP="006E30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B9792C" w:rsidRPr="006E3020" w:rsidRDefault="006E3020" w:rsidP="006E3020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REFERÊNCIAS BIBLIOGRÁFICAS</w:t>
      </w:r>
      <w:r w:rsidR="00B9792C" w:rsidRPr="006E3020">
        <w:rPr>
          <w:rFonts w:ascii="Times New Roman" w:hAnsi="Times New Roman"/>
          <w:b/>
          <w:bCs/>
          <w:sz w:val="24"/>
          <w:szCs w:val="24"/>
          <w:lang w:eastAsia="pt-BR"/>
        </w:rPr>
        <w:t>:</w:t>
      </w:r>
    </w:p>
    <w:p w:rsidR="004515F5" w:rsidRPr="009A2403" w:rsidRDefault="004515F5" w:rsidP="00B9792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6E3020" w:rsidRDefault="006E3020" w:rsidP="00173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  <w:r w:rsidRPr="00EC1086">
        <w:rPr>
          <w:rFonts w:ascii="Times New Roman" w:hAnsi="Times New Roman"/>
          <w:lang w:eastAsia="pt-BR"/>
        </w:rPr>
        <w:t xml:space="preserve">BRASIL. ANVISA. Agência Nacional de Vigilância Sanitária. </w:t>
      </w:r>
      <w:r w:rsidRPr="00EC1086">
        <w:rPr>
          <w:rFonts w:ascii="Times New Roman" w:hAnsi="Times New Roman"/>
          <w:b/>
          <w:bCs/>
          <w:lang w:eastAsia="pt-BR"/>
        </w:rPr>
        <w:t>Segurança do Paciente e</w:t>
      </w:r>
      <w:r w:rsidR="00173582" w:rsidRPr="00EC1086">
        <w:rPr>
          <w:rFonts w:ascii="Times New Roman" w:hAnsi="Times New Roman"/>
          <w:b/>
          <w:bCs/>
          <w:lang w:eastAsia="pt-BR"/>
        </w:rPr>
        <w:t xml:space="preserve"> </w:t>
      </w:r>
      <w:r w:rsidRPr="00EC1086">
        <w:rPr>
          <w:rFonts w:ascii="Times New Roman" w:hAnsi="Times New Roman"/>
          <w:b/>
          <w:bCs/>
          <w:lang w:eastAsia="pt-BR"/>
        </w:rPr>
        <w:t>Qualidade em Serviços de Saúde - Medidas de Prevenção de Infecção Relacionada à</w:t>
      </w:r>
      <w:r w:rsidR="00173582" w:rsidRPr="00EC1086">
        <w:rPr>
          <w:rFonts w:ascii="Times New Roman" w:hAnsi="Times New Roman"/>
          <w:b/>
          <w:bCs/>
          <w:lang w:eastAsia="pt-BR"/>
        </w:rPr>
        <w:t xml:space="preserve"> </w:t>
      </w:r>
      <w:r w:rsidRPr="00EC1086">
        <w:rPr>
          <w:rFonts w:ascii="Times New Roman" w:hAnsi="Times New Roman"/>
          <w:b/>
          <w:bCs/>
          <w:lang w:eastAsia="pt-BR"/>
        </w:rPr>
        <w:t xml:space="preserve">Assistência à Saúde. </w:t>
      </w:r>
      <w:r w:rsidRPr="00EC1086">
        <w:rPr>
          <w:rFonts w:ascii="Times New Roman" w:hAnsi="Times New Roman"/>
          <w:lang w:eastAsia="pt-BR"/>
        </w:rPr>
        <w:t>1ª ed. 2013.</w:t>
      </w:r>
    </w:p>
    <w:p w:rsidR="00920FD7" w:rsidRDefault="00920FD7" w:rsidP="00173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</w:p>
    <w:p w:rsidR="00920FD7" w:rsidRPr="00EC1086" w:rsidRDefault="00920FD7" w:rsidP="0092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81"/>
          <w:lang w:eastAsia="pt-BR"/>
        </w:rPr>
      </w:pPr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BRASIL. </w:t>
      </w:r>
      <w:proofErr w:type="spellStart"/>
      <w:r w:rsidRPr="00EC1086">
        <w:rPr>
          <w:rFonts w:ascii="Times New Roman" w:eastAsia="LiberationSerif" w:hAnsi="Times New Roman"/>
          <w:color w:val="00000A"/>
          <w:lang w:eastAsia="pt-BR"/>
        </w:rPr>
        <w:t>Ministerio</w:t>
      </w:r>
      <w:proofErr w:type="spellEnd"/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 da </w:t>
      </w:r>
      <w:proofErr w:type="spellStart"/>
      <w:r w:rsidRPr="00EC1086">
        <w:rPr>
          <w:rFonts w:ascii="Times New Roman" w:eastAsia="LiberationSerif" w:hAnsi="Times New Roman"/>
          <w:color w:val="00000A"/>
          <w:lang w:eastAsia="pt-BR"/>
        </w:rPr>
        <w:t>Saude</w:t>
      </w:r>
      <w:proofErr w:type="spellEnd"/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. Programa Nacional de </w:t>
      </w:r>
      <w:proofErr w:type="spellStart"/>
      <w:r w:rsidRPr="00EC1086">
        <w:rPr>
          <w:rFonts w:ascii="Times New Roman" w:eastAsia="LiberationSerif" w:hAnsi="Times New Roman"/>
          <w:color w:val="00000A"/>
          <w:lang w:eastAsia="pt-BR"/>
        </w:rPr>
        <w:t>Seguranca</w:t>
      </w:r>
      <w:proofErr w:type="spellEnd"/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 do Paciente: protocolo para </w:t>
      </w:r>
      <w:proofErr w:type="spellStart"/>
      <w:r w:rsidRPr="00EC1086">
        <w:rPr>
          <w:rFonts w:ascii="Times New Roman" w:eastAsia="LiberationSerif" w:hAnsi="Times New Roman"/>
          <w:color w:val="00000A"/>
          <w:lang w:eastAsia="pt-BR"/>
        </w:rPr>
        <w:t>prevencao</w:t>
      </w:r>
      <w:proofErr w:type="spellEnd"/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 de ulcera por </w:t>
      </w:r>
      <w:proofErr w:type="spellStart"/>
      <w:r w:rsidRPr="00EC1086">
        <w:rPr>
          <w:rFonts w:ascii="Times New Roman" w:eastAsia="LiberationSerif" w:hAnsi="Times New Roman"/>
          <w:color w:val="00000A"/>
          <w:lang w:eastAsia="pt-BR"/>
        </w:rPr>
        <w:t>pressao</w:t>
      </w:r>
      <w:proofErr w:type="spellEnd"/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. PROQUALIS. Maio de 2013. Acesso Dez. de 2018. </w:t>
      </w:r>
      <w:proofErr w:type="spellStart"/>
      <w:r w:rsidRPr="00EC1086">
        <w:rPr>
          <w:rFonts w:ascii="Times New Roman" w:eastAsia="LiberationSerif" w:hAnsi="Times New Roman"/>
          <w:color w:val="00000A"/>
          <w:lang w:eastAsia="pt-BR"/>
        </w:rPr>
        <w:t>Disponivel</w:t>
      </w:r>
      <w:proofErr w:type="spellEnd"/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: </w:t>
      </w:r>
      <w:hyperlink r:id="rId9" w:history="1">
        <w:r w:rsidRPr="00EC1086">
          <w:rPr>
            <w:rStyle w:val="Hyperlink"/>
            <w:rFonts w:ascii="Times New Roman" w:eastAsia="LiberationSerif" w:hAnsi="Times New Roman"/>
            <w:lang w:eastAsia="pt-BR"/>
          </w:rPr>
          <w:t>http://portalsaude.saude.gov.br/portalsaude/arquivos/pdf/2013/Mai/06/protocolos_CP_n6_2013.pdf</w:t>
        </w:r>
      </w:hyperlink>
    </w:p>
    <w:p w:rsidR="00920FD7" w:rsidRPr="00EC1086" w:rsidRDefault="00920FD7" w:rsidP="00920F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81"/>
          <w:lang w:eastAsia="pt-BR"/>
        </w:rPr>
      </w:pPr>
    </w:p>
    <w:p w:rsidR="00C21EC7" w:rsidRPr="00EC1086" w:rsidRDefault="00EC1086" w:rsidP="00173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/>
          <w:color w:val="000081"/>
          <w:lang w:eastAsia="pt-BR"/>
        </w:rPr>
      </w:pPr>
      <w:r w:rsidRPr="00EC1086">
        <w:rPr>
          <w:rFonts w:ascii="Times New Roman" w:hAnsi="Times New Roman"/>
          <w:color w:val="222222"/>
          <w:shd w:val="clear" w:color="auto" w:fill="FFFFFF"/>
        </w:rPr>
        <w:t xml:space="preserve">DE OLIVEIRA LOPES, Fernanda Marcondes </w:t>
      </w:r>
      <w:proofErr w:type="spellStart"/>
      <w:proofErr w:type="gramStart"/>
      <w:r w:rsidRPr="00EC1086">
        <w:rPr>
          <w:rFonts w:ascii="Times New Roman" w:hAnsi="Times New Roman"/>
          <w:color w:val="222222"/>
          <w:shd w:val="clear" w:color="auto" w:fill="FFFFFF"/>
        </w:rPr>
        <w:t>et</w:t>
      </w:r>
      <w:proofErr w:type="spellEnd"/>
      <w:proofErr w:type="gramEnd"/>
      <w:r w:rsidRPr="00EC1086">
        <w:rPr>
          <w:rFonts w:ascii="Times New Roman" w:hAnsi="Times New Roman"/>
          <w:color w:val="222222"/>
          <w:shd w:val="clear" w:color="auto" w:fill="FFFFFF"/>
        </w:rPr>
        <w:t xml:space="preserve"> al. A SISTEMATIZAÇÃO DA ASSISTÊNCIA DE ENFERMAGEM NA PREVENÇÃO DE LPP, SOB ANÁLISE DA ESCALAS DE BRADEN: SISTEMATIZAÇÃO DA ASSISTÊNCIA DE ENFERMAGEM NA PREVENÇÃO DE LPP, SOB ANÁLISE DA ESCALAS DE BRADEN. </w:t>
      </w:r>
      <w:r w:rsidRPr="00EC1086">
        <w:rPr>
          <w:rFonts w:ascii="Times New Roman" w:hAnsi="Times New Roman"/>
          <w:b/>
          <w:bCs/>
          <w:color w:val="222222"/>
          <w:shd w:val="clear" w:color="auto" w:fill="FFFFFF"/>
        </w:rPr>
        <w:t>ANAIS DE INICIAÇÃO CIENTÍFICA</w:t>
      </w:r>
      <w:r w:rsidRPr="00EC1086">
        <w:rPr>
          <w:rFonts w:ascii="Times New Roman" w:hAnsi="Times New Roman"/>
          <w:color w:val="222222"/>
          <w:shd w:val="clear" w:color="auto" w:fill="FFFFFF"/>
        </w:rPr>
        <w:t>, v. 19, n. 19, 2022.</w:t>
      </w:r>
      <w:r w:rsidRPr="00EC1086">
        <w:rPr>
          <w:rFonts w:ascii="Times New Roman" w:eastAsia="LiberationSerif" w:hAnsi="Times New Roman"/>
          <w:color w:val="00000A"/>
          <w:lang w:eastAsia="pt-BR"/>
        </w:rPr>
        <w:t xml:space="preserve"> </w:t>
      </w:r>
    </w:p>
    <w:p w:rsidR="00920FD7" w:rsidRDefault="00920FD7" w:rsidP="00EC10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</w:p>
    <w:p w:rsidR="00EC1086" w:rsidRPr="00EC1086" w:rsidRDefault="00EC1086" w:rsidP="00EC10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eastAsia="pt-BR"/>
        </w:rPr>
      </w:pPr>
      <w:r w:rsidRPr="00EC1086">
        <w:rPr>
          <w:rFonts w:ascii="Times New Roman" w:hAnsi="Times New Roman"/>
          <w:lang w:eastAsia="pt-BR"/>
        </w:rPr>
        <w:t xml:space="preserve">MINISTERIO DA SAÚDE. Anexo 02: PROTOCOLO PARA PREVENÇÃO DE ÚLCERA POR PRESSÃO. Ministério da Saúde/ </w:t>
      </w:r>
      <w:proofErr w:type="spellStart"/>
      <w:proofErr w:type="gramStart"/>
      <w:r w:rsidRPr="00EC1086">
        <w:rPr>
          <w:rFonts w:ascii="Times New Roman" w:hAnsi="Times New Roman"/>
          <w:lang w:eastAsia="pt-BR"/>
        </w:rPr>
        <w:t>Anvisa</w:t>
      </w:r>
      <w:proofErr w:type="spellEnd"/>
      <w:proofErr w:type="gramEnd"/>
      <w:r w:rsidRPr="00EC1086">
        <w:rPr>
          <w:rFonts w:ascii="Times New Roman" w:hAnsi="Times New Roman"/>
          <w:lang w:eastAsia="pt-BR"/>
        </w:rPr>
        <w:t>/ Fiocruz;2013.</w:t>
      </w:r>
    </w:p>
    <w:p w:rsidR="00EC1086" w:rsidRPr="00EC1086" w:rsidRDefault="00EC1086" w:rsidP="00EC1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lang w:eastAsia="pt-BR"/>
        </w:rPr>
      </w:pPr>
    </w:p>
    <w:p w:rsidR="00C21EC7" w:rsidRPr="00EC1086" w:rsidRDefault="00EC1086" w:rsidP="00173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22222"/>
          <w:shd w:val="clear" w:color="auto" w:fill="FFFFFF"/>
        </w:rPr>
      </w:pPr>
      <w:r w:rsidRPr="00EC1086">
        <w:rPr>
          <w:rFonts w:ascii="Times New Roman" w:hAnsi="Times New Roman"/>
          <w:color w:val="222222"/>
          <w:shd w:val="clear" w:color="auto" w:fill="FFFFFF"/>
        </w:rPr>
        <w:t xml:space="preserve">VESTEMBERG, </w:t>
      </w:r>
      <w:proofErr w:type="spellStart"/>
      <w:r w:rsidRPr="00EC1086">
        <w:rPr>
          <w:rFonts w:ascii="Times New Roman" w:hAnsi="Times New Roman"/>
          <w:color w:val="222222"/>
          <w:shd w:val="clear" w:color="auto" w:fill="FFFFFF"/>
        </w:rPr>
        <w:t>Cristielen</w:t>
      </w:r>
      <w:proofErr w:type="spellEnd"/>
      <w:r w:rsidRPr="00EC1086">
        <w:rPr>
          <w:rFonts w:ascii="Times New Roman" w:hAnsi="Times New Roman"/>
          <w:color w:val="222222"/>
          <w:shd w:val="clear" w:color="auto" w:fill="FFFFFF"/>
        </w:rPr>
        <w:t xml:space="preserve"> Valadares </w:t>
      </w:r>
      <w:proofErr w:type="spellStart"/>
      <w:proofErr w:type="gramStart"/>
      <w:r w:rsidRPr="00EC1086">
        <w:rPr>
          <w:rFonts w:ascii="Times New Roman" w:hAnsi="Times New Roman"/>
          <w:color w:val="222222"/>
          <w:shd w:val="clear" w:color="auto" w:fill="FFFFFF"/>
        </w:rPr>
        <w:t>et</w:t>
      </w:r>
      <w:proofErr w:type="spellEnd"/>
      <w:proofErr w:type="gramEnd"/>
      <w:r w:rsidRPr="00EC1086">
        <w:rPr>
          <w:rFonts w:ascii="Times New Roman" w:hAnsi="Times New Roman"/>
          <w:color w:val="222222"/>
          <w:shd w:val="clear" w:color="auto" w:fill="FFFFFF"/>
        </w:rPr>
        <w:t xml:space="preserve"> al. PREVENÇÃO DE LESÃO POR PRESSÃO NO CONTEXTO HOSPITALAR: UMA REVISÃO SISTEMÁTICA. </w:t>
      </w:r>
      <w:r w:rsidRPr="00EC1086">
        <w:rPr>
          <w:rFonts w:ascii="Times New Roman" w:hAnsi="Times New Roman"/>
          <w:b/>
          <w:bCs/>
          <w:color w:val="222222"/>
          <w:shd w:val="clear" w:color="auto" w:fill="FFFFFF"/>
        </w:rPr>
        <w:t>Revista CPAQV-</w:t>
      </w:r>
      <w:r>
        <w:rPr>
          <w:rFonts w:ascii="Times New Roman" w:hAnsi="Times New Roman"/>
          <w:b/>
          <w:bCs/>
          <w:color w:val="222222"/>
          <w:shd w:val="clear" w:color="auto" w:fill="FFFFFF"/>
        </w:rPr>
        <w:t xml:space="preserve"> </w:t>
      </w:r>
      <w:r w:rsidRPr="00EC1086">
        <w:rPr>
          <w:rFonts w:ascii="Times New Roman" w:hAnsi="Times New Roman"/>
          <w:b/>
          <w:bCs/>
          <w:color w:val="222222"/>
          <w:shd w:val="clear" w:color="auto" w:fill="FFFFFF"/>
        </w:rPr>
        <w:t>Centro de Pesquisas Avançadas em Qualidade de Vida</w:t>
      </w:r>
      <w:r>
        <w:rPr>
          <w:rFonts w:ascii="Times New Roman" w:hAnsi="Times New Roman"/>
          <w:b/>
          <w:bCs/>
          <w:color w:val="222222"/>
          <w:shd w:val="clear" w:color="auto" w:fill="FFFFFF"/>
        </w:rPr>
        <w:t xml:space="preserve"> </w:t>
      </w:r>
      <w:r w:rsidRPr="00EC1086">
        <w:rPr>
          <w:rFonts w:ascii="Times New Roman" w:hAnsi="Times New Roman"/>
          <w:b/>
          <w:bCs/>
          <w:color w:val="222222"/>
          <w:shd w:val="clear" w:color="auto" w:fill="FFFFFF"/>
        </w:rPr>
        <w:t>-</w:t>
      </w:r>
      <w:r>
        <w:rPr>
          <w:rFonts w:ascii="Times New Roman" w:hAnsi="Times New Roman"/>
          <w:b/>
          <w:bCs/>
          <w:color w:val="222222"/>
          <w:shd w:val="clear" w:color="auto" w:fill="FFFFFF"/>
        </w:rPr>
        <w:t xml:space="preserve"> </w:t>
      </w:r>
      <w:r w:rsidRPr="00EC1086">
        <w:rPr>
          <w:rFonts w:ascii="Times New Roman" w:hAnsi="Times New Roman"/>
          <w:b/>
          <w:bCs/>
          <w:color w:val="222222"/>
          <w:shd w:val="clear" w:color="auto" w:fill="FFFFFF"/>
        </w:rPr>
        <w:t xml:space="preserve">CPAQV </w:t>
      </w:r>
      <w:proofErr w:type="spellStart"/>
      <w:r w:rsidRPr="00EC1086">
        <w:rPr>
          <w:rFonts w:ascii="Times New Roman" w:hAnsi="Times New Roman"/>
          <w:b/>
          <w:bCs/>
          <w:color w:val="222222"/>
          <w:shd w:val="clear" w:color="auto" w:fill="FFFFFF"/>
        </w:rPr>
        <w:t>Journal</w:t>
      </w:r>
      <w:proofErr w:type="spellEnd"/>
      <w:r w:rsidRPr="00EC1086">
        <w:rPr>
          <w:rFonts w:ascii="Times New Roman" w:hAnsi="Times New Roman"/>
          <w:color w:val="222222"/>
          <w:shd w:val="clear" w:color="auto" w:fill="FFFFFF"/>
        </w:rPr>
        <w:t xml:space="preserve">, v. 15, n. 1, 2023. Disponível em: </w:t>
      </w:r>
      <w:proofErr w:type="gramStart"/>
      <w:r w:rsidRPr="00EC1086">
        <w:rPr>
          <w:rFonts w:ascii="Times New Roman" w:hAnsi="Times New Roman"/>
          <w:color w:val="222222"/>
          <w:shd w:val="clear" w:color="auto" w:fill="FFFFFF"/>
        </w:rPr>
        <w:lastRenderedPageBreak/>
        <w:t>https</w:t>
      </w:r>
      <w:proofErr w:type="gramEnd"/>
      <w:r w:rsidRPr="00EC1086">
        <w:rPr>
          <w:rFonts w:ascii="Times New Roman" w:hAnsi="Times New Roman"/>
          <w:color w:val="222222"/>
          <w:shd w:val="clear" w:color="auto" w:fill="FFFFFF"/>
        </w:rPr>
        <w:t>://www.cpaqv.org/revista/CPAQV/ojs-2.3.7/index.php?</w:t>
      </w:r>
      <w:proofErr w:type="gramStart"/>
      <w:r w:rsidRPr="00EC1086">
        <w:rPr>
          <w:rFonts w:ascii="Times New Roman" w:hAnsi="Times New Roman"/>
          <w:color w:val="222222"/>
          <w:shd w:val="clear" w:color="auto" w:fill="FFFFFF"/>
        </w:rPr>
        <w:t>journal</w:t>
      </w:r>
      <w:proofErr w:type="gramEnd"/>
      <w:r w:rsidRPr="00EC1086">
        <w:rPr>
          <w:rFonts w:ascii="Times New Roman" w:hAnsi="Times New Roman"/>
          <w:color w:val="222222"/>
          <w:shd w:val="clear" w:color="auto" w:fill="FFFFFF"/>
        </w:rPr>
        <w:t>=CPAQV&amp;page=article&amp;op=view&amp;path%5B%5D=1090</w:t>
      </w:r>
    </w:p>
    <w:p w:rsidR="00EC1086" w:rsidRPr="00EC1086" w:rsidRDefault="00EC1086" w:rsidP="001735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Style w:val="Tabelacomgrade"/>
        <w:tblW w:w="9889" w:type="dxa"/>
        <w:tblLook w:val="04A0"/>
      </w:tblPr>
      <w:tblGrid>
        <w:gridCol w:w="3936"/>
        <w:gridCol w:w="3118"/>
        <w:gridCol w:w="2835"/>
      </w:tblGrid>
      <w:tr w:rsidR="00794940" w:rsidTr="00794940">
        <w:trPr>
          <w:trHeight w:val="1539"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940" w:rsidRDefault="007949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Elaborado por:</w:t>
            </w:r>
          </w:p>
          <w:p w:rsidR="00EC1086" w:rsidRDefault="00EC108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Nayanne Ingrid Farias Mota Guerra</w:t>
            </w:r>
          </w:p>
          <w:p w:rsidR="00794940" w:rsidRDefault="007949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CCIH/ Núcleo de Segurança do Paciente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940" w:rsidRDefault="007949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Revisado por:</w:t>
            </w:r>
          </w:p>
          <w:p w:rsidR="00EC1086" w:rsidRDefault="00EC1086" w:rsidP="00EC1086">
            <w:pPr>
              <w:ind w:right="-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Giulianna Carla Marçal Lourenço</w:t>
            </w:r>
          </w:p>
          <w:p w:rsidR="00EC1086" w:rsidRDefault="00EC1086" w:rsidP="00EC10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Coordenadora de Enfermagem</w:t>
            </w:r>
          </w:p>
          <w:p w:rsidR="00794940" w:rsidRDefault="007949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4940" w:rsidRDefault="0079494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Reconhecido por:</w:t>
            </w:r>
          </w:p>
          <w:p w:rsidR="00794940" w:rsidRDefault="00794940">
            <w:pPr>
              <w:ind w:right="-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Maria Helena Alves C de Oliveira</w:t>
            </w:r>
          </w:p>
          <w:p w:rsidR="00EC1086" w:rsidRDefault="00EC1086" w:rsidP="00EC10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Coordenadora de Enfermagem</w:t>
            </w:r>
          </w:p>
          <w:p w:rsidR="00EC1086" w:rsidRDefault="00EC1086" w:rsidP="00EC108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Sonia da Silva Delgado</w:t>
            </w:r>
          </w:p>
          <w:p w:rsidR="00794940" w:rsidRDefault="00EC1086" w:rsidP="00EC10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Diretora Assistencial</w:t>
            </w:r>
          </w:p>
        </w:tc>
      </w:tr>
      <w:tr w:rsidR="00794940" w:rsidTr="00794940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940" w:rsidRDefault="0079494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940" w:rsidRDefault="00794940" w:rsidP="00EC10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  <w:r w:rsidR="00EC1086">
              <w:rPr>
                <w:rFonts w:ascii="Times New Roman" w:hAnsi="Times New Roman"/>
                <w:sz w:val="24"/>
                <w:szCs w:val="24"/>
              </w:rPr>
              <w:t>: 01/06/2023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4940" w:rsidRDefault="00794940" w:rsidP="00EC108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Data: </w:t>
            </w:r>
            <w:r w:rsidR="00EC1086">
              <w:rPr>
                <w:rFonts w:ascii="Times New Roman" w:hAnsi="Times New Roman"/>
                <w:sz w:val="24"/>
                <w:szCs w:val="24"/>
              </w:rPr>
              <w:t>01/06/2023</w:t>
            </w:r>
          </w:p>
        </w:tc>
      </w:tr>
    </w:tbl>
    <w:p w:rsidR="004515F5" w:rsidRPr="00B9792C" w:rsidRDefault="004515F5" w:rsidP="004515F5">
      <w:pPr>
        <w:rPr>
          <w:sz w:val="40"/>
          <w:szCs w:val="40"/>
        </w:rPr>
      </w:pPr>
    </w:p>
    <w:sectPr w:rsidR="004515F5" w:rsidRPr="00B9792C" w:rsidSect="003D4441">
      <w:headerReference w:type="default" r:id="rId10"/>
      <w:footerReference w:type="default" r:id="rId11"/>
      <w:pgSz w:w="11906" w:h="16838" w:code="9"/>
      <w:pgMar w:top="851" w:right="1134" w:bottom="851" w:left="1134" w:header="1701" w:footer="25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020" w:rsidRDefault="006E3020" w:rsidP="00B804FE">
      <w:pPr>
        <w:spacing w:after="0" w:line="240" w:lineRule="auto"/>
      </w:pPr>
      <w:r>
        <w:separator/>
      </w:r>
    </w:p>
  </w:endnote>
  <w:endnote w:type="continuationSeparator" w:id="0">
    <w:p w:rsidR="006E3020" w:rsidRDefault="006E3020" w:rsidP="00B8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20" w:rsidRDefault="006E302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0" allowOverlap="0">
          <wp:simplePos x="0" y="0"/>
          <wp:positionH relativeFrom="page">
            <wp:posOffset>3070860</wp:posOffset>
          </wp:positionH>
          <wp:positionV relativeFrom="page">
            <wp:posOffset>9639300</wp:posOffset>
          </wp:positionV>
          <wp:extent cx="1666875" cy="978535"/>
          <wp:effectExtent l="19050" t="0" r="9525" b="0"/>
          <wp:wrapTight wrapText="bothSides">
            <wp:wrapPolygon edited="0">
              <wp:start x="-247" y="0"/>
              <wp:lineTo x="-247" y="21025"/>
              <wp:lineTo x="21723" y="21025"/>
              <wp:lineTo x="21723" y="0"/>
              <wp:lineTo x="-247" y="0"/>
            </wp:wrapPolygon>
          </wp:wrapTight>
          <wp:docPr id="2" name="Imagem 2" descr="Endereç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Endereç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978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020" w:rsidRDefault="006E3020" w:rsidP="00B804FE">
      <w:pPr>
        <w:spacing w:after="0" w:line="240" w:lineRule="auto"/>
      </w:pPr>
      <w:r>
        <w:separator/>
      </w:r>
    </w:p>
  </w:footnote>
  <w:footnote w:type="continuationSeparator" w:id="0">
    <w:p w:rsidR="006E3020" w:rsidRDefault="006E3020" w:rsidP="00B8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020" w:rsidRDefault="006E3020">
    <w:pPr>
      <w:pStyle w:val="Cabealho"/>
    </w:pPr>
    <w:r>
      <w:rPr>
        <w:noProof/>
        <w:lang w:eastAsia="pt-BR"/>
      </w:rPr>
      <w:drawing>
        <wp:anchor distT="0" distB="0" distL="114935" distR="114300" simplePos="0" relativeHeight="251660288" behindDoc="1" locked="0" layoutInCell="1" allowOverlap="1">
          <wp:simplePos x="0" y="0"/>
          <wp:positionH relativeFrom="page">
            <wp:posOffset>3422650</wp:posOffset>
          </wp:positionH>
          <wp:positionV relativeFrom="paragraph">
            <wp:posOffset>-539750</wp:posOffset>
          </wp:positionV>
          <wp:extent cx="3456305" cy="530860"/>
          <wp:effectExtent l="19050" t="0" r="0" b="0"/>
          <wp:wrapTight wrapText="left">
            <wp:wrapPolygon edited="0">
              <wp:start x="-119" y="0"/>
              <wp:lineTo x="-119" y="20928"/>
              <wp:lineTo x="21548" y="20928"/>
              <wp:lineTo x="21548" y="0"/>
              <wp:lineTo x="-119" y="0"/>
            </wp:wrapPolygon>
          </wp:wrapTight>
          <wp:docPr id="1" name="Imagem 1" descr="Logo IWG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IWGP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5630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8EDBDAA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79838CB2"/>
    <w:lvl w:ilvl="0" w:tplc="FFFFFFFF">
      <w:start w:val="1"/>
      <w:numFmt w:val="bullet"/>
      <w:lvlText w:val="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353D0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9E61EC"/>
    <w:multiLevelType w:val="multilevel"/>
    <w:tmpl w:val="D5EC4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2D72BA7"/>
    <w:multiLevelType w:val="hybridMultilevel"/>
    <w:tmpl w:val="CBE805AA"/>
    <w:lvl w:ilvl="0" w:tplc="B0D0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792BA3"/>
    <w:multiLevelType w:val="hybridMultilevel"/>
    <w:tmpl w:val="34F856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12D00"/>
    <w:multiLevelType w:val="hybridMultilevel"/>
    <w:tmpl w:val="31920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61B0E"/>
    <w:multiLevelType w:val="hybridMultilevel"/>
    <w:tmpl w:val="60E0DD54"/>
    <w:lvl w:ilvl="0" w:tplc="645CA9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42157C0"/>
    <w:multiLevelType w:val="hybridMultilevel"/>
    <w:tmpl w:val="3648C0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C10BE"/>
    <w:multiLevelType w:val="hybridMultilevel"/>
    <w:tmpl w:val="16F62A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626783"/>
    <w:multiLevelType w:val="hybridMultilevel"/>
    <w:tmpl w:val="A168B698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B90BC3"/>
    <w:multiLevelType w:val="hybridMultilevel"/>
    <w:tmpl w:val="213C3E4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949C9"/>
    <w:multiLevelType w:val="hybridMultilevel"/>
    <w:tmpl w:val="AF1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44AD2"/>
    <w:multiLevelType w:val="hybridMultilevel"/>
    <w:tmpl w:val="46AE16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B18E9"/>
    <w:multiLevelType w:val="hybridMultilevel"/>
    <w:tmpl w:val="B49408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5C6D3C"/>
    <w:multiLevelType w:val="hybridMultilevel"/>
    <w:tmpl w:val="D59696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96679A"/>
    <w:multiLevelType w:val="hybridMultilevel"/>
    <w:tmpl w:val="50B6C1E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F04E0"/>
    <w:multiLevelType w:val="hybridMultilevel"/>
    <w:tmpl w:val="83AA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866AD1"/>
    <w:multiLevelType w:val="hybridMultilevel"/>
    <w:tmpl w:val="25CEC9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34F58"/>
    <w:multiLevelType w:val="hybridMultilevel"/>
    <w:tmpl w:val="71E615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1E56BB"/>
    <w:multiLevelType w:val="hybridMultilevel"/>
    <w:tmpl w:val="C040FD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E4271"/>
    <w:multiLevelType w:val="hybridMultilevel"/>
    <w:tmpl w:val="70DA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A0F10"/>
    <w:multiLevelType w:val="hybridMultilevel"/>
    <w:tmpl w:val="D47674F6"/>
    <w:lvl w:ilvl="0" w:tplc="5714235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E61E98"/>
    <w:multiLevelType w:val="multilevel"/>
    <w:tmpl w:val="D5EC4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72032C23"/>
    <w:multiLevelType w:val="hybridMultilevel"/>
    <w:tmpl w:val="D17634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944AD2"/>
    <w:multiLevelType w:val="hybridMultilevel"/>
    <w:tmpl w:val="C3B6B2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B29A3"/>
    <w:multiLevelType w:val="hybridMultilevel"/>
    <w:tmpl w:val="644E9AB2"/>
    <w:lvl w:ilvl="0" w:tplc="2D5CA0D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17"/>
  </w:num>
  <w:num w:numId="5">
    <w:abstractNumId w:val="12"/>
  </w:num>
  <w:num w:numId="6">
    <w:abstractNumId w:val="4"/>
  </w:num>
  <w:num w:numId="7">
    <w:abstractNumId w:val="0"/>
  </w:num>
  <w:num w:numId="8">
    <w:abstractNumId w:val="1"/>
  </w:num>
  <w:num w:numId="9">
    <w:abstractNumId w:val="2"/>
  </w:num>
  <w:num w:numId="10">
    <w:abstractNumId w:val="26"/>
  </w:num>
  <w:num w:numId="11">
    <w:abstractNumId w:val="3"/>
  </w:num>
  <w:num w:numId="12">
    <w:abstractNumId w:val="15"/>
  </w:num>
  <w:num w:numId="13">
    <w:abstractNumId w:val="20"/>
  </w:num>
  <w:num w:numId="14">
    <w:abstractNumId w:val="24"/>
  </w:num>
  <w:num w:numId="15">
    <w:abstractNumId w:val="6"/>
  </w:num>
  <w:num w:numId="16">
    <w:abstractNumId w:val="10"/>
  </w:num>
  <w:num w:numId="17">
    <w:abstractNumId w:val="8"/>
  </w:num>
  <w:num w:numId="18">
    <w:abstractNumId w:val="18"/>
  </w:num>
  <w:num w:numId="19">
    <w:abstractNumId w:val="5"/>
  </w:num>
  <w:num w:numId="20">
    <w:abstractNumId w:val="19"/>
  </w:num>
  <w:num w:numId="21">
    <w:abstractNumId w:val="25"/>
  </w:num>
  <w:num w:numId="22">
    <w:abstractNumId w:val="16"/>
  </w:num>
  <w:num w:numId="23">
    <w:abstractNumId w:val="14"/>
  </w:num>
  <w:num w:numId="24">
    <w:abstractNumId w:val="23"/>
  </w:num>
  <w:num w:numId="25">
    <w:abstractNumId w:val="11"/>
  </w:num>
  <w:num w:numId="26">
    <w:abstractNumId w:val="13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/>
  <w:rsids>
    <w:rsidRoot w:val="004B151A"/>
    <w:rsid w:val="0008020D"/>
    <w:rsid w:val="0008411A"/>
    <w:rsid w:val="00103DBF"/>
    <w:rsid w:val="00106883"/>
    <w:rsid w:val="00114199"/>
    <w:rsid w:val="00140535"/>
    <w:rsid w:val="001442AB"/>
    <w:rsid w:val="001575EC"/>
    <w:rsid w:val="00173582"/>
    <w:rsid w:val="001B4332"/>
    <w:rsid w:val="001C5942"/>
    <w:rsid w:val="002319A8"/>
    <w:rsid w:val="00234B85"/>
    <w:rsid w:val="002744F3"/>
    <w:rsid w:val="00293A9E"/>
    <w:rsid w:val="002E598A"/>
    <w:rsid w:val="002E5F96"/>
    <w:rsid w:val="002F5C05"/>
    <w:rsid w:val="0030089A"/>
    <w:rsid w:val="00321017"/>
    <w:rsid w:val="00376C58"/>
    <w:rsid w:val="00385B29"/>
    <w:rsid w:val="003D4441"/>
    <w:rsid w:val="00430348"/>
    <w:rsid w:val="00443BA6"/>
    <w:rsid w:val="004445DA"/>
    <w:rsid w:val="004515F5"/>
    <w:rsid w:val="00485059"/>
    <w:rsid w:val="004A1D81"/>
    <w:rsid w:val="004B151A"/>
    <w:rsid w:val="004B4781"/>
    <w:rsid w:val="004D6437"/>
    <w:rsid w:val="004D784A"/>
    <w:rsid w:val="004E40B1"/>
    <w:rsid w:val="004E5CF2"/>
    <w:rsid w:val="004F7396"/>
    <w:rsid w:val="00500935"/>
    <w:rsid w:val="005028BF"/>
    <w:rsid w:val="00520CE8"/>
    <w:rsid w:val="005232B6"/>
    <w:rsid w:val="005254FD"/>
    <w:rsid w:val="00537329"/>
    <w:rsid w:val="005375D1"/>
    <w:rsid w:val="00540CB2"/>
    <w:rsid w:val="005642DC"/>
    <w:rsid w:val="0058078F"/>
    <w:rsid w:val="00580E02"/>
    <w:rsid w:val="00593880"/>
    <w:rsid w:val="005C2B81"/>
    <w:rsid w:val="005C672C"/>
    <w:rsid w:val="005D5956"/>
    <w:rsid w:val="005E3717"/>
    <w:rsid w:val="0064503E"/>
    <w:rsid w:val="00646CFA"/>
    <w:rsid w:val="006525DF"/>
    <w:rsid w:val="00670F01"/>
    <w:rsid w:val="006841AF"/>
    <w:rsid w:val="006923F9"/>
    <w:rsid w:val="006A6B23"/>
    <w:rsid w:val="006B5A45"/>
    <w:rsid w:val="006C736A"/>
    <w:rsid w:val="006E3020"/>
    <w:rsid w:val="006F2852"/>
    <w:rsid w:val="00701ACF"/>
    <w:rsid w:val="00725D47"/>
    <w:rsid w:val="007462BE"/>
    <w:rsid w:val="00762AC7"/>
    <w:rsid w:val="00764D7A"/>
    <w:rsid w:val="007925B1"/>
    <w:rsid w:val="00794940"/>
    <w:rsid w:val="007C0BE0"/>
    <w:rsid w:val="007C60A7"/>
    <w:rsid w:val="007E285E"/>
    <w:rsid w:val="008022E2"/>
    <w:rsid w:val="00817297"/>
    <w:rsid w:val="008248EF"/>
    <w:rsid w:val="008338BE"/>
    <w:rsid w:val="00835307"/>
    <w:rsid w:val="008507FB"/>
    <w:rsid w:val="00857117"/>
    <w:rsid w:val="0086290D"/>
    <w:rsid w:val="00873BDD"/>
    <w:rsid w:val="008A2ECF"/>
    <w:rsid w:val="008A4F3B"/>
    <w:rsid w:val="008D596D"/>
    <w:rsid w:val="008F7004"/>
    <w:rsid w:val="00920FD7"/>
    <w:rsid w:val="00982AAA"/>
    <w:rsid w:val="009A2403"/>
    <w:rsid w:val="009D3FD7"/>
    <w:rsid w:val="009D4A42"/>
    <w:rsid w:val="00A12E1B"/>
    <w:rsid w:val="00A17A78"/>
    <w:rsid w:val="00A34B4D"/>
    <w:rsid w:val="00A57D7F"/>
    <w:rsid w:val="00AE00F1"/>
    <w:rsid w:val="00AE3161"/>
    <w:rsid w:val="00B02B5B"/>
    <w:rsid w:val="00B22B1C"/>
    <w:rsid w:val="00B23A43"/>
    <w:rsid w:val="00B24C33"/>
    <w:rsid w:val="00B26409"/>
    <w:rsid w:val="00B30C97"/>
    <w:rsid w:val="00B41FCD"/>
    <w:rsid w:val="00B42996"/>
    <w:rsid w:val="00B43ADD"/>
    <w:rsid w:val="00B47496"/>
    <w:rsid w:val="00B554A9"/>
    <w:rsid w:val="00B804FE"/>
    <w:rsid w:val="00B9792C"/>
    <w:rsid w:val="00BA61E7"/>
    <w:rsid w:val="00BE3D16"/>
    <w:rsid w:val="00BE4174"/>
    <w:rsid w:val="00BF0D32"/>
    <w:rsid w:val="00C21EC7"/>
    <w:rsid w:val="00C2253C"/>
    <w:rsid w:val="00CC4E1C"/>
    <w:rsid w:val="00CF2393"/>
    <w:rsid w:val="00D04804"/>
    <w:rsid w:val="00D1655F"/>
    <w:rsid w:val="00D16EDF"/>
    <w:rsid w:val="00D45E95"/>
    <w:rsid w:val="00D61B7C"/>
    <w:rsid w:val="00DA1F35"/>
    <w:rsid w:val="00DB0ACC"/>
    <w:rsid w:val="00DB0C20"/>
    <w:rsid w:val="00DE64F6"/>
    <w:rsid w:val="00DE6946"/>
    <w:rsid w:val="00DE6DB9"/>
    <w:rsid w:val="00DF5366"/>
    <w:rsid w:val="00E161CE"/>
    <w:rsid w:val="00E24CF7"/>
    <w:rsid w:val="00E3703E"/>
    <w:rsid w:val="00E61018"/>
    <w:rsid w:val="00E879D4"/>
    <w:rsid w:val="00EA2142"/>
    <w:rsid w:val="00EC1086"/>
    <w:rsid w:val="00EC2B0D"/>
    <w:rsid w:val="00ED26D7"/>
    <w:rsid w:val="00EE49DF"/>
    <w:rsid w:val="00F070F7"/>
    <w:rsid w:val="00F543A9"/>
    <w:rsid w:val="00F544D9"/>
    <w:rsid w:val="00F66491"/>
    <w:rsid w:val="00F70C0F"/>
    <w:rsid w:val="00FD6AE2"/>
    <w:rsid w:val="00FE47C9"/>
    <w:rsid w:val="00FF4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32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rsid w:val="004B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B151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rsid w:val="00B80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804FE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B80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B804FE"/>
    <w:rPr>
      <w:rFonts w:cs="Times New Roman"/>
    </w:rPr>
  </w:style>
  <w:style w:type="table" w:styleId="Tabelacomgrade">
    <w:name w:val="Table Grid"/>
    <w:basedOn w:val="Tabelanormal"/>
    <w:uiPriority w:val="99"/>
    <w:locked/>
    <w:rsid w:val="005D5956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0">
    <w:name w:val="ff0"/>
    <w:basedOn w:val="Fontepargpadro"/>
    <w:uiPriority w:val="99"/>
    <w:rsid w:val="005642DC"/>
    <w:rPr>
      <w:rFonts w:cs="Times New Roman"/>
    </w:rPr>
  </w:style>
  <w:style w:type="paragraph" w:customStyle="1" w:styleId="pl">
    <w:name w:val="pl"/>
    <w:basedOn w:val="Normal"/>
    <w:uiPriority w:val="99"/>
    <w:rsid w:val="00A57D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670F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4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98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rtalsaude.saude.gov.br/portalsaude/arquivos/pdf/2013/Mai/06/protocolos_CP_n6_2013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101C5-1415-46F0-B863-3242B8C3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2798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ORGANIZAR O PRONTUÁRIO CLINICO DE CTI PARA O FATURAMENTO</vt:lpstr>
    </vt:vector>
  </TitlesOfParts>
  <Company>mpl</Company>
  <LinksUpToDate>false</LinksUpToDate>
  <CharactersWithSpaces>18383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ORGANIZAR O PRONTUÁRIO CLINICO DE CTI PARA O FATURAMENTO</dc:title>
  <dc:creator>martinho</dc:creator>
  <cp:lastModifiedBy>Seguranca Paciente</cp:lastModifiedBy>
  <cp:revision>10</cp:revision>
  <cp:lastPrinted>2020-03-04T18:01:00Z</cp:lastPrinted>
  <dcterms:created xsi:type="dcterms:W3CDTF">2019-06-14T16:34:00Z</dcterms:created>
  <dcterms:modified xsi:type="dcterms:W3CDTF">2023-06-06T17:21:00Z</dcterms:modified>
</cp:coreProperties>
</file>