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809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466725"/>
                    </a:xfrm>
                    <a:prstGeom prst="rect">
                      <a:avLst/>
                    </a:prstGeom>
                  </pic:spPr>
                </pic:pic>
              </a:graphicData>
            </a:graphic>
          </wp:inline>
        </w:drawing>
      </w:r>
    </w:p>
    <w:p>
      <w:pPr>
        <w:spacing w:after="40"/>
      </w:pPr>
      <w:r>
        <w:rPr>
          <w:rFonts w:ascii="Calibri" w:cs="Calibri" w:eastAsia="Calibri" w:hAnsi="Calibri"/>
          <w:b/>
          <w:bCs/>
          <w:color w:val="0EB05B"/>
          <w:spacing w:val="50"/>
          <w:sz w:val="18"/>
          <w:szCs w:val="18"/>
        </w:rPr>
        <w:t xml:space="preserve">HANDOVER NOTE</w:t>
      </w:r>
    </w:p>
    <w:p>
      <w:pPr>
        <w:spacing w:after="120"/>
      </w:pPr>
      <w:r>
        <w:rPr>
          <w:rFonts w:ascii="Calibri" w:cs="Calibri" w:eastAsia="Calibri" w:hAnsi="Calibri"/>
          <w:b/>
          <w:bCs/>
          <w:sz w:val="40"/>
          <w:szCs w:val="40"/>
        </w:rPr>
        <w:t xml:space="preserve">IITG-TIC Website — Source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From</w:t>
            </w:r>
          </w:p>
        </w:tc>
        <w:tc>
          <w:tcPr>
            <w:tcW w:type="dxa" w:w="78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Jeu Machahary and Veeshal D Bodosa (developers)</w:t>
            </w:r>
          </w:p>
        </w:tc>
      </w:tr>
      <w:tr>
        <w:trPr>
          <w:cantSplit/>
        </w:trPr>
        <w:tc>
          <w:tcPr>
            <w:tcW w:type="dxa" w:w="18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To</w:t>
            </w:r>
          </w:p>
        </w:tc>
        <w:tc>
          <w:tcPr>
            <w:tcW w:type="dxa" w:w="78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IIT Guwahati Technology Incubation Centre</w:t>
            </w:r>
          </w:p>
        </w:tc>
      </w:tr>
      <w:tr>
        <w:trPr>
          <w:cantSplit/>
        </w:trPr>
        <w:tc>
          <w:tcPr>
            <w:tcW w:type="dxa" w:w="18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Date</w:t>
            </w:r>
          </w:p>
        </w:tc>
        <w:tc>
          <w:tcPr>
            <w:tcW w:type="dxa" w:w="78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9 October 2026</w:t>
            </w:r>
          </w:p>
        </w:tc>
      </w:tr>
      <w:tr>
        <w:trPr>
          <w:cantSplit/>
        </w:trPr>
        <w:tc>
          <w:tcPr>
            <w:tcW w:type="dxa" w:w="18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Handed over</w:t>
            </w:r>
          </w:p>
        </w:tc>
        <w:tc>
          <w:tcPr>
            <w:tcW w:type="dxa" w:w="78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One zip file: a clone of the GitHub repository, main branch, build v36</w:t>
            </w:r>
          </w:p>
        </w:tc>
      </w:tr>
    </w:tbl>
    <w:p>
      <w:pPr>
        <w:keepNext/>
        <w:pBdr>
          <w:bottom w:val="single" w:color="0EB05B" w:sz="6" w:space="3"/>
        </w:pBdr>
        <w:spacing w:after="90" w:before="200"/>
      </w:pPr>
      <w:r>
        <w:rPr>
          <w:rFonts w:ascii="Calibri" w:cs="Calibri" w:eastAsia="Calibri" w:hAnsi="Calibri"/>
          <w:b/>
          <w:bCs/>
          <w:sz w:val="24"/>
          <w:szCs w:val="24"/>
        </w:rPr>
        <w:t xml:space="preserve">1. What is handed over</w:t>
      </w:r>
    </w:p>
    <w:p>
      <w:pPr>
        <w:spacing w:after="90" w:line="276"/>
      </w:pPr>
      <w:r>
        <w:rPr>
          <w:rFonts w:ascii="Calibri" w:cs="Calibri" w:eastAsia="Calibri" w:hAnsi="Calibri"/>
          <w:sz w:val="20"/>
          <w:szCs w:val="20"/>
        </w:rPr>
        <w:t xml:space="preserve">The zip contains the complete source code and nothing else. Everything needed to run the platform is in it; the full technical reference is README.md at its root.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DADDE1" w:sz="4"/>
              <w:left w:val="single" w:color="DADDE1" w:sz="4"/>
              <w:bottom w:val="single" w:color="DADDE1" w:sz="4"/>
              <w:right w:val="single" w:color="DADDE1" w:sz="4"/>
            </w:tcBorders>
            <w:shd w:fill="F3F5F4" w:color="auto" w:val="clear"/>
            <w:tcMar>
              <w:top w:type="dxa" w:w="50"/>
              <w:left w:type="dxa" w:w="100"/>
              <w:bottom w:type="dxa" w:w="50"/>
              <w:right w:type="dxa" w:w="100"/>
            </w:tcMar>
          </w:tcPr>
          <w:p>
            <w:pPr>
              <w:spacing w:after="0" w:line="252"/>
            </w:pPr>
            <w:r>
              <w:rPr>
                <w:rFonts w:ascii="Calibri" w:cs="Calibri" w:eastAsia="Calibri" w:hAnsi="Calibri"/>
                <w:b/>
                <w:bCs/>
                <w:color w:val="5B6068"/>
                <w:sz w:val="17"/>
                <w:szCs w:val="17"/>
              </w:rPr>
              <w:t xml:space="preserve">In the zip</w:t>
            </w:r>
          </w:p>
        </w:tc>
        <w:tc>
          <w:tcPr>
            <w:tcW w:type="dxa" w:w="7338"/>
            <w:tcBorders>
              <w:top w:val="single" w:color="DADDE1" w:sz="4"/>
              <w:left w:val="single" w:color="DADDE1" w:sz="4"/>
              <w:bottom w:val="single" w:color="DADDE1" w:sz="4"/>
              <w:right w:val="single" w:color="DADDE1" w:sz="4"/>
            </w:tcBorders>
            <w:shd w:fill="F3F5F4" w:color="auto" w:val="clear"/>
            <w:tcMar>
              <w:top w:type="dxa" w:w="50"/>
              <w:left w:type="dxa" w:w="100"/>
              <w:bottom w:type="dxa" w:w="50"/>
              <w:right w:type="dxa" w:w="100"/>
            </w:tcMar>
          </w:tcPr>
          <w:p>
            <w:pPr>
              <w:spacing w:after="0" w:line="252"/>
            </w:pPr>
            <w:r>
              <w:rPr>
                <w:rFonts w:ascii="Calibri" w:cs="Calibri" w:eastAsia="Calibri" w:hAnsi="Calibri"/>
                <w:b/>
                <w:bCs/>
                <w:color w:val="5B6068"/>
                <w:sz w:val="17"/>
                <w:szCs w:val="17"/>
              </w:rPr>
              <w:t xml:space="preserve">What it is</w:t>
            </w:r>
          </w:p>
        </w:tc>
      </w:tr>
      <w:tr>
        <w:trPr>
          <w:cantSplit/>
        </w:trPr>
        <w:tc>
          <w:tcPr>
            <w:tcW w:type="dxa" w:w="23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src/</w:t>
            </w:r>
          </w:p>
        </w:tc>
        <w:tc>
          <w:tcPr>
            <w:tcW w:type="dxa" w:w="73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The website, the founder console, the TIC admin console and every API route (SvelteKit 2, Svelte 5, TypeScript)</w:t>
            </w:r>
          </w:p>
        </w:tc>
      </w:tr>
      <w:tr>
        <w:trPr>
          <w:cantSplit/>
        </w:trPr>
        <w:tc>
          <w:tcPr>
            <w:tcW w:type="dxa" w:w="23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supabase/migrations/</w:t>
            </w:r>
          </w:p>
        </w:tc>
        <w:tc>
          <w:tcPr>
            <w:tcW w:type="dxa" w:w="73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The whole database: 20 tables, row-level security, triggers and the 4 storage buckets, applied in filename order</w:t>
            </w:r>
          </w:p>
        </w:tc>
      </w:tr>
      <w:tr>
        <w:trPr>
          <w:cantSplit/>
        </w:trPr>
        <w:tc>
          <w:tcPr>
            <w:tcW w:type="dxa" w:w="23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README.md</w:t>
            </w:r>
          </w:p>
        </w:tc>
        <w:tc>
          <w:tcPr>
            <w:tcW w:type="dxa" w:w="73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Setup, environment variables, routes, API, data model, deployment and roadmap. Start at “Handover: setting up from this repository”</w:t>
            </w:r>
          </w:p>
        </w:tc>
      </w:tr>
      <w:tr>
        <w:trPr>
          <w:cantSplit/>
        </w:trPr>
        <w:tc>
          <w:tcPr>
            <w:tcW w:type="dxa" w:w="23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.env.example</w:t>
            </w:r>
          </w:p>
        </w:tc>
        <w:tc>
          <w:tcPr>
            <w:tcW w:type="dxa" w:w="73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Every setting the app reads, with no values</w:t>
            </w:r>
          </w:p>
        </w:tc>
      </w:tr>
      <w:tr>
        <w:trPr>
          <w:cantSplit/>
        </w:trPr>
        <w:tc>
          <w:tcPr>
            <w:tcW w:type="dxa" w:w="23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scripts/</w:t>
            </w:r>
          </w:p>
        </w:tc>
        <w:tc>
          <w:tcPr>
            <w:tcW w:type="dxa" w:w="73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pnpm doctor (checks the setup), backup and restore, content seeding, and the manual builder</w:t>
            </w:r>
          </w:p>
        </w:tc>
      </w:tr>
      <w:tr>
        <w:trPr>
          <w:cantSplit/>
        </w:trPr>
        <w:tc>
          <w:tcPr>
            <w:tcW w:type="dxa" w:w="23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docs/</w:t>
            </w:r>
          </w:p>
        </w:tc>
        <w:tc>
          <w:tcPr>
            <w:tcW w:type="dxa" w:w="73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Operations manual (PDF), this note, and two walkthrough videos: end-to-end application review, and the job board</w:t>
            </w:r>
          </w:p>
        </w:tc>
      </w:tr>
      <w:tr>
        <w:trPr>
          <w:cantSplit/>
        </w:trPr>
        <w:tc>
          <w:tcPr>
            <w:tcW w:type="dxa" w:w="23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.git/</w:t>
            </w:r>
          </w:p>
        </w:tc>
        <w:tc>
          <w:tcPr>
            <w:tcW w:type="dxa" w:w="73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The full commit history</w:t>
            </w:r>
          </w:p>
        </w:tc>
      </w:tr>
    </w:tbl>
    <w:p>
      <w:pPr>
        <w:keepNext/>
        <w:pBdr>
          <w:bottom w:val="single" w:color="0EB05B" w:sz="6" w:space="3"/>
        </w:pBdr>
        <w:spacing w:after="90" w:before="200"/>
      </w:pPr>
      <w:r>
        <w:rPr>
          <w:rFonts w:ascii="Calibri" w:cs="Calibri" w:eastAsia="Calibri" w:hAnsi="Calibri"/>
          <w:b/>
          <w:bCs/>
          <w:sz w:val="24"/>
          <w:szCs w:val="24"/>
        </w:rPr>
        <w:t xml:space="preserve">2. What is not handed over</w:t>
      </w:r>
    </w:p>
    <w:p>
      <w:pPr>
        <w:pStyle w:val="ListParagraph"/>
        <w:numPr>
          <w:ilvl w:val="0"/>
          <w:numId w:val="2"/>
        </w:numPr>
        <w:spacing w:after="50" w:line="264"/>
      </w:pPr>
      <w:r>
        <w:rPr>
          <w:rFonts w:ascii="Calibri" w:cs="Calibri" w:eastAsia="Calibri" w:hAnsi="Calibri"/>
          <w:b/>
          <w:bCs/>
          <w:sz w:val="20"/>
          <w:szCs w:val="20"/>
        </w:rPr>
        <w:t xml:space="preserve">Hosting, domains and accounts. </w:t>
      </w:r>
      <w:r>
        <w:rPr>
          <w:rFonts w:ascii="Calibri" w:cs="Calibri" w:eastAsia="Calibri" w:hAnsi="Calibri"/>
          <w:sz w:val="20"/>
          <w:szCs w:val="20"/>
        </w:rPr>
        <w:t xml:space="preserve">The running copy at iitgtic.itsjeu.com, its Vercel project, Supabase project and Resend account remain the developers’.</w:t>
      </w:r>
    </w:p>
    <w:p>
      <w:pPr>
        <w:pStyle w:val="ListParagraph"/>
        <w:numPr>
          <w:ilvl w:val="0"/>
          <w:numId w:val="2"/>
        </w:numPr>
        <w:spacing w:after="50" w:line="264"/>
      </w:pPr>
      <w:r>
        <w:rPr>
          <w:rFonts w:ascii="Calibri" w:cs="Calibri" w:eastAsia="Calibri" w:hAnsi="Calibri"/>
          <w:b/>
          <w:bCs/>
          <w:sz w:val="20"/>
          <w:szCs w:val="20"/>
        </w:rPr>
        <w:t xml:space="preserve">Keys, passwords and data. </w:t>
      </w:r>
      <w:r>
        <w:rPr>
          <w:rFonts w:ascii="Calibri" w:cs="Calibri" w:eastAsia="Calibri" w:hAnsi="Calibri"/>
          <w:sz w:val="20"/>
          <w:szCs w:val="20"/>
        </w:rPr>
        <w:t xml:space="preserve">No secret is in the repository; .env files are excluded. No user, application or file data is included.</w:t>
      </w:r>
    </w:p>
    <w:p>
      <w:pPr>
        <w:spacing w:after="90" w:line="276"/>
      </w:pPr>
      <w:r>
        <w:rPr>
          <w:rFonts w:ascii="Calibri" w:cs="Calibri" w:eastAsia="Calibri" w:hAnsi="Calibri"/>
          <w:sz w:val="20"/>
          <w:szCs w:val="20"/>
        </w:rPr>
        <w:t xml:space="preserve">TIC runs its own copy from this code, with its own Supabase project, email domain and host. If the existing data is wanted too, it can be moved with pnpm backup and pnpm restore by arrangement.</w:t>
      </w:r>
    </w:p>
    <w:p>
      <w:pPr>
        <w:keepNext/>
        <w:pBdr>
          <w:bottom w:val="single" w:color="0EB05B" w:sz="6" w:space="3"/>
        </w:pBdr>
        <w:spacing w:after="90" w:before="200"/>
      </w:pPr>
      <w:r>
        <w:rPr>
          <w:rFonts w:ascii="Calibri" w:cs="Calibri" w:eastAsia="Calibri" w:hAnsi="Calibri"/>
          <w:b/>
          <w:bCs/>
          <w:sz w:val="24"/>
          <w:szCs w:val="24"/>
        </w:rPr>
        <w:t xml:space="preserve">3. Getting it running</w:t>
      </w:r>
    </w:p>
    <w:p>
      <w:pPr>
        <w:spacing w:after="90" w:line="276"/>
      </w:pPr>
      <w:r>
        <w:rPr>
          <w:rFonts w:ascii="Calibri" w:cs="Calibri" w:eastAsia="Calibri" w:hAnsi="Calibri"/>
          <w:sz w:val="20"/>
          <w:szCs w:val="20"/>
        </w:rPr>
        <w:t xml:space="preserve">In short — each step is written out in README.md:</w:t>
      </w:r>
    </w:p>
    <w:p>
      <w:pPr>
        <w:pStyle w:val="ListParagraph"/>
        <w:numPr>
          <w:ilvl w:val="0"/>
          <w:numId w:val="3"/>
        </w:numPr>
        <w:spacing w:after="50" w:line="264"/>
      </w:pPr>
      <w:r>
        <w:rPr>
          <w:rFonts w:ascii="Calibri" w:cs="Calibri" w:eastAsia="Calibri" w:hAnsi="Calibri"/>
          <w:sz w:val="20"/>
          <w:szCs w:val="20"/>
        </w:rPr>
        <w:t xml:space="preserve">Install Node.js 20+ and pnpm; run </w:t>
      </w:r>
      <w:r>
        <w:rPr>
          <w:rFonts w:ascii="Consolas" w:cs="Consolas" w:eastAsia="Consolas" w:hAnsi="Consolas"/>
          <w:sz w:val="18"/>
          <w:szCs w:val="18"/>
        </w:rPr>
        <w:t xml:space="preserve">pnpm install</w:t>
      </w:r>
      <w:r>
        <w:rPr>
          <w:rFonts w:ascii="Calibri" w:cs="Calibri" w:eastAsia="Calibri" w:hAnsi="Calibri"/>
          <w:sz w:val="20"/>
          <w:szCs w:val="20"/>
        </w:rPr>
        <w:t xml:space="preserve">.</w:t>
      </w:r>
    </w:p>
    <w:p>
      <w:pPr>
        <w:pStyle w:val="ListParagraph"/>
        <w:numPr>
          <w:ilvl w:val="0"/>
          <w:numId w:val="3"/>
        </w:numPr>
        <w:spacing w:after="50" w:line="264"/>
      </w:pPr>
      <w:r>
        <w:rPr>
          <w:rFonts w:ascii="Calibri" w:cs="Calibri" w:eastAsia="Calibri" w:hAnsi="Calibri"/>
          <w:sz w:val="20"/>
          <w:szCs w:val="20"/>
        </w:rPr>
        <w:t xml:space="preserve">Create a Supabase project and apply supabase/migrations/ in order.</w:t>
      </w:r>
    </w:p>
    <w:p>
      <w:pPr>
        <w:pStyle w:val="ListParagraph"/>
        <w:numPr>
          <w:ilvl w:val="0"/>
          <w:numId w:val="3"/>
        </w:numPr>
        <w:spacing w:after="50" w:line="264"/>
      </w:pPr>
      <w:r>
        <w:rPr>
          <w:rFonts w:ascii="Calibri" w:cs="Calibri" w:eastAsia="Calibri" w:hAnsi="Calibri"/>
          <w:sz w:val="20"/>
          <w:szCs w:val="20"/>
        </w:rPr>
        <w:t xml:space="preserve">Fill .env.local from .env.example: Supabase, Resend, Cloudflare Turnstile, session and cron secrets.</w:t>
      </w:r>
    </w:p>
    <w:p>
      <w:pPr>
        <w:pStyle w:val="ListParagraph"/>
        <w:numPr>
          <w:ilvl w:val="0"/>
          <w:numId w:val="3"/>
        </w:numPr>
        <w:spacing w:after="50" w:line="264"/>
      </w:pPr>
      <w:r>
        <w:rPr>
          <w:rFonts w:ascii="Calibri" w:cs="Calibri" w:eastAsia="Calibri" w:hAnsi="Calibri"/>
          <w:sz w:val="20"/>
          <w:szCs w:val="20"/>
        </w:rPr>
        <w:t xml:space="preserve">Run </w:t>
      </w:r>
      <w:r>
        <w:rPr>
          <w:rFonts w:ascii="Consolas" w:cs="Consolas" w:eastAsia="Consolas" w:hAnsi="Consolas"/>
          <w:sz w:val="18"/>
          <w:szCs w:val="18"/>
        </w:rPr>
        <w:t xml:space="preserve">pnpm doctor</w:t>
      </w:r>
      <w:r>
        <w:rPr>
          <w:rFonts w:ascii="Calibri" w:cs="Calibri" w:eastAsia="Calibri" w:hAnsi="Calibri"/>
          <w:sz w:val="20"/>
          <w:szCs w:val="20"/>
        </w:rPr>
        <w:t xml:space="preserve">, then open /tic-admin/login to create the first admin.</w:t>
      </w:r>
    </w:p>
    <w:p>
      <w:pPr>
        <w:pStyle w:val="ListParagraph"/>
        <w:numPr>
          <w:ilvl w:val="0"/>
          <w:numId w:val="3"/>
        </w:numPr>
        <w:spacing w:after="50" w:line="264"/>
      </w:pPr>
      <w:r>
        <w:rPr>
          <w:rFonts w:ascii="Calibri" w:cs="Calibri" w:eastAsia="Calibri" w:hAnsi="Calibri"/>
          <w:sz w:val="20"/>
          <w:szCs w:val="20"/>
        </w:rPr>
        <w:t xml:space="preserve">Deploy to Vercel or a VPS, verify an email domain in Resend, and set PUBLIC_SITE_URL to the live address.</w:t>
      </w:r>
    </w:p>
    <w:p>
      <w:pPr>
        <w:keepNext/>
        <w:pBdr>
          <w:bottom w:val="single" w:color="0EB05B" w:sz="6" w:space="3"/>
        </w:pBdr>
        <w:spacing w:after="90" w:before="200"/>
      </w:pPr>
      <w:r>
        <w:rPr>
          <w:rFonts w:ascii="Calibri" w:cs="Calibri" w:eastAsia="Calibri" w:hAnsi="Calibri"/>
          <w:b/>
          <w:bCs/>
          <w:sz w:val="24"/>
          <w:szCs w:val="24"/>
        </w:rPr>
        <w:t xml:space="preserve">4. State of the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Complete</w:t>
            </w:r>
          </w:p>
        </w:tc>
        <w:tc>
          <w:tcPr>
            <w:tcW w:type="dxa" w:w="78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Public website (editable, SEO, mobile); founder console; six-step incubation review chain with 0–100 scores; coordinator screening calls on Google Meet; job board with PDF resumes, application limits and 90-day resume clean-up; admin console with eight staff roles, audit trail, content and email editors, storage and assistant.</w:t>
            </w:r>
          </w:p>
        </w:tc>
      </w:tr>
      <w:tr>
        <w:trPr>
          <w:cantSplit/>
        </w:trPr>
        <w:tc>
          <w:tcPr>
            <w:tcW w:type="dxa" w:w="18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Checks</w:t>
            </w:r>
          </w:p>
        </w:tc>
        <w:tc>
          <w:tcPr>
            <w:tcW w:type="dxa" w:w="78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Type-check clean; 19 automated tests passing.</w:t>
            </w:r>
          </w:p>
        </w:tc>
      </w:tr>
      <w:tr>
        <w:trPr>
          <w:cantSplit/>
        </w:trPr>
        <w:tc>
          <w:tcPr>
            <w:tcW w:type="dxa" w:w="18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TIC to decide</w:t>
            </w:r>
          </w:p>
        </w:tc>
        <w:tc>
          <w:tcPr>
            <w:tcW w:type="dxa" w:w="78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Where to host (Vercel or its own VPS), whether to self-host Supabase, the production domain (iitgtic.com) and an official @iitgtic.com sending address. README.md → Roadmap lists these.</w:t>
            </w:r>
          </w:p>
        </w:tc>
      </w:tr>
    </w:tbl>
    <w:p>
      <w:pPr>
        <w:keepNext/>
        <w:pBdr>
          <w:bottom w:val="single" w:color="0EB05B" w:sz="6" w:space="3"/>
        </w:pBdr>
        <w:spacing w:after="90" w:before="200"/>
      </w:pPr>
      <w:r>
        <w:rPr>
          <w:rFonts w:ascii="Calibri" w:cs="Calibri" w:eastAsia="Calibri" w:hAnsi="Calibri"/>
          <w:b/>
          <w:bCs/>
          <w:sz w:val="24"/>
          <w:szCs w:val="24"/>
        </w:rPr>
        <w:t xml:space="preserve">5.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3000"/>
        <w:gridCol w:w="2438"/>
      </w:tblGrid>
      <w:tr>
        <w:trPr>
          <w:tblHeader/>
        </w:trPr>
        <w:tc>
          <w:tcPr>
            <w:tcW w:type="dxa" w:w="2400"/>
            <w:tcBorders>
              <w:top w:val="single" w:color="DADDE1" w:sz="4"/>
              <w:left w:val="single" w:color="DADDE1" w:sz="4"/>
              <w:bottom w:val="single" w:color="DADDE1" w:sz="4"/>
              <w:right w:val="single" w:color="DADDE1" w:sz="4"/>
            </w:tcBorders>
            <w:shd w:fill="F3F5F4" w:color="auto" w:val="clear"/>
            <w:tcMar>
              <w:top w:type="dxa" w:w="50"/>
              <w:left w:type="dxa" w:w="100"/>
              <w:bottom w:type="dxa" w:w="50"/>
              <w:right w:type="dxa" w:w="100"/>
            </w:tcMar>
          </w:tcPr>
          <w:p>
            <w:pPr>
              <w:spacing w:after="0" w:line="252"/>
            </w:pPr>
            <w:r>
              <w:rPr>
                <w:rFonts w:ascii="Calibri" w:cs="Calibri" w:eastAsia="Calibri" w:hAnsi="Calibri"/>
                <w:b/>
                <w:bCs/>
                <w:color w:val="5B6068"/>
                <w:sz w:val="17"/>
                <w:szCs w:val="17"/>
              </w:rPr>
              <w:t xml:space="preserve">Name</w:t>
            </w:r>
          </w:p>
        </w:tc>
        <w:tc>
          <w:tcPr>
            <w:tcW w:type="dxa" w:w="1800"/>
            <w:tcBorders>
              <w:top w:val="single" w:color="DADDE1" w:sz="4"/>
              <w:left w:val="single" w:color="DADDE1" w:sz="4"/>
              <w:bottom w:val="single" w:color="DADDE1" w:sz="4"/>
              <w:right w:val="single" w:color="DADDE1" w:sz="4"/>
            </w:tcBorders>
            <w:shd w:fill="F3F5F4" w:color="auto" w:val="clear"/>
            <w:tcMar>
              <w:top w:type="dxa" w:w="50"/>
              <w:left w:type="dxa" w:w="100"/>
              <w:bottom w:type="dxa" w:w="50"/>
              <w:right w:type="dxa" w:w="100"/>
            </w:tcMar>
          </w:tcPr>
          <w:p>
            <w:pPr>
              <w:spacing w:after="0" w:line="252"/>
            </w:pPr>
            <w:r>
              <w:rPr>
                <w:rFonts w:ascii="Calibri" w:cs="Calibri" w:eastAsia="Calibri" w:hAnsi="Calibri"/>
                <w:b/>
                <w:bCs/>
                <w:color w:val="5B6068"/>
                <w:sz w:val="17"/>
                <w:szCs w:val="17"/>
              </w:rPr>
              <w:t xml:space="preserve">Role</w:t>
            </w:r>
          </w:p>
        </w:tc>
        <w:tc>
          <w:tcPr>
            <w:tcW w:type="dxa" w:w="3000"/>
            <w:tcBorders>
              <w:top w:val="single" w:color="DADDE1" w:sz="4"/>
              <w:left w:val="single" w:color="DADDE1" w:sz="4"/>
              <w:bottom w:val="single" w:color="DADDE1" w:sz="4"/>
              <w:right w:val="single" w:color="DADDE1" w:sz="4"/>
            </w:tcBorders>
            <w:shd w:fill="F3F5F4" w:color="auto" w:val="clear"/>
            <w:tcMar>
              <w:top w:type="dxa" w:w="50"/>
              <w:left w:type="dxa" w:w="100"/>
              <w:bottom w:type="dxa" w:w="50"/>
              <w:right w:type="dxa" w:w="100"/>
            </w:tcMar>
          </w:tcPr>
          <w:p>
            <w:pPr>
              <w:spacing w:after="0" w:line="252"/>
            </w:pPr>
            <w:r>
              <w:rPr>
                <w:rFonts w:ascii="Calibri" w:cs="Calibri" w:eastAsia="Calibri" w:hAnsi="Calibri"/>
                <w:b/>
                <w:bCs/>
                <w:color w:val="5B6068"/>
                <w:sz w:val="17"/>
                <w:szCs w:val="17"/>
              </w:rPr>
              <w:t xml:space="preserve">Email</w:t>
            </w:r>
          </w:p>
        </w:tc>
        <w:tc>
          <w:tcPr>
            <w:tcW w:type="dxa" w:w="2438"/>
            <w:tcBorders>
              <w:top w:val="single" w:color="DADDE1" w:sz="4"/>
              <w:left w:val="single" w:color="DADDE1" w:sz="4"/>
              <w:bottom w:val="single" w:color="DADDE1" w:sz="4"/>
              <w:right w:val="single" w:color="DADDE1" w:sz="4"/>
            </w:tcBorders>
            <w:shd w:fill="F3F5F4" w:color="auto" w:val="clear"/>
            <w:tcMar>
              <w:top w:type="dxa" w:w="50"/>
              <w:left w:type="dxa" w:w="100"/>
              <w:bottom w:type="dxa" w:w="50"/>
              <w:right w:type="dxa" w:w="100"/>
            </w:tcMar>
          </w:tcPr>
          <w:p>
            <w:pPr>
              <w:spacing w:after="0" w:line="252"/>
            </w:pPr>
            <w:r>
              <w:rPr>
                <w:rFonts w:ascii="Calibri" w:cs="Calibri" w:eastAsia="Calibri" w:hAnsi="Calibri"/>
                <w:b/>
                <w:bCs/>
                <w:color w:val="5B6068"/>
                <w:sz w:val="17"/>
                <w:szCs w:val="17"/>
              </w:rPr>
              <w:t xml:space="preserve">Phone</w:t>
            </w:r>
          </w:p>
        </w:tc>
      </w:tr>
      <w:tr>
        <w:trPr>
          <w:cantSplit/>
        </w:trPr>
        <w:tc>
          <w:tcPr>
            <w:tcW w:type="dxa" w:w="24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Jeu Machahary</w:t>
            </w:r>
          </w:p>
        </w:tc>
        <w:tc>
          <w:tcPr>
            <w:tcW w:type="dxa" w:w="18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Developer</w:t>
            </w:r>
          </w:p>
        </w:tc>
        <w:tc>
          <w:tcPr>
            <w:tcW w:type="dxa" w:w="30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hello@itsjeu.com</w:t>
            </w:r>
          </w:p>
        </w:tc>
        <w:tc>
          <w:tcPr>
            <w:tcW w:type="dxa" w:w="24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+91 7896175454</w:t>
            </w:r>
          </w:p>
        </w:tc>
      </w:tr>
      <w:tr>
        <w:trPr>
          <w:cantSplit/>
        </w:trPr>
        <w:tc>
          <w:tcPr>
            <w:tcW w:type="dxa" w:w="24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Veeshal D Bodosa</w:t>
            </w:r>
          </w:p>
        </w:tc>
        <w:tc>
          <w:tcPr>
            <w:tcW w:type="dxa" w:w="18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Developer</w:t>
            </w:r>
          </w:p>
        </w:tc>
        <w:tc>
          <w:tcPr>
            <w:tcW w:type="dxa" w:w="30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work@veeshal.me</w:t>
            </w:r>
          </w:p>
        </w:tc>
        <w:tc>
          <w:tcPr>
            <w:tcW w:type="dxa" w:w="24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+91 6000013904</w:t>
            </w:r>
          </w:p>
        </w:tc>
      </w:tr>
    </w:tbl>
    <w:p>
      <w:pPr>
        <w:keepNext/>
        <w:pBdr>
          <w:bottom w:val="single" w:color="0EB05B" w:sz="6" w:space="3"/>
        </w:pBdr>
        <w:spacing w:after="90" w:before="200"/>
      </w:pPr>
      <w:r>
        <w:rPr>
          <w:rFonts w:ascii="Calibri" w:cs="Calibri" w:eastAsia="Calibri" w:hAnsi="Calibri"/>
          <w:b/>
          <w:bCs/>
          <w:sz w:val="24"/>
          <w:szCs w:val="24"/>
        </w:rPr>
        <w:t xml:space="preserve">6. Sign-off</w:t>
      </w:r>
    </w:p>
    <w:p>
      <w:pPr>
        <w:spacing w:after="90" w:line="276"/>
      </w:pPr>
      <w:r>
        <w:rPr>
          <w:rFonts w:ascii="Calibri" w:cs="Calibri" w:eastAsia="Calibri" w:hAnsi="Calibri"/>
          <w:sz w:val="20"/>
          <w:szCs w:val="20"/>
        </w:rPr>
        <w:t xml:space="preserve">Signed to confirm the source code zip described above has been handed over and received.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700"/>
        <w:gridCol w:w="1838"/>
      </w:tblGrid>
      <w:tr>
        <w:trPr>
          <w:tblHeader/>
        </w:trPr>
        <w:tc>
          <w:tcPr>
            <w:tcW w:type="dxa" w:w="2700"/>
            <w:tcBorders>
              <w:top w:val="single" w:color="DADDE1" w:sz="4"/>
              <w:left w:val="single" w:color="DADDE1" w:sz="4"/>
              <w:bottom w:val="single" w:color="DADDE1" w:sz="4"/>
              <w:right w:val="single" w:color="DADDE1" w:sz="4"/>
            </w:tcBorders>
            <w:shd w:fill="F3F5F4" w:color="auto" w:val="clear"/>
            <w:tcMar>
              <w:top w:type="dxa" w:w="50"/>
              <w:left w:type="dxa" w:w="100"/>
              <w:bottom w:type="dxa" w:w="50"/>
              <w:right w:type="dxa" w:w="100"/>
            </w:tcMar>
          </w:tcPr>
          <w:p>
            <w:pPr>
              <w:spacing w:after="0" w:line="252"/>
            </w:pPr>
            <w:r>
              <w:rPr>
                <w:rFonts w:ascii="Calibri" w:cs="Calibri" w:eastAsia="Calibri" w:hAnsi="Calibri"/>
                <w:b/>
                <w:bCs/>
                <w:color w:val="5B6068"/>
                <w:sz w:val="17"/>
                <w:szCs w:val="17"/>
              </w:rPr>
              <w:t xml:space="preserve"/>
            </w:r>
          </w:p>
        </w:tc>
        <w:tc>
          <w:tcPr>
            <w:tcW w:type="dxa" w:w="2400"/>
            <w:tcBorders>
              <w:top w:val="single" w:color="DADDE1" w:sz="4"/>
              <w:left w:val="single" w:color="DADDE1" w:sz="4"/>
              <w:bottom w:val="single" w:color="DADDE1" w:sz="4"/>
              <w:right w:val="single" w:color="DADDE1" w:sz="4"/>
            </w:tcBorders>
            <w:shd w:fill="F3F5F4" w:color="auto" w:val="clear"/>
            <w:tcMar>
              <w:top w:type="dxa" w:w="50"/>
              <w:left w:type="dxa" w:w="100"/>
              <w:bottom w:type="dxa" w:w="50"/>
              <w:right w:type="dxa" w:w="100"/>
            </w:tcMar>
          </w:tcPr>
          <w:p>
            <w:pPr>
              <w:spacing w:after="0" w:line="252"/>
            </w:pPr>
            <w:r>
              <w:rPr>
                <w:rFonts w:ascii="Calibri" w:cs="Calibri" w:eastAsia="Calibri" w:hAnsi="Calibri"/>
                <w:b/>
                <w:bCs/>
                <w:color w:val="5B6068"/>
                <w:sz w:val="17"/>
                <w:szCs w:val="17"/>
              </w:rPr>
              <w:t xml:space="preserve">Name</w:t>
            </w:r>
          </w:p>
        </w:tc>
        <w:tc>
          <w:tcPr>
            <w:tcW w:type="dxa" w:w="2700"/>
            <w:tcBorders>
              <w:top w:val="single" w:color="DADDE1" w:sz="4"/>
              <w:left w:val="single" w:color="DADDE1" w:sz="4"/>
              <w:bottom w:val="single" w:color="DADDE1" w:sz="4"/>
              <w:right w:val="single" w:color="DADDE1" w:sz="4"/>
            </w:tcBorders>
            <w:shd w:fill="F3F5F4" w:color="auto" w:val="clear"/>
            <w:tcMar>
              <w:top w:type="dxa" w:w="50"/>
              <w:left w:type="dxa" w:w="100"/>
              <w:bottom w:type="dxa" w:w="50"/>
              <w:right w:type="dxa" w:w="100"/>
            </w:tcMar>
          </w:tcPr>
          <w:p>
            <w:pPr>
              <w:spacing w:after="0" w:line="252"/>
            </w:pPr>
            <w:r>
              <w:rPr>
                <w:rFonts w:ascii="Calibri" w:cs="Calibri" w:eastAsia="Calibri" w:hAnsi="Calibri"/>
                <w:b/>
                <w:bCs/>
                <w:color w:val="5B6068"/>
                <w:sz w:val="17"/>
                <w:szCs w:val="17"/>
              </w:rPr>
              <w:t xml:space="preserve">Signature</w:t>
            </w:r>
          </w:p>
        </w:tc>
        <w:tc>
          <w:tcPr>
            <w:tcW w:type="dxa" w:w="1838"/>
            <w:tcBorders>
              <w:top w:val="single" w:color="DADDE1" w:sz="4"/>
              <w:left w:val="single" w:color="DADDE1" w:sz="4"/>
              <w:bottom w:val="single" w:color="DADDE1" w:sz="4"/>
              <w:right w:val="single" w:color="DADDE1" w:sz="4"/>
            </w:tcBorders>
            <w:shd w:fill="F3F5F4" w:color="auto" w:val="clear"/>
            <w:tcMar>
              <w:top w:type="dxa" w:w="50"/>
              <w:left w:type="dxa" w:w="100"/>
              <w:bottom w:type="dxa" w:w="50"/>
              <w:right w:type="dxa" w:w="100"/>
            </w:tcMar>
          </w:tcPr>
          <w:p>
            <w:pPr>
              <w:spacing w:after="0" w:line="252"/>
            </w:pPr>
            <w:r>
              <w:rPr>
                <w:rFonts w:ascii="Calibri" w:cs="Calibri" w:eastAsia="Calibri" w:hAnsi="Calibri"/>
                <w:b/>
                <w:bCs/>
                <w:color w:val="5B6068"/>
                <w:sz w:val="17"/>
                <w:szCs w:val="17"/>
              </w:rPr>
              <w:t xml:space="preserve">Date</w:t>
            </w:r>
          </w:p>
        </w:tc>
      </w:tr>
      <w:tr>
        <w:trPr>
          <w:cantSplit/>
        </w:trPr>
        <w:tc>
          <w:tcPr>
            <w:tcW w:type="dxa" w:w="27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Handed over by</w:t>
            </w:r>
          </w:p>
        </w:tc>
        <w:tc>
          <w:tcPr>
            <w:tcW w:type="dxa" w:w="24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Jeu Machahary</w:t>
            </w:r>
          </w:p>
        </w:tc>
        <w:tc>
          <w:tcPr>
            <w:tcW w:type="dxa" w:w="27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
            </w:r>
          </w:p>
        </w:tc>
        <w:tc>
          <w:tcPr>
            <w:tcW w:type="dxa" w:w="18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
            </w:r>
          </w:p>
        </w:tc>
      </w:tr>
      <w:tr>
        <w:trPr>
          <w:cantSplit/>
        </w:trPr>
        <w:tc>
          <w:tcPr>
            <w:tcW w:type="dxa" w:w="27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Handed over by</w:t>
            </w:r>
          </w:p>
        </w:tc>
        <w:tc>
          <w:tcPr>
            <w:tcW w:type="dxa" w:w="24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Veeshal D Bodosa</w:t>
            </w:r>
          </w:p>
        </w:tc>
        <w:tc>
          <w:tcPr>
            <w:tcW w:type="dxa" w:w="27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
            </w:r>
          </w:p>
        </w:tc>
        <w:tc>
          <w:tcPr>
            <w:tcW w:type="dxa" w:w="18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
            </w:r>
          </w:p>
        </w:tc>
      </w:tr>
      <w:tr>
        <w:trPr>
          <w:cantSplit/>
        </w:trPr>
        <w:tc>
          <w:tcPr>
            <w:tcW w:type="dxa" w:w="27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bCs/>
                <w:color w:val="0B0B0C"/>
                <w:sz w:val="19"/>
                <w:szCs w:val="19"/>
              </w:rPr>
              <w:t xml:space="preserve">Received for IIT Guwahati TIC</w:t>
            </w:r>
          </w:p>
        </w:tc>
        <w:tc>
          <w:tcPr>
            <w:tcW w:type="dxa" w:w="24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
            </w:r>
          </w:p>
        </w:tc>
        <w:tc>
          <w:tcPr>
            <w:tcW w:type="dxa" w:w="2700"/>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
            </w:r>
          </w:p>
        </w:tc>
        <w:tc>
          <w:tcPr>
            <w:tcW w:type="dxa" w:w="1838"/>
            <w:tcBorders>
              <w:top w:val="single" w:color="DADDE1" w:sz="4"/>
              <w:left w:val="single" w:color="DADDE1" w:sz="4"/>
              <w:bottom w:val="single" w:color="DADDE1" w:sz="4"/>
              <w:right w:val="single" w:color="DADDE1" w:sz="4"/>
            </w:tcBorders>
            <w:tcMar>
              <w:top w:type="dxa" w:w="50"/>
              <w:left w:type="dxa" w:w="100"/>
              <w:bottom w:type="dxa" w:w="50"/>
              <w:right w:type="dxa" w:w="100"/>
            </w:tcMar>
          </w:tcPr>
          <w:p>
            <w:pPr>
              <w:spacing w:after="0" w:line="252"/>
            </w:pPr>
            <w:r>
              <w:rPr>
                <w:rFonts w:ascii="Calibri" w:cs="Calibri" w:eastAsia="Calibri" w:hAnsi="Calibri"/>
                <w:b w:val="false"/>
                <w:bCs w:val="false"/>
                <w:color w:val="0B0B0C"/>
                <w:sz w:val="19"/>
                <w:szCs w:val="19"/>
              </w:rPr>
              <w:t xml:space="preserve"/>
            </w:r>
          </w:p>
        </w:tc>
      </w:tr>
    </w:tbl>
    <w:sectPr>
      <w:footerReference w:type="default" r:id="rId6"/>
      <w:pgSz w:w="11906" w:h="16838" w:orient="portrait"/>
      <w:pgMar w:top="1000" w:right="1134" w:bottom="10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068"/>
        <w:sz w:val="15"/>
        <w:szCs w:val="15"/>
      </w:rPr>
      <w:t xml:space="preserve">IITG-TIC Website · Handover note · Jeu Machahary &amp; Veeshal D Bodosa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abstractNum w:abstractNumId="3" w15:restartNumberingAfterBreak="0">
    <w:multiLevelType w:val="hybridMultilevel"/>
    <w:lvl w:ilvl="0" w: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0B0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2bd125f2a9cfe5f850f72eb070b493a85b22bc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IITG-TIC Website — Handover Note</dc:title>
  <dc:creator>Jeu Machahary, Veeshal D Bodosa</dc:creator>
  <cp:lastModifiedBy>Un-named</cp:lastModifiedBy>
  <cp:revision>1</cp:revision>
  <dcterms:created xsi:type="dcterms:W3CDTF">2026-10-09T08:39:44.051Z</dcterms:created>
  <dcterms:modified xsi:type="dcterms:W3CDTF">2026-10-09T08:39:44.051Z</dcterms:modified>
</cp:coreProperties>
</file>

<file path=docProps/custom.xml><?xml version="1.0" encoding="utf-8"?>
<Properties xmlns="http://schemas.openxmlformats.org/officeDocument/2006/custom-properties" xmlns:vt="http://schemas.openxmlformats.org/officeDocument/2006/docPropsVTypes"/>
</file>