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0F172A"/>
          <w:sz w:val="36"/>
          <w:szCs w:val="36"/>
        </w:rPr>
        <w:t xml:space="preserve">Swagger2API AI Agent</w:t>
      </w:r>
    </w:p>
    <w:p>
      <w:pPr>
        <w:spacing w:after="200"/>
        <w:jc w:val="center"/>
      </w:pPr>
      <w:r>
        <w:rPr>
          <w:b/>
          <w:bCs/>
          <w:color w:val="0284C7"/>
          <w:sz w:val="22"/>
          <w:szCs w:val="22"/>
        </w:rPr>
        <w:t xml:space="preserve">Autonomous Playwright TypeScript API Automation in Seconds</w:t>
      </w:r>
    </w:p>
    <w:p>
      <w:pPr>
        <w:spacing w:after="60"/>
        <w:jc w:val="center"/>
      </w:pPr>
      <w:r>
        <w:drawing>
          <wp:inline distT="0" distB="0" distL="0" distR="0">
            <wp:extent cx="55245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4748B"/>
          <w:sz w:val="17"/>
          <w:szCs w:val="17"/>
        </w:rPr>
        <w:t xml:space="preserve">Figure 1: End-to-End AI-Driven Architecture — From Raw Swagger/OpenAPI to Production Playwright Suite</w:t>
      </w:r>
    </w:p>
    <w:p>
      <w:pPr>
        <w:pStyle w:val="Heading2"/>
        <w:spacing w:after="100" w:before="140"/>
      </w:pPr>
      <w:r>
        <w:rPr>
          <w:b/>
          <w:bCs/>
          <w:color w:val="0F172A"/>
          <w:sz w:val="24"/>
          <w:szCs w:val="24"/>
        </w:rPr>
        <w:t xml:space="preserve">1. Problem – What Are We Solving?</w:t>
      </w:r>
    </w:p>
    <w:p>
      <w:pPr>
        <w:spacing w:after="100"/>
      </w:pPr>
      <w:r>
        <w:t xml:space="preserve">In fast sprints, developers release new APIs constantly. But </w:t>
      </w:r>
      <w:r>
        <w:rPr>
          <w:b/>
          <w:bCs/>
        </w:rPr>
        <w:t xml:space="preserve">writing automation tests manually is painful and slow</w:t>
      </w:r>
      <w:r>
        <w:t xml:space="preserve">. Teams face three everyday hurdles: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0F172A"/>
        </w:rPr>
        <w:t xml:space="preserve">Takes Days to Set Up: </w:t>
      </w:r>
      <w:r>
        <w:t xml:space="preserve">Setting up HTTP helpers, configs, auth tokens, and test folders takes </w:t>
      </w:r>
      <w:r>
        <w:rPr>
          <w:b/>
          <w:bCs/>
          <w:color w:val="DC2626"/>
        </w:rPr>
        <w:t xml:space="preserve">3 to 5 valuable days</w:t>
      </w:r>
      <w:r>
        <w:t xml:space="preserve"> per microservice.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0F172A"/>
        </w:rPr>
        <w:t xml:space="preserve">Shallow "Happy Path Only" Tests: </w:t>
      </w:r>
      <w:r>
        <w:t xml:space="preserve">Under deadline pressure, engineers usually test only </w:t>
      </w:r>
      <w:r>
        <w:rPr>
          <w:b/>
          <w:bCs/>
        </w:rPr>
        <w:t xml:space="preserve">status 200 OK</w:t>
      </w:r>
      <w:r>
        <w:t xml:space="preserve">, leaving error boundaries (400, 404) and security flaws completely untested.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0F172A"/>
        </w:rPr>
        <w:t xml:space="preserve">Brittle, Hardcoded Scripts: </w:t>
      </w:r>
      <w:r>
        <w:t xml:space="preserve">API URLs are hardcoded directly into test steps. Whenever backend fields change, </w:t>
      </w:r>
      <w:r>
        <w:rPr>
          <w:b/>
          <w:bCs/>
        </w:rPr>
        <w:t xml:space="preserve">tests break instantly</w:t>
      </w:r>
      <w:r>
        <w:t xml:space="preserve"> and require hours of refactoring.</w:t>
      </w:r>
    </w:p>
    <w:p>
      <w:pPr>
        <w:pStyle w:val="ListParagraph"/>
        <w:numPr>
          <w:ilvl w:val="0"/>
          <w:numId w:val="1"/>
        </w:numPr>
        <w:spacing w:after="180"/>
      </w:pPr>
      <w:r>
        <w:rPr>
          <w:b/>
          <w:bCs/>
          <w:color w:val="0F172A"/>
        </w:rPr>
        <w:t xml:space="preserve">Repeated Login Overhead: </w:t>
      </w:r>
      <w:r>
        <w:t xml:space="preserve">Tests log in again and again on every step, making runs sluggish and triggering server </w:t>
      </w:r>
      <w:r>
        <w:rPr>
          <w:b/>
          <w:bCs/>
        </w:rPr>
        <w:t xml:space="preserve">rate-limiting errors</w:t>
      </w:r>
      <w:r>
        <w:t xml:space="preserve">.</w:t>
      </w:r>
    </w:p>
    <w:p>
      <w:pPr>
        <w:pStyle w:val="Heading2"/>
        <w:spacing w:after="100" w:before="140"/>
      </w:pPr>
      <w:r>
        <w:rPr>
          <w:b/>
          <w:bCs/>
          <w:color w:val="0F172A"/>
          <w:sz w:val="24"/>
          <w:szCs w:val="24"/>
        </w:rPr>
        <w:t xml:space="preserve">2. Solution – What Did We Build?</w:t>
      </w:r>
    </w:p>
    <w:p>
      <w:pPr>
        <w:spacing w:after="100"/>
      </w:pPr>
      <w:r>
        <w:t xml:space="preserve">We built </w:t>
      </w:r>
      <w:r>
        <w:rPr>
          <w:b/>
          <w:bCs/>
          <w:color w:val="0284C7"/>
        </w:rPr>
        <w:t xml:space="preserve">Swagger2API AI Agent</w:t>
      </w:r>
      <w:r>
        <w:t xml:space="preserve">—a 1-click tool where you paste any Swagger link or upload an API file, and it instantly builds an </w:t>
      </w:r>
      <w:r>
        <w:rPr>
          <w:b/>
          <w:bCs/>
        </w:rPr>
        <w:t xml:space="preserve">enterprise-ready Playwright TypeScript framework</w:t>
      </w:r>
      <w:r>
        <w:t xml:space="preserve"> in </w:t>
      </w:r>
      <w:r>
        <w:rPr>
          <w:b/>
          <w:bCs/>
          <w:color w:val="16A34A"/>
        </w:rPr>
        <w:t xml:space="preserve">under 2 seconds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0F172A"/>
        </w:rPr>
        <w:t xml:space="preserve">Smart Auto-Discovery: </w:t>
      </w:r>
      <w:r>
        <w:t xml:space="preserve">Paste a Swagger UI web link or a raw JSON/YAML file. The tool automatically detects endpoints, parameters, and models from </w:t>
      </w:r>
      <w:r>
        <w:rPr>
          <w:b/>
          <w:bCs/>
        </w:rPr>
        <w:t xml:space="preserve">Spring Boot, ASP.NET, FastAPI, NestJS, and Express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0F172A"/>
        </w:rPr>
        <w:t xml:space="preserve">Clean 4-Tier Architecture: </w:t>
      </w:r>
      <w:r>
        <w:t xml:space="preserve">Organizes code neatly into </w:t>
      </w:r>
      <w:r>
        <w:rPr>
          <w:b/>
          <w:bCs/>
        </w:rPr>
        <w:t xml:space="preserve">BaseApiClient</w:t>
      </w:r>
      <w:r>
        <w:t xml:space="preserve"> (handles HTTP calls), </w:t>
      </w:r>
      <w:r>
        <w:rPr>
          <w:b/>
          <w:bCs/>
        </w:rPr>
        <w:t xml:space="preserve">TokenManager</w:t>
      </w:r>
      <w:r>
        <w:t xml:space="preserve"> (caches login tokens in memory), </w:t>
      </w:r>
      <w:r>
        <w:rPr>
          <w:b/>
          <w:bCs/>
        </w:rPr>
        <w:t xml:space="preserve">Domain Services</w:t>
      </w:r>
      <w:r>
        <w:t xml:space="preserve">, and </w:t>
      </w:r>
      <w:r>
        <w:rPr>
          <w:b/>
          <w:bCs/>
        </w:rPr>
        <w:t xml:space="preserve">Playwright Fixtures</w:t>
      </w:r>
      <w:r>
        <w:t xml:space="preserve"> for zero code duplication.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0F172A"/>
        </w:rPr>
        <w:t xml:space="preserve">4-in-1 Test Strategy Selector: </w:t>
      </w:r>
      <w:r>
        <w:t xml:space="preserve">Choose the exact test combinations you need: </w:t>
      </w:r>
      <w:r>
        <w:rPr>
          <w:b/>
          <w:bCs/>
        </w:rPr>
        <w:t xml:space="preserve">1. Sequential E2E Journey</w:t>
      </w:r>
      <w:r>
        <w:t xml:space="preserve"> (creates data, passes ID downstream, cleans up), </w:t>
      </w:r>
      <w:r>
        <w:rPr>
          <w:b/>
          <w:bCs/>
        </w:rPr>
        <w:t xml:space="preserve">2. Positive CRUD</w:t>
      </w:r>
      <w:r>
        <w:t xml:space="preserve">, </w:t>
      </w:r>
      <w:r>
        <w:rPr>
          <w:b/>
          <w:bCs/>
        </w:rPr>
        <w:t xml:space="preserve">3. Negative Boundaries (400/404/422)</w:t>
      </w:r>
      <w:r>
        <w:t xml:space="preserve">, and </w:t>
      </w:r>
      <w:r>
        <w:rPr>
          <w:b/>
          <w:bCs/>
        </w:rPr>
        <w:t xml:space="preserve">4. Security Fuzzing (IDOR, SQLi, JWT)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140"/>
      </w:pPr>
      <w:r>
        <w:rPr>
          <w:b/>
          <w:bCs/>
          <w:color w:val="0F172A"/>
        </w:rPr>
        <w:t xml:space="preserve">Deep Allure Forensics: </w:t>
      </w:r>
      <w:r>
        <w:t xml:space="preserve">Built-in interactive reporting showing the </w:t>
      </w:r>
      <w:r>
        <w:rPr>
          <w:b/>
          <w:bCs/>
        </w:rPr>
        <w:t xml:space="preserve">exact request payload sent, response latency (ms), HTTP status, and step assertions</w:t>
      </w:r>
      <w:r>
        <w:t xml:space="preserve">.</w:t>
      </w:r>
    </w:p>
    <w:p>
      <w:pPr>
        <w:spacing w:after="60"/>
        <w:jc w:val="center"/>
      </w:pPr>
      <w:r>
        <w:drawing>
          <wp:inline distT="0" distB="0" distL="0" distR="0">
            <wp:extent cx="5334000" cy="1524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4748B"/>
          <w:sz w:val="17"/>
          <w:szCs w:val="17"/>
        </w:rPr>
        <w:t xml:space="preserve">Figure 2: Real-time Strategy Configuration — Dynamically Adapts to Any Uploaded Swagger Document</w:t>
      </w:r>
    </w:p>
    <w:p>
      <w:pPr>
        <w:pStyle w:val="Heading2"/>
        <w:spacing w:after="100" w:before="140"/>
      </w:pPr>
      <w:r>
        <w:rPr>
          <w:b/>
          <w:bCs/>
          <w:color w:val="0F172A"/>
          <w:sz w:val="24"/>
          <w:szCs w:val="24"/>
        </w:rPr>
        <w:t xml:space="preserve">3. Benefits – What Value &amp; Impact Does It Deliver?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00"/>
        <w:gridCol w:w="100"/>
        <w:gridCol w:w="100"/>
      </w:tblGrid>
      <w:tr>
        <w:tc>
          <w:tcPr>
            <w:shd w:fill="0F172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What You Care About</w:t>
            </w:r>
          </w:p>
        </w:tc>
        <w:tc>
          <w:tcPr>
            <w:shd w:fill="47556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Old Manual Way</w:t>
            </w:r>
          </w:p>
        </w:tc>
        <w:tc>
          <w:tcPr>
            <w:shd w:fill="0284C7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With Swagger2API AI Agent</w:t>
            </w:r>
          </w:p>
        </w:tc>
      </w:tr>
      <w:tr>
        <w:tc>
          <w:p>
            <w:r>
              <w:rPr>
                <w:b/>
                <w:bCs/>
                <w:sz w:val="18"/>
                <w:szCs w:val="18"/>
              </w:rPr>
              <w:t xml:space="preserve">Setup Time</w:t>
            </w:r>
          </w:p>
        </w:tc>
        <w:tc>
          <w:p>
            <w:r>
              <w:rPr>
                <w:sz w:val="18"/>
                <w:szCs w:val="18"/>
              </w:rPr>
              <w:t xml:space="preserve">3 to 5 days per service</w:t>
            </w:r>
          </w:p>
        </w:tc>
        <w:tc>
          <w:tcPr>
            <w:shd w:fill="F0FDF4" w:val="clear"/>
          </w:tcPr>
          <w:p>
            <w:r>
              <w:rPr>
                <w:b/>
                <w:bCs/>
                <w:color w:val="15803D"/>
                <w:sz w:val="18"/>
                <w:szCs w:val="18"/>
              </w:rPr>
              <w:t xml:space="preserve">Under 2 seconds (&lt; 99% faster)</w:t>
            </w:r>
          </w:p>
        </w:tc>
      </w:tr>
      <w:tr>
        <w:tc>
          <w:p>
            <w:r>
              <w:rPr>
                <w:b/>
                <w:bCs/>
                <w:sz w:val="18"/>
                <w:szCs w:val="18"/>
              </w:rPr>
              <w:t xml:space="preserve">Test Quality</w:t>
            </w:r>
          </w:p>
        </w:tc>
        <w:tc>
          <w:p>
            <w:r>
              <w:rPr>
                <w:sz w:val="18"/>
                <w:szCs w:val="18"/>
              </w:rPr>
              <w:t xml:space="preserve">Happy paths only; errors skipped</w:t>
            </w:r>
          </w:p>
        </w:tc>
        <w:tc>
          <w:tcPr>
            <w:shd w:fill="F0FDF4" w:val="clear"/>
          </w:tcPr>
          <w:p>
            <w:r>
              <w:rPr>
                <w:b/>
                <w:bCs/>
                <w:color w:val="15803D"/>
                <w:sz w:val="18"/>
                <w:szCs w:val="18"/>
              </w:rPr>
              <w:t xml:space="preserve">100% full coverage (E2E + Error + Security)</w:t>
            </w:r>
          </w:p>
        </w:tc>
      </w:tr>
      <w:tr>
        <w:tc>
          <w:p>
            <w:r>
              <w:rPr>
                <w:b/>
                <w:bCs/>
                <w:sz w:val="18"/>
                <w:szCs w:val="18"/>
              </w:rPr>
              <w:t xml:space="preserve">Framework Quality</w:t>
            </w:r>
          </w:p>
        </w:tc>
        <w:tc>
          <w:p>
            <w:r>
              <w:rPr>
                <w:sz w:val="18"/>
                <w:szCs w:val="18"/>
              </w:rPr>
              <w:t xml:space="preserve">Ad-hoc scripts; hard to maintain</w:t>
            </w:r>
          </w:p>
        </w:tc>
        <w:tc>
          <w:tcPr>
            <w:shd w:fill="F0FDF4" w:val="clear"/>
          </w:tcPr>
          <w:p>
            <w:r>
              <w:rPr>
                <w:b/>
                <w:bCs/>
                <w:color w:val="15803D"/>
                <w:sz w:val="18"/>
                <w:szCs w:val="18"/>
              </w:rPr>
              <w:t xml:space="preserve">Strict enterprise 4-tier Page/Service pattern</w:t>
            </w:r>
          </w:p>
        </w:tc>
      </w:tr>
      <w:tr>
        <w:tc>
          <w:p>
            <w:r>
              <w:rPr>
                <w:b/>
                <w:bCs/>
                <w:sz w:val="18"/>
                <w:szCs w:val="18"/>
              </w:rPr>
              <w:t xml:space="preserve">CI/CD &amp; Postman</w:t>
            </w:r>
          </w:p>
        </w:tc>
        <w:tc>
          <w:p>
            <w:r>
              <w:rPr>
                <w:sz w:val="18"/>
                <w:szCs w:val="18"/>
              </w:rPr>
              <w:t xml:space="preserve">Manually written from scratch</w:t>
            </w:r>
          </w:p>
        </w:tc>
        <w:tc>
          <w:tcPr>
            <w:shd w:fill="F0FDF4" w:val="clear"/>
          </w:tcPr>
          <w:p>
            <w:r>
              <w:rPr>
                <w:b/>
                <w:bCs/>
                <w:color w:val="15803D"/>
                <w:sz w:val="18"/>
                <w:szCs w:val="18"/>
              </w:rPr>
              <w:t xml:space="preserve">Instant GitHub Actions workflow + Postman v2.1</w:t>
            </w:r>
          </w:p>
        </w:tc>
      </w:tr>
    </w:tbl>
    <w:p>
      <w:pPr>
        <w:spacing w:after="100" w:before="180"/>
      </w:pPr>
    </w:p>
    <w:p>
      <w:pPr>
        <w:pStyle w:val="Heading2"/>
        <w:spacing w:after="100" w:before="140"/>
      </w:pPr>
      <w:r>
        <w:rPr>
          <w:b/>
          <w:bCs/>
          <w:color w:val="0F172A"/>
          <w:sz w:val="24"/>
          <w:szCs w:val="24"/>
        </w:rPr>
        <w:t xml:space="preserve">4. Any Additional Info – How Teams Use It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0F172A"/>
        </w:rPr>
        <w:t xml:space="preserve">Universal Backend Compatibility: </w:t>
      </w:r>
      <w:r>
        <w:t xml:space="preserve">Tested and verified across </w:t>
      </w:r>
      <w:r>
        <w:rPr>
          <w:b/>
          <w:bCs/>
        </w:rPr>
        <w:t xml:space="preserve">Spring Boot, ASP.NET Core, FastAPI, NestJS, and Express</w:t>
      </w:r>
      <w:r>
        <w:t xml:space="preserve">. It handles any valid Swagger 2.0 or OpenAPI 3.x spec.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0F172A"/>
        </w:rPr>
        <w:t xml:space="preserve">Ready to Run Locally: </w:t>
      </w:r>
      <w:r>
        <w:t xml:space="preserve">Anyone can clone the folder, run </w:t>
      </w:r>
      <w:r>
        <w:rPr>
          <w:b/>
          <w:bCs/>
        </w:rPr>
        <w:t xml:space="preserve">npm install &amp;&amp; npm start</w:t>
      </w:r>
      <w:r>
        <w:t xml:space="preserve">, and open </w:t>
      </w:r>
      <w:r>
        <w:rPr>
          <w:b/>
          <w:bCs/>
        </w:rPr>
        <w:t xml:space="preserve">http://localhost:3000</w:t>
      </w:r>
      <w:r>
        <w:t xml:space="preserve"> with zero configuration.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0F172A"/>
        </w:rPr>
        <w:t xml:space="preserve">Autonomous ID Chaining: </w:t>
      </w:r>
      <w:r>
        <w:t xml:space="preserve">The Sequential E2E test creates an entity (e.g. User), catches the generated ID, checks it, updates it, and deletes it at the end automatically.</w:t>
      </w:r>
    </w:p>
    <w:p>
      <w:pPr>
        <w:pStyle w:val="ListParagraph"/>
        <w:numPr>
          <w:ilvl w:val="0"/>
          <w:numId w:val="1"/>
        </w:numPr>
        <w:spacing w:after="180"/>
      </w:pPr>
      <w:r>
        <w:rPr>
          <w:b/>
          <w:bCs/>
          <w:color w:val="0F172A"/>
        </w:rPr>
        <w:t xml:space="preserve">Run Tests with Standard Commands: </w:t>
      </w:r>
      <w:r>
        <w:t xml:space="preserve">Run </w:t>
      </w:r>
      <w:r>
        <w:rPr>
          <w:b/>
          <w:bCs/>
        </w:rPr>
        <w:t xml:space="preserve">npm test</w:t>
      </w:r>
      <w:r>
        <w:t xml:space="preserve"> to run all suites, or </w:t>
      </w:r>
      <w:r>
        <w:rPr>
          <w:b/>
          <w:bCs/>
        </w:rPr>
        <w:t xml:space="preserve">npx playwright show-report</w:t>
      </w:r>
      <w:r>
        <w:t xml:space="preserve"> to view the HTML report.</w:t>
      </w:r>
    </w:p>
    <w:p>
      <w:pPr>
        <w:spacing w:before="180"/>
        <w:jc w:val="center"/>
      </w:pPr>
      <w:r>
        <w:rPr>
          <w:b/>
          <w:bCs/>
          <w:color w:val="0284C7"/>
          <w:sz w:val="18"/>
          <w:szCs w:val="18"/>
        </w:rPr>
        <w:t xml:space="preserve">★ Built for Agile Squads | Zero Boilerplate, 100% Quality Velocity ★</w:t>
      </w:r>
    </w:p>
    <w:sectPr>
      <w:headerReference w:type="default" r:id="rId7"/>
      <w:footerReference w:type="default" r:id="rId8"/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color w:val="94A3B8"/>
        <w:sz w:val="16"/>
        <w:szCs w:val="16"/>
      </w:rPr>
      <w:t xml:space="preserve">Confidential - For Internal Review &amp; Evaluation</w:t>
    </w:r>
    <w:r>
      <w:rPr>
        <w:color w:val="94A3B8"/>
        <w:sz w:val="16"/>
        <w:szCs w:val="16"/>
      </w:rPr>
      <w:t xml:space="preserve">	Page </w:t>
    </w:r>
    <w:r>
      <w:rPr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4748B"/>
        <w:sz w:val="16"/>
        <w:szCs w:val="16"/>
      </w:rPr>
      <w:t xml:space="preserve">Swagger2API AI Agent | Enterprise Solution Overview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171e35e0bd3791e61e07dcd96a7ebe045cd3434.undefined"/><Relationship Id="rId10" Type="http://schemas.openxmlformats.org/officeDocument/2006/relationships/image" Target="media/9187a1225c68e35780f9c993e79742a3321cad93.undefined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2026-09-04T11:01:55.396Z</dcterms:created>
  <dcterms:modified xsi:type="dcterms:W3CDTF">2026-09-04T11:01:55.397Z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