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F172A"/>
          <w:sz w:val="38"/>
          <w:szCs w:val="38"/>
        </w:rPr>
        <w:t xml:space="preserve">Swagger2API AI Agent</w:t>
      </w:r>
    </w:p>
    <w:p>
      <w:pPr>
        <w:spacing w:after="300"/>
        <w:jc w:val="center"/>
      </w:pPr>
      <w:r>
        <w:rPr>
          <w:i/>
          <w:iCs/>
          <w:color w:val="0284C7"/>
          <w:sz w:val="22"/>
          <w:szCs w:val="22"/>
        </w:rPr>
        <w:t xml:space="preserve">Enterprise Autonomous Playwright TypeScript API Test Automation Accelerator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F1F5F9" w:val="clear"/>
          </w:tcPr>
          <w:p>
            <w:r>
              <w:rPr>
                <w:b/>
                <w:bCs/>
                <w:sz w:val="19"/>
                <w:szCs w:val="19"/>
              </w:rPr>
              <w:t xml:space="preserve">Solution Category: </w:t>
            </w:r>
            <w:r>
              <w:rPr>
                <w:sz w:val="19"/>
                <w:szCs w:val="19"/>
              </w:rPr>
              <w:t xml:space="preserve">Autonomous API Quality Engineering</w:t>
            </w:r>
          </w:p>
        </w:tc>
        <w:tc>
          <w:tcPr>
            <w:shd w:fill="F1F5F9" w:val="clear"/>
          </w:tcPr>
          <w:p>
            <w:r>
              <w:rPr>
                <w:b/>
                <w:bCs/>
                <w:sz w:val="19"/>
                <w:szCs w:val="19"/>
              </w:rPr>
              <w:t xml:space="preserve">Primary Technology: </w:t>
            </w:r>
            <w:r>
              <w:rPr>
                <w:sz w:val="19"/>
                <w:szCs w:val="19"/>
              </w:rPr>
              <w:t xml:space="preserve">Playwright, TypeScript, OpenAPI 3.x, Allure</w:t>
            </w:r>
          </w:p>
        </w:tc>
      </w:tr>
    </w:tbl>
    <w:p>
      <w:pPr>
        <w:spacing w:after="150" w:before="250"/>
      </w:pPr>
    </w:p>
    <w:p>
      <w:pPr>
        <w:pStyle w:val="Heading1"/>
        <w:spacing w:after="120" w:before="200"/>
      </w:pPr>
      <w:r>
        <w:rPr>
          <w:b/>
          <w:bCs/>
          <w:color w:val="0F172A"/>
          <w:sz w:val="28"/>
          <w:szCs w:val="28"/>
        </w:rPr>
        <w:t xml:space="preserve">1. Problem – What Are You Solving?</w:t>
      </w:r>
    </w:p>
    <w:p>
      <w:pPr>
        <w:spacing w:after="150"/>
      </w:pPr>
      <w:r>
        <w:t xml:space="preserve">In fast-paced software delivery cycles, backend APIs evolve rapidly, but API test automation remains a severe engineering bottleneck. Whenever backend squads release a Swagger or OpenAPI document, QA engineers and SDETs traditionally spend days or weeks writing repetitive automation boilerplate from scratch.</w:t>
      </w:r>
    </w:p>
    <w:p>
      <w:pPr>
        <w:spacing w:after="120"/>
      </w:pPr>
      <w:r>
        <w:rPr>
          <w:b/>
          <w:bCs/>
          <w:color w:val="0F172A"/>
        </w:rPr>
        <w:t xml:space="preserve">Key Industry Pain Points: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High Time-to-Market Overhead: </w:t>
      </w:r>
      <w:r>
        <w:t xml:space="preserve">Setting up HTTP wrappers, TypeScript types, configs, and fixtures manually takes 3–5 days per service.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Shallow Test Coverage: </w:t>
      </w:r>
      <w:r>
        <w:t xml:space="preserve">Due to tight sprint deadlines, teams often test only the 200 OK happy path, completely neglecting negative boundaries (400, 404, 422) and security vulnerabilities.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Architectural Inconsistency: </w:t>
      </w:r>
      <w:r>
        <w:t xml:space="preserve">Tests frequently hardcode endpoints directly in test scripts, leading to brittle maintenance nightmares when schemas change.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Redundant Auth Overhead: </w:t>
      </w:r>
      <w:r>
        <w:t xml:space="preserve">Without centralized token caching, test suites re-authenticate on every test step, slowing CI/CD runs and triggering API rate limits.</w:t>
      </w:r>
    </w:p>
    <w:p>
      <w:pPr>
        <w:pStyle w:val="Heading1"/>
        <w:spacing w:after="120" w:before="200"/>
      </w:pPr>
      <w:r>
        <w:rPr>
          <w:b/>
          <w:bCs/>
          <w:color w:val="0F172A"/>
          <w:sz w:val="28"/>
          <w:szCs w:val="28"/>
        </w:rPr>
        <w:t xml:space="preserve">2. Solution – What Did You Build?</w:t>
      </w:r>
    </w:p>
    <w:p>
      <w:pPr>
        <w:spacing w:after="150"/>
      </w:pPr>
      <w:r>
        <w:t xml:space="preserve">We engineered </w:t>
      </w:r>
      <w:r>
        <w:rPr>
          <w:b/>
          <w:bCs/>
        </w:rPr>
        <w:t xml:space="preserve">Swagger2API AI Agent</w:t>
      </w:r>
      <w:r>
        <w:t xml:space="preserve">—an enterprise-grade automation accelerator that ingests ANY Swagger 2.0 or OpenAPI 3.x specification and automatically synthesizes a production-ready, modular Playwright TypeScript API Automation Framework in under 2 seconds.</w:t>
      </w:r>
    </w:p>
    <w:p>
      <w:pPr>
        <w:spacing w:after="120"/>
      </w:pPr>
      <w:r>
        <w:rPr>
          <w:b/>
          <w:bCs/>
          <w:color w:val="0F172A"/>
        </w:rPr>
        <w:t xml:space="preserve">Core Architectural Pillars Built: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Universal Smart Schema Resolver: </w:t>
      </w:r>
      <w:r>
        <w:t xml:space="preserve">Automatically parses raw JSON/YAML, file uploads, and live Swagger UI HTML portals across ASP.NET, Spring Boot, FastAPI, Flask, NestJS, and Express.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4-Tier Enterprise Architecture: </w:t>
      </w:r>
      <w:r>
        <w:t xml:space="preserve">Strict clean separation of BaseApiClient (HTTP engine), TokenManager (in-memory token caching), Domain Services, and custom Playwright Fixtures.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Dynamic Test Strategy Selector: </w:t>
      </w:r>
      <w:r>
        <w:t xml:space="preserve">Dynamically configures (1) Sequential E2E Business Workflows touching all endpoints in order, (2) Positive CRUD Happy Paths, (3) Boundary Error Matrices (400/404), and (4) OWASP Security tests (IDOR, SQLi, JWT bypass).</w:t>
      </w:r>
    </w:p>
    <w:p>
      <w:pPr>
        <w:pStyle w:val="ListParagraph"/>
        <w:numPr>
          <w:ilvl w:val="0"/>
          <w:numId w:val="1"/>
        </w:numPr>
        <w:spacing w:after="150"/>
      </w:pPr>
      <w:r>
        <w:rPr>
          <w:b/>
          <w:bCs/>
        </w:rPr>
        <w:t xml:space="preserve">Deep Allure Diagnostics &amp; Postman Sync: </w:t>
      </w:r>
      <w:r>
        <w:t xml:space="preserve">Multi-tab Allure reporting capturing exact payloads, consumed latency (ms), HTTP status messages, and auto-generated Postman v2.1 collections.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Figure 1: Dynamic Test Generation Strategy Selector with Real-time Spec Synchronization</w:t>
      </w:r>
    </w:p>
    <w:p>
      <w:pPr>
        <w:pStyle w:val="Heading1"/>
        <w:spacing w:after="120" w:before="200"/>
      </w:pPr>
      <w:r>
        <w:rPr>
          <w:b/>
          <w:bCs/>
          <w:color w:val="0F172A"/>
          <w:sz w:val="28"/>
          <w:szCs w:val="28"/>
        </w:rPr>
        <w:t xml:space="preserve">3. Benefits – What Value &amp; Impact Does It Deliver?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 / Dimension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Manual / Traditional Approach</w:t>
            </w:r>
          </w:p>
        </w:tc>
        <w:tc>
          <w:tcPr>
            <w:shd w:fill="0284C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Swagger2API AI Agent</w:t>
            </w:r>
          </w:p>
        </w:tc>
      </w:tr>
      <w:tr>
        <w:tc>
          <w:p>
            <w:r>
              <w:rPr>
                <w:b/>
                <w:bCs/>
                <w:sz w:val="19"/>
                <w:szCs w:val="19"/>
              </w:rPr>
              <w:t xml:space="preserve">Setup Duration</w:t>
            </w:r>
          </w:p>
        </w:tc>
        <w:tc>
          <w:p>
            <w:r>
              <w:rPr>
                <w:sz w:val="19"/>
                <w:szCs w:val="19"/>
              </w:rPr>
              <w:t xml:space="preserve">3 to 5 Days per service</w:t>
            </w:r>
          </w:p>
        </w:tc>
        <w:tc>
          <w:tcPr>
            <w:shd w:fill="F0FDF4" w:val="clear"/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Under 2 Seconds (&lt; 99% faster)</w:t>
            </w:r>
          </w:p>
        </w:tc>
      </w:tr>
      <w:tr>
        <w:tc>
          <w:p>
            <w:r>
              <w:rPr>
                <w:b/>
                <w:bCs/>
                <w:sz w:val="19"/>
                <w:szCs w:val="19"/>
              </w:rPr>
              <w:t xml:space="preserve">Test Coverage Breadth</w:t>
            </w:r>
          </w:p>
        </w:tc>
        <w:tc>
          <w:p>
            <w:r>
              <w:rPr>
                <w:sz w:val="19"/>
                <w:szCs w:val="19"/>
              </w:rPr>
              <w:t xml:space="preserve">Primarily 200 OK Happy Paths</w:t>
            </w:r>
          </w:p>
        </w:tc>
        <w:tc>
          <w:tcPr>
            <w:shd w:fill="F0FDF4" w:val="clear"/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100% (E2E, Positive, Negative, Security)</w:t>
            </w:r>
          </w:p>
        </w:tc>
      </w:tr>
      <w:tr>
        <w:tc>
          <w:p>
            <w:r>
              <w:rPr>
                <w:b/>
                <w:bCs/>
                <w:sz w:val="19"/>
                <w:szCs w:val="19"/>
              </w:rPr>
              <w:t xml:space="preserve">Code Quality &amp; Patterns</w:t>
            </w:r>
          </w:p>
        </w:tc>
        <w:tc>
          <w:p>
            <w:r>
              <w:rPr>
                <w:sz w:val="19"/>
                <w:szCs w:val="19"/>
              </w:rPr>
              <w:t xml:space="preserve">Inconsistent scripting across squads</w:t>
            </w:r>
          </w:p>
        </w:tc>
        <w:tc>
          <w:tcPr>
            <w:shd w:fill="F0FDF4" w:val="clear"/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Standardized 4-Tier Clean Architecture</w:t>
            </w:r>
          </w:p>
        </w:tc>
      </w:tr>
      <w:tr>
        <w:tc>
          <w:p>
            <w:r>
              <w:rPr>
                <w:b/>
                <w:bCs/>
                <w:sz w:val="19"/>
                <w:szCs w:val="19"/>
              </w:rPr>
              <w:t xml:space="preserve">CI/CD &amp; Postman Sync</w:t>
            </w:r>
          </w:p>
        </w:tc>
        <w:tc>
          <w:p>
            <w:r>
              <w:rPr>
                <w:sz w:val="19"/>
                <w:szCs w:val="19"/>
              </w:rPr>
              <w:t xml:space="preserve">Manual pipelines &amp; manually synced Postman</w:t>
            </w:r>
          </w:p>
        </w:tc>
        <w:tc>
          <w:tcPr>
            <w:shd w:fill="F0FDF4" w:val="clear"/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Bundled GitHub Actions &amp; Postman v2.1</w:t>
            </w:r>
          </w:p>
        </w:tc>
      </w:tr>
    </w:tbl>
    <w:p>
      <w:pPr>
        <w:spacing w:after="120" w:before="150"/>
      </w:pPr>
    </w:p>
    <w:p>
      <w:pPr>
        <w:spacing w:after="80" w:before="150"/>
        <w:jc w:val="center"/>
      </w:pPr>
      <w:r>
        <w:drawing>
          <wp:inline distT="0" distB="0" distL="0" distR="0">
            <wp:extent cx="5334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Figure 2: Multi-Tab Allure Report with Consumed Response Latency, Payload Forensics &amp; Assertions</w:t>
      </w:r>
    </w:p>
    <w:p>
      <w:pPr>
        <w:pStyle w:val="Heading1"/>
        <w:spacing w:after="120" w:before="200"/>
      </w:pPr>
      <w:r>
        <w:rPr>
          <w:b/>
          <w:bCs/>
          <w:color w:val="0F172A"/>
          <w:sz w:val="28"/>
          <w:szCs w:val="28"/>
        </w:rPr>
        <w:t xml:space="preserve">4. Any Additional Info – Deployment &amp; Scalability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Universal Framework Compatibility: </w:t>
      </w:r>
      <w:r>
        <w:t xml:space="preserve">Supports OpenAPI 3.0, 3.1, and Swagger 2.0 specs generated by Springdoc, Swagger-Net, FastAPI, NestJS, Go-Swagger, Flask-RESTX, and AWS API Gateway.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Zero-Friction Team Onboarding: </w:t>
      </w:r>
      <w:r>
        <w:t xml:space="preserve">Colleagues can run the tool locally with 'npm install &amp;&amp; npm start' or download the synthesized framework zip and execute 'npm test' with zero extra config.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Autonomous Dependency Chaining: </w:t>
      </w:r>
      <w:r>
        <w:t xml:space="preserve">The Sequential E2E workflow automatically captures generated primary IDs from POST mutations and passes them seamlessly to downstream GET, PUT, and DELETE operations.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Production-Ready Execution Commands: </w:t>
      </w:r>
      <w:r>
        <w:t xml:space="preserve">Execute full suite with 'npm test', run isolated E2E workflow with 'npx playwright test tests/e2e/e2e-workflow.spec.ts', or view reports with 'npx playwright show-report'.</w:t>
      </w:r>
    </w:p>
    <w:p>
      <w:pPr>
        <w:spacing w:before="200"/>
        <w:jc w:val="center"/>
      </w:pPr>
      <w:r>
        <w:rPr>
          <w:i/>
          <w:iCs/>
          <w:color w:val="94A3B8"/>
          <w:sz w:val="18"/>
          <w:szCs w:val="18"/>
        </w:rPr>
        <w:t xml:space="preserve">Designed &amp; Engineered for Enterprise Engineering Squads | Accelerating Quality Velocity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87a1225c68e35780f9c993e79742a3321cad93.undefined"/><Relationship Id="rId8" Type="http://schemas.openxmlformats.org/officeDocument/2006/relationships/image" Target="media/9a7b2a9d286078246191a2050b1da24dcd6afb30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2026-09-04T10:50:08.694Z</dcterms:created>
  <dcterms:modified xsi:type="dcterms:W3CDTF">2026-09-04T10:50:08.695Z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