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0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7676B9A5">
        <w:tc>
          <w:tcPr>
            <w:tcW w:w="10040" w:type="dxa"/>
            <w:tcBorders>
              <w:top w:val="nil"/>
              <w:left w:val="nil"/>
              <w:bottom w:val="nil"/>
              <w:right w:val="nil"/>
            </w:tcBorders>
            <w:shd w:val="clear" w:color="auto" w:fill="030B1A"/>
            <w:tcMar>
              <w:top w:w="720" w:type="dxa"/>
              <w:left w:w="480" w:type="dxa"/>
              <w:bottom w:w="720" w:type="dxa"/>
              <w:right w:w="480" w:type="dxa"/>
            </w:tcMar>
          </w:tcPr>
          <w:p w14:paraId="1BCDE012">
            <w:pPr>
              <w:spacing w:before="0" w:after="80"/>
              <w:jc w:val="center"/>
            </w:pPr>
            <w:r>
              <w:rPr>
                <w:rFonts w:ascii="Arial" w:hAnsi="Arial" w:eastAsia="Arial" w:cs="Arial"/>
                <w:b/>
                <w:bCs/>
                <w:i w:val="0"/>
                <w:iCs w:val="0"/>
                <w:color w:val="FFFFFF"/>
                <w:spacing w:val="200"/>
                <w:sz w:val="128"/>
                <w:szCs w:val="128"/>
              </w:rPr>
              <w:t>B.O.S.S</w:t>
            </w:r>
          </w:p>
          <w:p w14:paraId="6C8ABA5A">
            <w:pPr>
              <w:spacing w:before="0" w:after="80"/>
              <w:jc w:val="center"/>
            </w:pPr>
            <w:r>
              <w:rPr>
                <w:rFonts w:ascii="Arial" w:hAnsi="Arial" w:eastAsia="Arial" w:cs="Arial"/>
                <w:b w:val="0"/>
                <w:bCs w:val="0"/>
                <w:i w:val="0"/>
                <w:iCs w:val="0"/>
                <w:color w:val="22D3EE"/>
                <w:sz w:val="36"/>
                <w:szCs w:val="36"/>
              </w:rPr>
              <w:t>Business Orchestration System Software</w:t>
            </w:r>
          </w:p>
          <w:p w14:paraId="322D0996">
            <w:pPr>
              <w:spacing w:before="0" w:after="80"/>
              <w:jc w:val="center"/>
            </w:pPr>
            <w:r>
              <w:rPr>
                <w:rFonts w:ascii="Arial" w:hAnsi="Arial" w:eastAsia="Arial" w:cs="Arial"/>
                <w:b w:val="0"/>
                <w:bCs w:val="0"/>
                <w:i w:val="0"/>
                <w:iCs w:val="0"/>
                <w:color w:val="0891B2"/>
                <w:sz w:val="18"/>
                <w:szCs w:val="18"/>
              </w:rPr>
              <w:t>————————————————————</w:t>
            </w:r>
          </w:p>
          <w:p w14:paraId="49A9D111">
            <w:pPr>
              <w:spacing w:before="0" w:after="100"/>
              <w:jc w:val="center"/>
            </w:pPr>
            <w:r>
              <w:rPr>
                <w:rFonts w:ascii="Arial" w:hAnsi="Arial" w:eastAsia="Arial" w:cs="Arial"/>
                <w:b/>
                <w:bCs/>
                <w:i w:val="0"/>
                <w:iCs w:val="0"/>
                <w:color w:val="CBD5E1"/>
                <w:spacing w:val="160"/>
                <w:sz w:val="28"/>
                <w:szCs w:val="28"/>
              </w:rPr>
              <w:t>INVESTOR EXECUTIVE SUMMARY</w:t>
            </w:r>
          </w:p>
          <w:p w14:paraId="1C398399">
            <w:pPr>
              <w:spacing w:before="0" w:after="240"/>
              <w:jc w:val="center"/>
            </w:pPr>
            <w:r>
              <w:rPr>
                <w:rFonts w:ascii="Arial" w:hAnsi="Arial" w:eastAsia="Arial" w:cs="Arial"/>
                <w:b w:val="0"/>
                <w:bCs w:val="0"/>
                <w:i/>
                <w:iCs/>
                <w:color w:val="22D3EE"/>
                <w:sz w:val="26"/>
                <w:szCs w:val="26"/>
              </w:rPr>
              <w:t>AI-Native Orchestration System for Business Intelligence</w:t>
            </w:r>
          </w:p>
          <w:p w14:paraId="55DEC590">
            <w:pPr>
              <w:spacing w:before="0" w:after="0"/>
              <w:jc w:val="center"/>
            </w:pPr>
            <w:r>
              <w:rPr>
                <w:rFonts w:ascii="Arial" w:hAnsi="Arial" w:eastAsia="Arial" w:cs="Arial"/>
                <w:b w:val="0"/>
                <w:bCs w:val="0"/>
                <w:i w:val="0"/>
                <w:iCs w:val="0"/>
                <w:color w:val="475569"/>
                <w:sz w:val="20"/>
                <w:szCs w:val="20"/>
              </w:rPr>
              <w:t>Stage: Early-Stage Production MVP   │   2025   │   Confidential</w:t>
            </w:r>
          </w:p>
        </w:tc>
      </w:tr>
    </w:tbl>
    <w:p w14:paraId="6345F9CB">
      <w:pPr>
        <w:spacing w:before="0" w:after="220"/>
      </w:pPr>
    </w:p>
    <w:tbl>
      <w:tblPr>
        <w:tblStyle w:val="9"/>
        <w:tblW w:w="10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146D678E">
        <w:tc>
          <w:tcPr>
            <w:tcW w:w="10040" w:type="dxa"/>
            <w:tcBorders>
              <w:top w:val="single" w:color="22D3EE" w:sz="8" w:space="0"/>
              <w:left w:val="nil"/>
              <w:bottom w:val="single" w:color="22D3EE" w:sz="8" w:space="0"/>
              <w:right w:val="nil"/>
            </w:tcBorders>
            <w:shd w:val="clear" w:color="auto" w:fill="040F24"/>
            <w:tcMar>
              <w:top w:w="220" w:type="dxa"/>
              <w:left w:w="360" w:type="dxa"/>
              <w:bottom w:w="220" w:type="dxa"/>
              <w:right w:w="360" w:type="dxa"/>
            </w:tcMar>
          </w:tcPr>
          <w:p w14:paraId="2E854BC1">
            <w:pPr>
              <w:spacing w:before="0" w:after="0"/>
              <w:jc w:val="center"/>
            </w:pPr>
            <w:r>
              <w:rPr>
                <w:rFonts w:ascii="Arial" w:hAnsi="Arial" w:eastAsia="Arial" w:cs="Arial"/>
                <w:b w:val="0"/>
                <w:bCs w:val="0"/>
                <w:i w:val="0"/>
                <w:iCs w:val="0"/>
                <w:color w:val="22D3EE"/>
                <w:sz w:val="72"/>
                <w:szCs w:val="72"/>
              </w:rPr>
              <w:t>“</w:t>
            </w:r>
          </w:p>
          <w:p w14:paraId="0401C0F2">
            <w:pPr>
              <w:spacing w:before="0" w:after="120"/>
              <w:jc w:val="center"/>
            </w:pPr>
            <w:r>
              <w:rPr>
                <w:rFonts w:ascii="Arial" w:hAnsi="Arial" w:eastAsia="Arial" w:cs="Arial"/>
                <w:b w:val="0"/>
                <w:bCs w:val="0"/>
                <w:i/>
                <w:iCs/>
                <w:color w:val="FFFFFF"/>
                <w:sz w:val="27"/>
                <w:szCs w:val="27"/>
              </w:rPr>
              <w:t>B.O.S.S is not a chatbot. It is the AI orchestration system your business never had — the single intelligence layer that replaces a dozen fragmented tools.</w:t>
            </w:r>
          </w:p>
          <w:p w14:paraId="41A8D7B1">
            <w:pPr>
              <w:spacing w:before="0" w:after="0"/>
              <w:jc w:val="center"/>
            </w:pPr>
            <w:r>
              <w:rPr>
                <w:rFonts w:ascii="Arial" w:hAnsi="Arial" w:eastAsia="Arial" w:cs="Arial"/>
                <w:b/>
                <w:bCs/>
                <w:i w:val="0"/>
                <w:iCs w:val="0"/>
                <w:color w:val="22D3EE"/>
                <w:sz w:val="21"/>
                <w:szCs w:val="21"/>
              </w:rPr>
              <w:t>—  One Vision Statement</w:t>
            </w:r>
          </w:p>
        </w:tc>
      </w:tr>
    </w:tbl>
    <w:p w14:paraId="1E80C01E">
      <w:pPr>
        <w:spacing w:before="0" w:after="22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720"/>
      </w:tblGrid>
      <w:tr w14:paraId="5C076902">
        <w:tc>
          <w:tcPr>
            <w:tcW w:w="30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3ACE17D0">
            <w:pPr>
              <w:spacing w:before="0" w:after="0"/>
            </w:pPr>
            <w:r>
              <w:rPr>
                <w:rFonts w:ascii="Arial" w:hAnsi="Arial" w:eastAsia="Arial" w:cs="Arial"/>
                <w:b/>
                <w:bCs/>
                <w:i w:val="0"/>
                <w:iCs w:val="0"/>
                <w:color w:val="030B1A"/>
                <w:sz w:val="20"/>
                <w:szCs w:val="20"/>
              </w:rPr>
              <w:t>Company Name</w:t>
            </w:r>
          </w:p>
        </w:tc>
        <w:tc>
          <w:tcPr>
            <w:tcW w:w="67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71D84E9E">
            <w:pPr>
              <w:spacing w:before="0" w:after="0"/>
            </w:pPr>
            <w:r>
              <w:rPr>
                <w:rFonts w:ascii="Arial" w:hAnsi="Arial" w:eastAsia="Arial" w:cs="Arial"/>
                <w:b w:val="0"/>
                <w:bCs w:val="0"/>
                <w:i w:val="0"/>
                <w:iCs w:val="0"/>
                <w:color w:val="0F172A"/>
                <w:sz w:val="20"/>
                <w:szCs w:val="20"/>
              </w:rPr>
              <w:t>B.O.S.S  —  Business Orchestration System Software</w:t>
            </w:r>
          </w:p>
        </w:tc>
      </w:tr>
      <w:tr w14:paraId="7CDF84B7">
        <w:tc>
          <w:tcPr>
            <w:tcW w:w="300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67F7BFB9">
            <w:pPr>
              <w:spacing w:before="0" w:after="0"/>
            </w:pPr>
            <w:r>
              <w:rPr>
                <w:rFonts w:ascii="Arial" w:hAnsi="Arial" w:eastAsia="Arial" w:cs="Arial"/>
                <w:b/>
                <w:bCs/>
                <w:i w:val="0"/>
                <w:iCs w:val="0"/>
                <w:color w:val="030B1A"/>
                <w:sz w:val="20"/>
                <w:szCs w:val="20"/>
              </w:rPr>
              <w:t>Product Type</w:t>
            </w:r>
          </w:p>
        </w:tc>
        <w:tc>
          <w:tcPr>
            <w:tcW w:w="672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79AEA254">
            <w:pPr>
              <w:spacing w:before="0" w:after="0"/>
            </w:pPr>
            <w:r>
              <w:rPr>
                <w:rFonts w:ascii="Arial" w:hAnsi="Arial" w:eastAsia="Arial" w:cs="Arial"/>
                <w:b w:val="0"/>
                <w:bCs w:val="0"/>
                <w:i w:val="0"/>
                <w:iCs w:val="0"/>
                <w:color w:val="0F172A"/>
                <w:sz w:val="20"/>
                <w:szCs w:val="20"/>
              </w:rPr>
              <w:t>AI SaaS Orchestration System</w:t>
            </w:r>
          </w:p>
        </w:tc>
      </w:tr>
      <w:tr w14:paraId="622A910C">
        <w:tc>
          <w:tcPr>
            <w:tcW w:w="30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266CA350">
            <w:pPr>
              <w:spacing w:before="0" w:after="0"/>
            </w:pPr>
            <w:r>
              <w:rPr>
                <w:rFonts w:ascii="Arial" w:hAnsi="Arial" w:eastAsia="Arial" w:cs="Arial"/>
                <w:b/>
                <w:bCs/>
                <w:i w:val="0"/>
                <w:iCs w:val="0"/>
                <w:color w:val="030B1A"/>
                <w:sz w:val="20"/>
                <w:szCs w:val="20"/>
              </w:rPr>
              <w:t>Current Stage</w:t>
            </w:r>
          </w:p>
        </w:tc>
        <w:tc>
          <w:tcPr>
            <w:tcW w:w="67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1D3E57FC">
            <w:pPr>
              <w:spacing w:before="0" w:after="0"/>
            </w:pPr>
            <w:r>
              <w:rPr>
                <w:rFonts w:ascii="Arial" w:hAnsi="Arial" w:eastAsia="Arial" w:cs="Arial"/>
                <w:b w:val="0"/>
                <w:bCs w:val="0"/>
                <w:i w:val="0"/>
                <w:iCs w:val="0"/>
                <w:color w:val="0F172A"/>
                <w:sz w:val="20"/>
                <w:szCs w:val="20"/>
              </w:rPr>
              <w:t>Early-Stage Production MVP — Functional &amp; Deployed</w:t>
            </w:r>
          </w:p>
        </w:tc>
      </w:tr>
      <w:tr w14:paraId="2129FA6A">
        <w:tc>
          <w:tcPr>
            <w:tcW w:w="300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49E21E72">
            <w:pPr>
              <w:spacing w:before="0" w:after="0"/>
            </w:pPr>
            <w:r>
              <w:rPr>
                <w:rFonts w:ascii="Arial" w:hAnsi="Arial" w:eastAsia="Arial" w:cs="Arial"/>
                <w:b/>
                <w:bCs/>
                <w:i w:val="0"/>
                <w:iCs w:val="0"/>
                <w:color w:val="030B1A"/>
                <w:sz w:val="20"/>
                <w:szCs w:val="20"/>
              </w:rPr>
              <w:t>Core Technology</w:t>
            </w:r>
          </w:p>
        </w:tc>
        <w:tc>
          <w:tcPr>
            <w:tcW w:w="672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62FFE024">
            <w:pPr>
              <w:spacing w:before="0" w:after="0"/>
            </w:pPr>
            <w:r>
              <w:rPr>
                <w:rFonts w:ascii="Arial" w:hAnsi="Arial" w:eastAsia="Arial" w:cs="Arial"/>
                <w:b w:val="0"/>
                <w:bCs w:val="0"/>
                <w:i w:val="0"/>
                <w:iCs w:val="0"/>
                <w:color w:val="0F172A"/>
                <w:sz w:val="20"/>
                <w:szCs w:val="20"/>
              </w:rPr>
              <w:t>Next.js 14, OpenAI GPT-4o, AI Orchestration Engine, Observability Layer</w:t>
            </w:r>
          </w:p>
        </w:tc>
      </w:tr>
      <w:tr w14:paraId="11E0D131">
        <w:tc>
          <w:tcPr>
            <w:tcW w:w="30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0BF991B6">
            <w:pPr>
              <w:spacing w:before="0" w:after="0"/>
            </w:pPr>
            <w:r>
              <w:rPr>
                <w:rFonts w:ascii="Arial" w:hAnsi="Arial" w:eastAsia="Arial" w:cs="Arial"/>
                <w:b/>
                <w:bCs/>
                <w:i w:val="0"/>
                <w:iCs w:val="0"/>
                <w:color w:val="030B1A"/>
                <w:sz w:val="20"/>
                <w:szCs w:val="20"/>
              </w:rPr>
              <w:t>Target Markets</w:t>
            </w:r>
          </w:p>
        </w:tc>
        <w:tc>
          <w:tcPr>
            <w:tcW w:w="67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4792A421">
            <w:pPr>
              <w:spacing w:before="0" w:after="0"/>
            </w:pPr>
            <w:r>
              <w:rPr>
                <w:rFonts w:ascii="Arial" w:hAnsi="Arial" w:eastAsia="Arial" w:cs="Arial"/>
                <w:b w:val="0"/>
                <w:bCs w:val="0"/>
                <w:i w:val="0"/>
                <w:iCs w:val="0"/>
                <w:color w:val="0F172A"/>
                <w:sz w:val="20"/>
                <w:szCs w:val="20"/>
              </w:rPr>
              <w:t>SMEs, Scale-Ups, Enterprise Divisions (East Africa → Global)</w:t>
            </w:r>
          </w:p>
        </w:tc>
      </w:tr>
      <w:tr w14:paraId="493A5119">
        <w:tc>
          <w:tcPr>
            <w:tcW w:w="300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5B7698FE">
            <w:pPr>
              <w:spacing w:before="0" w:after="0"/>
            </w:pPr>
            <w:r>
              <w:rPr>
                <w:rFonts w:ascii="Arial" w:hAnsi="Arial" w:eastAsia="Arial" w:cs="Arial"/>
                <w:b/>
                <w:bCs/>
                <w:i w:val="0"/>
                <w:iCs w:val="0"/>
                <w:color w:val="030B1A"/>
                <w:sz w:val="20"/>
                <w:szCs w:val="20"/>
              </w:rPr>
              <w:t>Business Model</w:t>
            </w:r>
          </w:p>
        </w:tc>
        <w:tc>
          <w:tcPr>
            <w:tcW w:w="672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18E9586C">
            <w:pPr>
              <w:spacing w:before="0" w:after="0"/>
            </w:pPr>
            <w:r>
              <w:rPr>
                <w:rFonts w:ascii="Arial" w:hAnsi="Arial" w:eastAsia="Arial" w:cs="Arial"/>
                <w:b w:val="0"/>
                <w:bCs w:val="0"/>
                <w:i w:val="0"/>
                <w:iCs w:val="0"/>
                <w:color w:val="0F172A"/>
                <w:sz w:val="20"/>
                <w:szCs w:val="20"/>
              </w:rPr>
              <w:t>Tiered Subscription SaaS + Usage-Based AI Orchestration Credits</w:t>
            </w:r>
          </w:p>
        </w:tc>
      </w:tr>
      <w:tr w14:paraId="4200B1B1">
        <w:tc>
          <w:tcPr>
            <w:tcW w:w="30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75BCA45A">
            <w:pPr>
              <w:spacing w:before="0" w:after="0"/>
            </w:pPr>
            <w:r>
              <w:rPr>
                <w:rFonts w:ascii="Arial" w:hAnsi="Arial" w:eastAsia="Arial" w:cs="Arial"/>
                <w:b/>
                <w:bCs/>
                <w:i w:val="0"/>
                <w:iCs w:val="0"/>
                <w:color w:val="030B1A"/>
                <w:sz w:val="20"/>
                <w:szCs w:val="20"/>
              </w:rPr>
              <w:t>Deployment</w:t>
            </w:r>
          </w:p>
        </w:tc>
        <w:tc>
          <w:tcPr>
            <w:tcW w:w="67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2B0E3E02">
            <w:pPr>
              <w:spacing w:before="0" w:after="0"/>
            </w:pPr>
            <w:r>
              <w:rPr>
                <w:rFonts w:ascii="Arial" w:hAnsi="Arial" w:eastAsia="Arial" w:cs="Arial"/>
                <w:b w:val="0"/>
                <w:bCs w:val="0"/>
                <w:i w:val="0"/>
                <w:iCs w:val="0"/>
                <w:color w:val="0F172A"/>
                <w:sz w:val="20"/>
                <w:szCs w:val="20"/>
              </w:rPr>
              <w:t>Cloud-Native, Multi-Tenant Architecture (Production Roadmap)</w:t>
            </w:r>
          </w:p>
        </w:tc>
      </w:tr>
    </w:tbl>
    <w:p w14:paraId="0D548966">
      <w:pPr>
        <w:spacing w:before="0" w:after="20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30"/>
        <w:gridCol w:w="2430"/>
        <w:gridCol w:w="2430"/>
        <w:gridCol w:w="2430"/>
      </w:tblGrid>
      <w:tr w14:paraId="2735912C">
        <w:tc>
          <w:tcPr>
            <w:tcW w:w="2430" w:type="dxa"/>
            <w:tcBorders>
              <w:top w:val="single" w:color="0891B2" w:sz="4" w:space="0"/>
              <w:left w:val="single" w:color="0891B2" w:sz="2" w:space="0"/>
              <w:bottom w:val="single" w:color="0891B2" w:sz="4" w:space="0"/>
              <w:right w:val="single" w:color="0891B2" w:sz="2" w:space="0"/>
            </w:tcBorders>
            <w:shd w:val="clear" w:color="auto" w:fill="EFF6FF"/>
            <w:tcMar>
              <w:top w:w="180" w:type="dxa"/>
              <w:left w:w="140" w:type="dxa"/>
              <w:bottom w:w="180" w:type="dxa"/>
              <w:right w:w="140" w:type="dxa"/>
            </w:tcMar>
          </w:tcPr>
          <w:p w14:paraId="7B01221B">
            <w:pPr>
              <w:spacing w:before="0" w:after="40"/>
              <w:jc w:val="center"/>
            </w:pPr>
            <w:r>
              <w:rPr>
                <w:rFonts w:ascii="Arial" w:hAnsi="Arial" w:eastAsia="Arial" w:cs="Arial"/>
                <w:b/>
                <w:bCs/>
                <w:i w:val="0"/>
                <w:iCs w:val="0"/>
                <w:color w:val="0891B2"/>
                <w:sz w:val="40"/>
                <w:szCs w:val="40"/>
              </w:rPr>
              <w:t>$302B+</w:t>
            </w:r>
          </w:p>
          <w:p w14:paraId="62E64D51">
            <w:pPr>
              <w:spacing w:before="0" w:after="30"/>
              <w:jc w:val="center"/>
            </w:pPr>
            <w:r>
              <w:rPr>
                <w:rFonts w:ascii="Arial" w:hAnsi="Arial" w:eastAsia="Arial" w:cs="Arial"/>
                <w:b w:val="0"/>
                <w:bCs w:val="0"/>
                <w:i w:val="0"/>
                <w:iCs w:val="0"/>
                <w:color w:val="64748B"/>
                <w:sz w:val="19"/>
                <w:szCs w:val="19"/>
              </w:rPr>
              <w:t>Combined TAM</w:t>
            </w:r>
          </w:p>
          <w:p w14:paraId="49676780">
            <w:pPr>
              <w:spacing w:before="0" w:after="0"/>
              <w:jc w:val="center"/>
            </w:pPr>
            <w:r>
              <w:rPr>
                <w:rFonts w:ascii="Arial" w:hAnsi="Arial" w:eastAsia="Arial" w:cs="Arial"/>
                <w:b/>
                <w:bCs/>
                <w:i w:val="0"/>
                <w:iCs w:val="0"/>
                <w:color w:val="0891B2"/>
                <w:sz w:val="17"/>
                <w:szCs w:val="17"/>
              </w:rPr>
              <w:t>By 2029</w:t>
            </w:r>
          </w:p>
        </w:tc>
        <w:tc>
          <w:tcPr>
            <w:tcW w:w="2430" w:type="dxa"/>
            <w:tcBorders>
              <w:top w:val="single" w:color="047857" w:sz="4" w:space="0"/>
              <w:left w:val="single" w:color="047857" w:sz="2" w:space="0"/>
              <w:bottom w:val="single" w:color="047857" w:sz="4" w:space="0"/>
              <w:right w:val="single" w:color="047857" w:sz="2" w:space="0"/>
            </w:tcBorders>
            <w:shd w:val="clear" w:color="auto" w:fill="D1FAE5"/>
            <w:tcMar>
              <w:top w:w="180" w:type="dxa"/>
              <w:left w:w="140" w:type="dxa"/>
              <w:bottom w:w="180" w:type="dxa"/>
              <w:right w:w="140" w:type="dxa"/>
            </w:tcMar>
          </w:tcPr>
          <w:p w14:paraId="50B0A870">
            <w:pPr>
              <w:spacing w:before="0" w:after="40"/>
              <w:jc w:val="center"/>
            </w:pPr>
            <w:r>
              <w:rPr>
                <w:rFonts w:ascii="Arial" w:hAnsi="Arial" w:eastAsia="Arial" w:cs="Arial"/>
                <w:b/>
                <w:bCs/>
                <w:i w:val="0"/>
                <w:iCs w:val="0"/>
                <w:color w:val="047857"/>
                <w:sz w:val="40"/>
                <w:szCs w:val="40"/>
              </w:rPr>
              <w:t>34%</w:t>
            </w:r>
          </w:p>
          <w:p w14:paraId="1D7C9231">
            <w:pPr>
              <w:spacing w:before="0" w:after="30"/>
              <w:jc w:val="center"/>
            </w:pPr>
            <w:r>
              <w:rPr>
                <w:rFonts w:ascii="Arial" w:hAnsi="Arial" w:eastAsia="Arial" w:cs="Arial"/>
                <w:b w:val="0"/>
                <w:bCs w:val="0"/>
                <w:i w:val="0"/>
                <w:iCs w:val="0"/>
                <w:color w:val="64748B"/>
                <w:sz w:val="19"/>
                <w:szCs w:val="19"/>
              </w:rPr>
              <w:t>Africa SaaS CAGR</w:t>
            </w:r>
          </w:p>
          <w:p w14:paraId="4402214F">
            <w:pPr>
              <w:spacing w:before="0" w:after="0"/>
              <w:jc w:val="center"/>
            </w:pPr>
            <w:r>
              <w:rPr>
                <w:rFonts w:ascii="Arial" w:hAnsi="Arial" w:eastAsia="Arial" w:cs="Arial"/>
                <w:b/>
                <w:bCs/>
                <w:i w:val="0"/>
                <w:iCs w:val="0"/>
                <w:color w:val="047857"/>
                <w:sz w:val="17"/>
                <w:szCs w:val="17"/>
              </w:rPr>
              <w:t>YoY Growth</w:t>
            </w:r>
          </w:p>
        </w:tc>
        <w:tc>
          <w:tcPr>
            <w:tcW w:w="2430" w:type="dxa"/>
            <w:tcBorders>
              <w:top w:val="single" w:color="6D28D9" w:sz="4" w:space="0"/>
              <w:left w:val="single" w:color="6D28D9" w:sz="2" w:space="0"/>
              <w:bottom w:val="single" w:color="6D28D9" w:sz="4" w:space="0"/>
              <w:right w:val="single" w:color="6D28D9" w:sz="2" w:space="0"/>
            </w:tcBorders>
            <w:shd w:val="clear" w:color="auto" w:fill="EDE9FE"/>
            <w:tcMar>
              <w:top w:w="180" w:type="dxa"/>
              <w:left w:w="140" w:type="dxa"/>
              <w:bottom w:w="180" w:type="dxa"/>
              <w:right w:w="140" w:type="dxa"/>
            </w:tcMar>
          </w:tcPr>
          <w:p w14:paraId="35388BF4">
            <w:pPr>
              <w:spacing w:before="0" w:after="40"/>
              <w:jc w:val="center"/>
            </w:pPr>
            <w:r>
              <w:rPr>
                <w:rFonts w:ascii="Arial" w:hAnsi="Arial" w:eastAsia="Arial" w:cs="Arial"/>
                <w:b/>
                <w:bCs/>
                <w:i w:val="0"/>
                <w:iCs w:val="0"/>
                <w:color w:val="6D28D9"/>
                <w:sz w:val="40"/>
                <w:szCs w:val="40"/>
              </w:rPr>
              <w:t>28.4%</w:t>
            </w:r>
          </w:p>
          <w:p w14:paraId="3A0557B1">
            <w:pPr>
              <w:spacing w:before="0" w:after="30"/>
              <w:jc w:val="center"/>
            </w:pPr>
            <w:r>
              <w:rPr>
                <w:rFonts w:ascii="Arial" w:hAnsi="Arial" w:eastAsia="Arial" w:cs="Arial"/>
                <w:b w:val="0"/>
                <w:bCs w:val="0"/>
                <w:i w:val="0"/>
                <w:iCs w:val="0"/>
                <w:color w:val="64748B"/>
                <w:sz w:val="19"/>
                <w:szCs w:val="19"/>
              </w:rPr>
              <w:t>AI SaaS CAGR</w:t>
            </w:r>
          </w:p>
          <w:p w14:paraId="7D388CA1">
            <w:pPr>
              <w:spacing w:before="0" w:after="0"/>
              <w:jc w:val="center"/>
            </w:pPr>
            <w:r>
              <w:rPr>
                <w:rFonts w:ascii="Arial" w:hAnsi="Arial" w:eastAsia="Arial" w:cs="Arial"/>
                <w:b/>
                <w:bCs/>
                <w:i w:val="0"/>
                <w:iCs w:val="0"/>
                <w:color w:val="6D28D9"/>
                <w:sz w:val="17"/>
                <w:szCs w:val="17"/>
              </w:rPr>
              <w:t>Global 2024–29</w:t>
            </w:r>
          </w:p>
        </w:tc>
        <w:tc>
          <w:tcPr>
            <w:tcW w:w="2430" w:type="dxa"/>
            <w:tcBorders>
              <w:top w:val="single" w:color="B45309" w:sz="4" w:space="0"/>
              <w:left w:val="single" w:color="B45309" w:sz="2" w:space="0"/>
              <w:bottom w:val="single" w:color="B45309" w:sz="4" w:space="0"/>
              <w:right w:val="single" w:color="B45309" w:sz="2" w:space="0"/>
            </w:tcBorders>
            <w:shd w:val="clear" w:color="auto" w:fill="FEF3C7"/>
            <w:tcMar>
              <w:top w:w="180" w:type="dxa"/>
              <w:left w:w="140" w:type="dxa"/>
              <w:bottom w:w="180" w:type="dxa"/>
              <w:right w:w="140" w:type="dxa"/>
            </w:tcMar>
          </w:tcPr>
          <w:p w14:paraId="4A8E8080">
            <w:pPr>
              <w:spacing w:before="0" w:after="40"/>
              <w:jc w:val="center"/>
            </w:pPr>
            <w:r>
              <w:rPr>
                <w:rFonts w:ascii="Arial" w:hAnsi="Arial" w:eastAsia="Arial" w:cs="Arial"/>
                <w:b/>
                <w:bCs/>
                <w:i w:val="0"/>
                <w:iCs w:val="0"/>
                <w:color w:val="B45309"/>
                <w:sz w:val="40"/>
                <w:szCs w:val="40"/>
              </w:rPr>
              <w:t>10</w:t>
            </w:r>
          </w:p>
          <w:p w14:paraId="481C9FCE">
            <w:pPr>
              <w:spacing w:before="0" w:after="30"/>
              <w:jc w:val="center"/>
            </w:pPr>
            <w:r>
              <w:rPr>
                <w:rFonts w:ascii="Arial" w:hAnsi="Arial" w:eastAsia="Arial" w:cs="Arial"/>
                <w:b w:val="0"/>
                <w:bCs w:val="0"/>
                <w:i w:val="0"/>
                <w:iCs w:val="0"/>
                <w:color w:val="64748B"/>
                <w:sz w:val="19"/>
                <w:szCs w:val="19"/>
              </w:rPr>
              <w:t>Sections of Product</w:t>
            </w:r>
          </w:p>
          <w:p w14:paraId="04B89EF7">
            <w:pPr>
              <w:spacing w:before="0" w:after="0"/>
              <w:jc w:val="center"/>
            </w:pPr>
            <w:r>
              <w:rPr>
                <w:rFonts w:ascii="Arial" w:hAnsi="Arial" w:eastAsia="Arial" w:cs="Arial"/>
                <w:b/>
                <w:bCs/>
                <w:i w:val="0"/>
                <w:iCs w:val="0"/>
                <w:color w:val="B45309"/>
                <w:sz w:val="17"/>
                <w:szCs w:val="17"/>
              </w:rPr>
              <w:t>MVP Live</w:t>
            </w:r>
          </w:p>
        </w:tc>
      </w:tr>
    </w:tbl>
    <w:p w14:paraId="0A7130D3">
      <w:pPr>
        <w:spacing w:before="0" w:after="0"/>
      </w:pPr>
      <w:r>
        <w:br w:type="page"/>
      </w:r>
    </w:p>
    <w:p w14:paraId="39099987">
      <w:pPr>
        <w:pStyle w:val="2"/>
        <w:keepNext/>
        <w:pBdr>
          <w:left w:val="single" w:color="22D3EE" w:sz="16" w:space="0"/>
          <w:bottom w:val="single" w:color="06B6D4" w:sz="6" w:space="0"/>
        </w:pBdr>
        <w:shd w:val="clear" w:fill="030B1A"/>
        <w:spacing w:before="360" w:after="0"/>
        <w:ind w:left="160" w:right="160"/>
      </w:pPr>
      <w:r>
        <w:rPr>
          <w:rFonts w:ascii="Arial" w:hAnsi="Arial" w:eastAsia="Arial" w:cs="Arial"/>
          <w:b/>
          <w:bCs/>
          <w:i w:val="0"/>
          <w:iCs w:val="0"/>
          <w:color w:val="FFFFFF"/>
          <w:spacing w:val="60"/>
          <w:sz w:val="27"/>
          <w:szCs w:val="27"/>
        </w:rPr>
        <w:t>01  |  COMPANY OVERVIEW</w:t>
      </w:r>
    </w:p>
    <w:p w14:paraId="5BDC7AA1">
      <w:pPr>
        <w:spacing w:before="0" w:after="100"/>
      </w:pPr>
    </w:p>
    <w:p w14:paraId="28237800">
      <w:pPr>
        <w:spacing w:before="80" w:after="80"/>
        <w:contextualSpacing/>
        <w:jc w:val="both"/>
      </w:pPr>
      <w:r>
        <w:rPr>
          <w:rFonts w:ascii="Arial" w:hAnsi="Arial" w:eastAsia="Arial" w:cs="Arial"/>
          <w:b w:val="0"/>
          <w:bCs w:val="0"/>
          <w:i w:val="0"/>
          <w:iCs w:val="0"/>
          <w:color w:val="0F172A"/>
          <w:sz w:val="21"/>
          <w:szCs w:val="21"/>
        </w:rPr>
        <w:t>B.O.S.S (Business Orchestration System Software) is an AI-native SaaS platform engineered to function as the central intelligence layer for modern businesses. Where traditional software offers isolated, point-in-time analytics, B.O.S.S delivers a continuously evolving, AI-powered orchestration system that ingests business data, generates structured insights, tracks system performance, and surfaces intelligent recommendations in real time.</w:t>
      </w:r>
    </w:p>
    <w:p w14:paraId="457CB40D">
      <w:pPr>
        <w:spacing w:before="0" w:after="80"/>
      </w:pPr>
    </w:p>
    <w:p w14:paraId="3678A20D">
      <w:pPr>
        <w:spacing w:before="80" w:after="80"/>
        <w:contextualSpacing/>
        <w:jc w:val="both"/>
      </w:pPr>
      <w:r>
        <w:rPr>
          <w:rFonts w:ascii="Arial" w:hAnsi="Arial" w:eastAsia="Arial" w:cs="Arial"/>
          <w:b w:val="0"/>
          <w:bCs w:val="0"/>
          <w:i w:val="0"/>
          <w:iCs w:val="0"/>
          <w:color w:val="0F172A"/>
          <w:sz w:val="21"/>
          <w:szCs w:val="21"/>
        </w:rPr>
        <w:t>The company was founded on a foundational observation: the tools businesses rely on to make decisions are fragmented, reactive, and disconnected from the intelligence needed to act. Accounting tools generate numbers. CRMs manage relationships. Analytics platforms surface charts. None of these systems communicate with each other, learn from the business, or generate actionable intelligence at the moment it is needed. B.O.S.S exists to collapse this fragmentation into a single AI orchestration platform.</w:t>
      </w:r>
    </w:p>
    <w:p w14:paraId="502016AF">
      <w:pPr>
        <w:spacing w:before="0" w:after="80"/>
      </w:pPr>
    </w:p>
    <w:p w14:paraId="0AFADC8C">
      <w:pPr>
        <w:spacing w:before="80" w:after="80"/>
        <w:contextualSpacing/>
        <w:jc w:val="both"/>
      </w:pPr>
      <w:r>
        <w:rPr>
          <w:rFonts w:ascii="Arial" w:hAnsi="Arial" w:eastAsia="Arial" w:cs="Arial"/>
          <w:b w:val="0"/>
          <w:bCs w:val="0"/>
          <w:i w:val="0"/>
          <w:iCs w:val="0"/>
          <w:color w:val="0F172A"/>
          <w:sz w:val="21"/>
          <w:szCs w:val="21"/>
        </w:rPr>
        <w:t>The functional MVP is already live: a full-stack system integrating a Next.js 14 frontend, AI orchestration via OpenAI GPT-4o, a proprietary logging and observability engine, and a modular intelligence dashboard. This is not a deck. This is a deployed product.</w:t>
      </w:r>
    </w:p>
    <w:p w14:paraId="1FD3A083">
      <w:pPr>
        <w:spacing w:before="0" w:after="16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037087C8">
        <w:tc>
          <w:tcPr>
            <w:tcW w:w="9720" w:type="dxa"/>
            <w:tcBorders>
              <w:top w:val="single" w:color="6D28D9" w:sz="6" w:space="0"/>
              <w:left w:val="single" w:color="6D28D9" w:sz="16" w:space="0"/>
              <w:bottom w:val="single" w:color="6D28D9" w:sz="6" w:space="0"/>
              <w:right w:val="nil"/>
            </w:tcBorders>
            <w:shd w:val="clear" w:color="auto" w:fill="EDE9FE"/>
            <w:tcMar>
              <w:top w:w="160" w:type="dxa"/>
              <w:left w:w="220" w:type="dxa"/>
              <w:bottom w:w="140" w:type="dxa"/>
              <w:right w:w="220" w:type="dxa"/>
            </w:tcMar>
          </w:tcPr>
          <w:p w14:paraId="39E6A155">
            <w:pPr>
              <w:keepNext/>
              <w:spacing w:before="0" w:after="60"/>
            </w:pPr>
            <w:r>
              <w:rPr>
                <w:rFonts w:ascii="Arial" w:hAnsi="Arial" w:eastAsia="Arial" w:cs="Arial"/>
                <w:b/>
                <w:bCs/>
                <w:i w:val="0"/>
                <w:iCs w:val="0"/>
                <w:color w:val="6D28D9"/>
                <w:sz w:val="36"/>
                <w:szCs w:val="36"/>
              </w:rPr>
              <w:t>67%</w:t>
            </w:r>
          </w:p>
          <w:p w14:paraId="0AE8D08F">
            <w:pPr>
              <w:keepNext/>
              <w:spacing w:before="0" w:after="60"/>
            </w:pPr>
            <w:r>
              <w:rPr>
                <w:rFonts w:ascii="Arial" w:hAnsi="Arial" w:eastAsia="Arial" w:cs="Arial"/>
                <w:b/>
                <w:bCs/>
                <w:i w:val="0"/>
                <w:iCs w:val="0"/>
                <w:color w:val="1E1B4B"/>
                <w:sz w:val="21"/>
                <w:szCs w:val="21"/>
              </w:rPr>
              <w:t>of executives say fragmented software tools are their ‣’s #1 productivity barrier</w:t>
            </w:r>
          </w:p>
          <w:p w14:paraId="795708EA">
            <w:pPr>
              <w:spacing w:before="0" w:after="0"/>
            </w:pPr>
            <w:r>
              <w:rPr>
                <w:rFonts w:ascii="Arial" w:hAnsi="Arial" w:eastAsia="Arial" w:cs="Arial"/>
                <w:b w:val="0"/>
                <w:bCs w:val="0"/>
                <w:i/>
                <w:iCs/>
                <w:color w:val="64748B"/>
                <w:sz w:val="18"/>
                <w:szCs w:val="18"/>
              </w:rPr>
              <w:t>Source: McKinsey Global Institute — The State of AI in Business Operations, 2024</w:t>
            </w:r>
          </w:p>
        </w:tc>
      </w:tr>
    </w:tbl>
    <w:p w14:paraId="098C65D4">
      <w:pPr>
        <w:spacing w:before="0" w:after="200"/>
      </w:pPr>
    </w:p>
    <w:p w14:paraId="2E2F2C1E">
      <w:pPr>
        <w:pStyle w:val="2"/>
        <w:keepNext/>
        <w:pBdr>
          <w:left w:val="single" w:color="22D3EE" w:sz="16" w:space="0"/>
          <w:bottom w:val="single" w:color="06B6D4" w:sz="6" w:space="0"/>
        </w:pBdr>
        <w:shd w:val="clear" w:fill="030B1A"/>
        <w:spacing w:before="360" w:after="0"/>
        <w:ind w:left="160" w:right="160"/>
      </w:pPr>
      <w:r>
        <w:rPr>
          <w:rFonts w:ascii="Arial" w:hAnsi="Arial" w:eastAsia="Arial" w:cs="Arial"/>
          <w:b/>
          <w:bCs/>
          <w:i w:val="0"/>
          <w:iCs w:val="0"/>
          <w:color w:val="FFFFFF"/>
          <w:spacing w:val="60"/>
          <w:sz w:val="27"/>
          <w:szCs w:val="27"/>
        </w:rPr>
        <w:t>02  |  THE MARKET PROBLEM</w:t>
      </w:r>
    </w:p>
    <w:p w14:paraId="36960685">
      <w:pPr>
        <w:spacing w:before="0" w:after="100"/>
      </w:pPr>
    </w:p>
    <w:p w14:paraId="4ADAA7B1">
      <w:pPr>
        <w:spacing w:before="80" w:after="80"/>
        <w:contextualSpacing/>
        <w:jc w:val="both"/>
      </w:pPr>
      <w:r>
        <w:rPr>
          <w:rFonts w:ascii="Arial" w:hAnsi="Arial" w:eastAsia="Arial" w:cs="Arial"/>
          <w:b w:val="0"/>
          <w:bCs w:val="0"/>
          <w:i w:val="0"/>
          <w:iCs w:val="0"/>
          <w:color w:val="0F172A"/>
          <w:sz w:val="21"/>
          <w:szCs w:val="21"/>
        </w:rPr>
        <w:t>The global business intelligence and analytics market exceeds $33 billion annually, yet the fundamental experience of running a business on data remains deeply broken. Decision-makers navigate an archipelago of disconnected SaaS tools — each solving one narrow problem, each demanding separate logins, separate workflows, and separate human interpretation.</w:t>
      </w:r>
    </w:p>
    <w:p w14:paraId="4E1F31DF">
      <w:pPr>
        <w:spacing w:before="0" w:after="100"/>
      </w:pPr>
    </w:p>
    <w:p w14:paraId="63C51A05">
      <w:pPr>
        <w:pStyle w:val="3"/>
        <w:keepNext/>
        <w:pBdr>
          <w:bottom w:val="single" w:color="0E4080" w:sz="2" w:space="3"/>
        </w:pBdr>
        <w:spacing w:before="220" w:after="60"/>
      </w:pPr>
      <w:r>
        <w:rPr>
          <w:rFonts w:ascii="Arial" w:hAnsi="Arial" w:eastAsia="Arial" w:cs="Arial"/>
          <w:b/>
          <w:bCs/>
          <w:i w:val="0"/>
          <w:iCs w:val="0"/>
          <w:color w:val="06B6D4"/>
          <w:sz w:val="24"/>
          <w:szCs w:val="24"/>
        </w:rPr>
        <w:t>The Three-Layer Problem</w:t>
      </w:r>
    </w:p>
    <w:p w14:paraId="3C6FB189">
      <w:pPr>
        <w:pStyle w:val="16"/>
        <w:numPr>
          <w:ilvl w:val="0"/>
          <w:numId w:val="1"/>
        </w:numPr>
        <w:spacing w:before="70" w:after="70"/>
        <w:contextualSpacing/>
      </w:pPr>
      <w:r>
        <w:rPr>
          <w:rFonts w:ascii="Arial" w:hAnsi="Arial" w:eastAsia="Arial" w:cs="Arial"/>
          <w:b/>
          <w:bCs/>
          <w:i w:val="0"/>
          <w:iCs w:val="0"/>
          <w:color w:val="06B6D4"/>
          <w:sz w:val="22"/>
          <w:szCs w:val="22"/>
        </w:rPr>
        <w:t xml:space="preserve">Businesses operate across 8–12 separate SaaS tools on average (CRM, accounting, analytics, project management, BI, communication), generating data silos that require manual reconciliation and human interpretation before any decision can be made. </w:t>
      </w:r>
      <w:r>
        <w:rPr>
          <w:rFonts w:ascii="Arial" w:hAnsi="Arial" w:eastAsia="Arial" w:cs="Arial"/>
          <w:b w:val="0"/>
          <w:bCs w:val="0"/>
          <w:i w:val="0"/>
          <w:iCs w:val="0"/>
          <w:color w:val="0F172A"/>
          <w:sz w:val="21"/>
          <w:szCs w:val="21"/>
        </w:rPr>
        <w:t>Fragmentation</w:t>
      </w:r>
    </w:p>
    <w:p w14:paraId="61F040F8">
      <w:pPr>
        <w:pStyle w:val="16"/>
        <w:numPr>
          <w:ilvl w:val="0"/>
          <w:numId w:val="1"/>
        </w:numPr>
        <w:spacing w:before="70" w:after="70"/>
        <w:contextualSpacing/>
      </w:pPr>
      <w:r>
        <w:rPr>
          <w:rFonts w:ascii="Arial" w:hAnsi="Arial" w:eastAsia="Arial" w:cs="Arial"/>
          <w:b/>
          <w:bCs/>
          <w:i w:val="0"/>
          <w:iCs w:val="0"/>
          <w:color w:val="06B6D4"/>
          <w:sz w:val="22"/>
          <w:szCs w:val="22"/>
        </w:rPr>
        <w:t xml:space="preserve">Existing BI tools are retrospective by design. They report what happened, never what is happening or what will happen. Intelligence arrives too late to drive meaningful decisions, particularly for fast-moving SMEs and scale-ups. </w:t>
      </w:r>
      <w:r>
        <w:rPr>
          <w:rFonts w:ascii="Arial" w:hAnsi="Arial" w:eastAsia="Arial" w:cs="Arial"/>
          <w:b w:val="0"/>
          <w:bCs w:val="0"/>
          <w:i w:val="0"/>
          <w:iCs w:val="0"/>
          <w:color w:val="0F172A"/>
          <w:sz w:val="21"/>
          <w:szCs w:val="21"/>
        </w:rPr>
        <w:t>Reactivity</w:t>
      </w:r>
    </w:p>
    <w:p w14:paraId="58B3C945">
      <w:pPr>
        <w:pStyle w:val="16"/>
        <w:numPr>
          <w:ilvl w:val="0"/>
          <w:numId w:val="1"/>
        </w:numPr>
        <w:spacing w:before="70" w:after="70"/>
        <w:contextualSpacing/>
      </w:pPr>
      <w:r>
        <w:rPr>
          <w:rFonts w:ascii="Arial" w:hAnsi="Arial" w:eastAsia="Arial" w:cs="Arial"/>
          <w:b/>
          <w:bCs/>
          <w:i w:val="0"/>
          <w:iCs w:val="0"/>
          <w:color w:val="06B6D4"/>
          <w:sz w:val="22"/>
          <w:szCs w:val="22"/>
        </w:rPr>
        <w:t xml:space="preserve">Despite the AI boom, most business tools bolt AI features onto legacy architectures. There is no purpose-built AI orchestration system for business intelligence that treats AI as the foundation layer, not an add-on feature. </w:t>
      </w:r>
      <w:r>
        <w:rPr>
          <w:rFonts w:ascii="Arial" w:hAnsi="Arial" w:eastAsia="Arial" w:cs="Arial"/>
          <w:b w:val="0"/>
          <w:bCs w:val="0"/>
          <w:i w:val="0"/>
          <w:iCs w:val="0"/>
          <w:color w:val="0F172A"/>
          <w:sz w:val="21"/>
          <w:szCs w:val="21"/>
        </w:rPr>
        <w:t>Absence of AI at the Core</w:t>
      </w:r>
    </w:p>
    <w:p w14:paraId="6D395DBA">
      <w:pPr>
        <w:spacing w:before="0" w:after="10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0CFCC767">
        <w:tc>
          <w:tcPr>
            <w:tcW w:w="9720" w:type="dxa"/>
            <w:tcBorders>
              <w:top w:val="single" w:color="B45309" w:sz="6" w:space="0"/>
              <w:left w:val="single" w:color="B45309" w:sz="12" w:space="0"/>
              <w:bottom w:val="single" w:color="D1D5DB" w:sz="0" w:space="0"/>
              <w:right w:val="nil"/>
            </w:tcBorders>
            <w:shd w:val="clear" w:color="auto" w:fill="FEF3C7"/>
            <w:tcMar>
              <w:top w:w="180" w:type="dxa"/>
              <w:left w:w="220" w:type="dxa"/>
              <w:bottom w:w="140" w:type="dxa"/>
              <w:right w:w="220" w:type="dxa"/>
            </w:tcMar>
          </w:tcPr>
          <w:p w14:paraId="38FE1186">
            <w:pPr>
              <w:keepNext/>
              <w:spacing w:before="0" w:after="80"/>
            </w:pPr>
            <w:r>
              <w:rPr>
                <w:rFonts w:ascii="Arial" w:hAnsi="Arial" w:eastAsia="Arial" w:cs="Arial"/>
                <w:b/>
                <w:bCs/>
                <w:i w:val="0"/>
                <w:iCs w:val="0"/>
                <w:color w:val="B45309"/>
                <w:sz w:val="22"/>
                <w:szCs w:val="22"/>
              </w:rPr>
              <w:t>The Fragmentation Tax</w:t>
            </w:r>
          </w:p>
          <w:p w14:paraId="296AC333">
            <w:pPr>
              <w:spacing w:before="0" w:after="0"/>
              <w:jc w:val="both"/>
            </w:pPr>
            <w:r>
              <w:rPr>
                <w:rFonts w:ascii="Arial" w:hAnsi="Arial" w:eastAsia="Arial" w:cs="Arial"/>
                <w:b w:val="0"/>
                <w:bCs w:val="0"/>
                <w:i w:val="0"/>
                <w:iCs w:val="0"/>
                <w:color w:val="0F172A"/>
                <w:sz w:val="21"/>
                <w:szCs w:val="21"/>
              </w:rPr>
              <w:t>A 2024 McKinsey analysis found that knowledge workers spend 28% of their working week managing information across disconnected tools — equivalent to 11 hours of lost productivity per person per week. For SMEs operating lean teams, this represents a structural tax on growth that compounds as headcount scales. B.O.S.S eliminates this tax by design.</w:t>
            </w:r>
          </w:p>
        </w:tc>
      </w:tr>
    </w:tbl>
    <w:p w14:paraId="78C82755">
      <w:pPr>
        <w:spacing w:before="0" w:after="80"/>
      </w:pPr>
    </w:p>
    <w:p w14:paraId="1ED1C8E0">
      <w:pPr>
        <w:pBdr>
          <w:left w:val="single" w:color="0891B2" w:sz="4" w:space="4"/>
        </w:pBdr>
        <w:spacing w:before="40" w:after="80"/>
        <w:ind w:left="300"/>
      </w:pPr>
      <w:r>
        <w:rPr>
          <w:rFonts w:ascii="Arial" w:hAnsi="Arial" w:eastAsia="Arial" w:cs="Arial"/>
          <w:b w:val="0"/>
          <w:bCs w:val="0"/>
          <w:i/>
          <w:iCs/>
          <w:color w:val="64748B"/>
          <w:sz w:val="19"/>
          <w:szCs w:val="19"/>
        </w:rPr>
        <w:t>"The average enterprise now uses 130+ SaaS applications, up from 80 in 2020. Spend on integration tools alone exceeds $4.5B annually." — Okta Business at Work Report, 2024</w:t>
      </w:r>
    </w:p>
    <w:p w14:paraId="6C39C455">
      <w:pPr>
        <w:spacing w:before="0" w:after="80"/>
      </w:pPr>
    </w:p>
    <w:p w14:paraId="094E37CA">
      <w:pPr>
        <w:pBdr>
          <w:left w:val="single" w:color="0891B2" w:sz="4" w:space="4"/>
        </w:pBdr>
        <w:spacing w:before="40" w:after="80"/>
        <w:ind w:left="300"/>
      </w:pPr>
      <w:r>
        <w:rPr>
          <w:rFonts w:ascii="Arial" w:hAnsi="Arial" w:eastAsia="Arial" w:cs="Arial"/>
          <w:b w:val="0"/>
          <w:bCs w:val="0"/>
          <w:i/>
          <w:iCs/>
          <w:color w:val="64748B"/>
          <w:sz w:val="19"/>
          <w:szCs w:val="19"/>
        </w:rPr>
        <w:t>"AI-native platforms will displace 30% of existing standalone BI tools by 2026 as businesses consolidate toward unified intelligence layers." — Gartner Magic Quadrant: Business Intelligence &amp; Analytics, 2024</w:t>
      </w:r>
    </w:p>
    <w:p w14:paraId="1BE7A4FF">
      <w:pPr>
        <w:spacing w:before="0" w:after="0"/>
      </w:pPr>
      <w:r>
        <w:br w:type="page"/>
      </w:r>
    </w:p>
    <w:p w14:paraId="1588ED94">
      <w:pPr>
        <w:pStyle w:val="2"/>
        <w:keepNext/>
        <w:pBdr>
          <w:left w:val="single" w:color="22D3EE" w:sz="16" w:space="0"/>
          <w:bottom w:val="single" w:color="06B6D4" w:sz="6" w:space="0"/>
        </w:pBdr>
        <w:shd w:val="clear" w:fill="030B1A"/>
        <w:spacing w:before="360" w:after="0"/>
        <w:ind w:left="160" w:right="160"/>
      </w:pPr>
      <w:r>
        <w:rPr>
          <w:rFonts w:ascii="Arial" w:hAnsi="Arial" w:eastAsia="Arial" w:cs="Arial"/>
          <w:b/>
          <w:bCs/>
          <w:i w:val="0"/>
          <w:iCs w:val="0"/>
          <w:color w:val="FFFFFF"/>
          <w:spacing w:val="60"/>
          <w:sz w:val="27"/>
          <w:szCs w:val="27"/>
        </w:rPr>
        <w:t>03  |  THE SOLUTION</w:t>
      </w:r>
    </w:p>
    <w:p w14:paraId="1558B208">
      <w:pPr>
        <w:spacing w:before="0" w:after="100"/>
      </w:pPr>
    </w:p>
    <w:p w14:paraId="6D80EBEA">
      <w:pPr>
        <w:spacing w:before="80" w:after="80"/>
        <w:contextualSpacing/>
        <w:jc w:val="both"/>
      </w:pPr>
      <w:r>
        <w:rPr>
          <w:rFonts w:ascii="Arial" w:hAnsi="Arial" w:eastAsia="Arial" w:cs="Arial"/>
          <w:b w:val="0"/>
          <w:bCs w:val="0"/>
          <w:i w:val="0"/>
          <w:iCs w:val="0"/>
          <w:color w:val="0F172A"/>
          <w:sz w:val="21"/>
          <w:szCs w:val="21"/>
        </w:rPr>
        <w:t>B.O.S.S is built around a single architectural conviction: artificial intelligence should not be a feature added to a business tool — it should be the engine the entire orchestration system runs on. Every interaction, every data input, every metric flows through an AI orchestration layer that transforms raw business activity into structured intelligence, automatically and continuously.</w:t>
      </w:r>
    </w:p>
    <w:p w14:paraId="3DE9A5D1">
      <w:pPr>
        <w:spacing w:before="0" w:after="80"/>
      </w:pPr>
    </w:p>
    <w:p w14:paraId="3234C6A6">
      <w:pPr>
        <w:spacing w:before="80" w:after="80"/>
        <w:contextualSpacing/>
        <w:jc w:val="both"/>
      </w:pPr>
      <w:r>
        <w:rPr>
          <w:rFonts w:ascii="Arial" w:hAnsi="Arial" w:eastAsia="Arial" w:cs="Arial"/>
          <w:b w:val="0"/>
          <w:bCs w:val="0"/>
          <w:i w:val="0"/>
          <w:iCs w:val="0"/>
          <w:color w:val="0F172A"/>
          <w:sz w:val="21"/>
          <w:szCs w:val="21"/>
        </w:rPr>
        <w:t>The result is a platform that behaves unlike any existing business software: it learns your business over time, it surfaces intelligence you did not know to ask for, it predicts what is coming before it arrives, and it maintains a full observability record of every orchestration call, every insight generated, and every system interaction.</w:t>
      </w:r>
    </w:p>
    <w:p w14:paraId="13ED9F4F">
      <w:pPr>
        <w:spacing w:before="0" w:after="100"/>
      </w:pPr>
    </w:p>
    <w:p w14:paraId="766A3CAB">
      <w:pPr>
        <w:pStyle w:val="3"/>
        <w:keepNext/>
        <w:pBdr>
          <w:bottom w:val="single" w:color="0E4080" w:sz="2" w:space="3"/>
        </w:pBdr>
        <w:spacing w:before="220" w:after="60"/>
      </w:pPr>
      <w:r>
        <w:rPr>
          <w:rFonts w:ascii="Arial" w:hAnsi="Arial" w:eastAsia="Arial" w:cs="Arial"/>
          <w:b/>
          <w:bCs/>
          <w:i w:val="0"/>
          <w:iCs w:val="0"/>
          <w:color w:val="06B6D4"/>
          <w:sz w:val="24"/>
          <w:szCs w:val="24"/>
        </w:rPr>
        <w:t>Core Product Pillars</w:t>
      </w:r>
    </w:p>
    <w:p w14:paraId="03F372F8">
      <w:pPr>
        <w:pStyle w:val="16"/>
        <w:numPr>
          <w:ilvl w:val="0"/>
          <w:numId w:val="1"/>
        </w:numPr>
        <w:spacing w:before="70" w:after="70"/>
        <w:contextualSpacing/>
      </w:pPr>
      <w:r>
        <w:rPr>
          <w:rFonts w:ascii="Arial" w:hAnsi="Arial" w:eastAsia="Arial" w:cs="Arial"/>
          <w:b/>
          <w:bCs/>
          <w:i w:val="0"/>
          <w:iCs w:val="0"/>
          <w:color w:val="06B6D4"/>
          <w:sz w:val="22"/>
          <w:szCs w:val="22"/>
        </w:rPr>
        <w:t xml:space="preserve">A GPT-4o-powered orchestration layer processes all business inputs in real time, generating insights, alerts, predictive signals, health scores, and strategic recommendations — automatically, without user prompting. </w:t>
      </w:r>
      <w:r>
        <w:rPr>
          <w:rFonts w:ascii="Arial" w:hAnsi="Arial" w:eastAsia="Arial" w:cs="Arial"/>
          <w:b w:val="0"/>
          <w:bCs w:val="0"/>
          <w:i w:val="0"/>
          <w:iCs w:val="0"/>
          <w:color w:val="0F172A"/>
          <w:sz w:val="21"/>
          <w:szCs w:val="21"/>
        </w:rPr>
        <w:t>AI Intelligence Engine</w:t>
      </w:r>
    </w:p>
    <w:p w14:paraId="10042A30">
      <w:pPr>
        <w:pStyle w:val="16"/>
        <w:numPr>
          <w:ilvl w:val="0"/>
          <w:numId w:val="1"/>
        </w:numPr>
        <w:spacing w:before="70" w:after="70"/>
        <w:contextualSpacing/>
      </w:pPr>
      <w:r>
        <w:rPr>
          <w:rFonts w:ascii="Arial" w:hAnsi="Arial" w:eastAsia="Arial" w:cs="Arial"/>
          <w:b/>
          <w:bCs/>
          <w:i w:val="0"/>
          <w:iCs w:val="0"/>
          <w:color w:val="06B6D4"/>
          <w:sz w:val="22"/>
          <w:szCs w:val="22"/>
        </w:rPr>
        <w:t xml:space="preserve">A single interface surfaces all business intelligence: revenue trends, expense analysis, profit signals, 7-day forecasts, and operational health scores. One login. One screen. Full intelligence. </w:t>
      </w:r>
      <w:r>
        <w:rPr>
          <w:rFonts w:ascii="Arial" w:hAnsi="Arial" w:eastAsia="Arial" w:cs="Arial"/>
          <w:b w:val="0"/>
          <w:bCs w:val="0"/>
          <w:i w:val="0"/>
          <w:iCs w:val="0"/>
          <w:color w:val="0F172A"/>
          <w:sz w:val="21"/>
          <w:szCs w:val="21"/>
        </w:rPr>
        <w:t>Unified Command Dashboard</w:t>
      </w:r>
    </w:p>
    <w:p w14:paraId="4BC5857F">
      <w:pPr>
        <w:pStyle w:val="16"/>
        <w:numPr>
          <w:ilvl w:val="0"/>
          <w:numId w:val="1"/>
        </w:numPr>
        <w:spacing w:before="70" w:after="70"/>
        <w:contextualSpacing/>
      </w:pPr>
      <w:r>
        <w:rPr>
          <w:rFonts w:ascii="Arial" w:hAnsi="Arial" w:eastAsia="Arial" w:cs="Arial"/>
          <w:b/>
          <w:bCs/>
          <w:i w:val="0"/>
          <w:iCs w:val="0"/>
          <w:color w:val="06B6D4"/>
          <w:sz w:val="22"/>
          <w:szCs w:val="22"/>
        </w:rPr>
        <w:t xml:space="preserve">B.O.S.S generates forward-looking signals based on pattern recognition across accumulated business data, enabling proactive decision-making rather than reactive reporting. </w:t>
      </w:r>
      <w:r>
        <w:rPr>
          <w:rFonts w:ascii="Arial" w:hAnsi="Arial" w:eastAsia="Arial" w:cs="Arial"/>
          <w:b w:val="0"/>
          <w:bCs w:val="0"/>
          <w:i w:val="0"/>
          <w:iCs w:val="0"/>
          <w:color w:val="0F172A"/>
          <w:sz w:val="21"/>
          <w:szCs w:val="21"/>
        </w:rPr>
        <w:t>Predictive Signal Engine</w:t>
      </w:r>
    </w:p>
    <w:p w14:paraId="098CEF8C">
      <w:pPr>
        <w:pStyle w:val="16"/>
        <w:numPr>
          <w:ilvl w:val="0"/>
          <w:numId w:val="1"/>
        </w:numPr>
        <w:spacing w:before="70" w:after="70"/>
        <w:contextualSpacing/>
      </w:pPr>
      <w:r>
        <w:rPr>
          <w:rFonts w:ascii="Arial" w:hAnsi="Arial" w:eastAsia="Arial" w:cs="Arial"/>
          <w:b/>
          <w:bCs/>
          <w:i w:val="0"/>
          <w:iCs w:val="0"/>
          <w:color w:val="06B6D4"/>
          <w:sz w:val="22"/>
          <w:szCs w:val="22"/>
        </w:rPr>
        <w:t xml:space="preserve">A proprietary layer captures every AI orchestration call, system latency metric, request pattern, and model response — providing both user-facing analytics and internal infrastructure intelligence in real time. </w:t>
      </w:r>
      <w:r>
        <w:rPr>
          <w:rFonts w:ascii="Arial" w:hAnsi="Arial" w:eastAsia="Arial" w:cs="Arial"/>
          <w:b w:val="0"/>
          <w:bCs w:val="0"/>
          <w:i w:val="0"/>
          <w:iCs w:val="0"/>
          <w:color w:val="0F172A"/>
          <w:sz w:val="21"/>
          <w:szCs w:val="21"/>
        </w:rPr>
        <w:t>Observability &amp; Logging Engine</w:t>
      </w:r>
    </w:p>
    <w:p w14:paraId="1C51D7C7">
      <w:pPr>
        <w:pStyle w:val="16"/>
        <w:numPr>
          <w:ilvl w:val="0"/>
          <w:numId w:val="1"/>
        </w:numPr>
        <w:spacing w:before="70" w:after="70"/>
        <w:contextualSpacing/>
      </w:pPr>
      <w:r>
        <w:rPr>
          <w:rFonts w:ascii="Arial" w:hAnsi="Arial" w:eastAsia="Arial" w:cs="Arial"/>
          <w:b/>
          <w:bCs/>
          <w:i w:val="0"/>
          <w:iCs w:val="0"/>
          <w:color w:val="06B6D4"/>
          <w:sz w:val="22"/>
          <w:szCs w:val="22"/>
        </w:rPr>
        <w:t xml:space="preserve">A behavioural consistency system incentivises daily data entry through streak mechanics, building the data density that makes AI orchestration insights increasingly accurate and personalised over time. </w:t>
      </w:r>
      <w:r>
        <w:rPr>
          <w:rFonts w:ascii="Arial" w:hAnsi="Arial" w:eastAsia="Arial" w:cs="Arial"/>
          <w:b w:val="0"/>
          <w:bCs w:val="0"/>
          <w:i w:val="0"/>
          <w:iCs w:val="0"/>
          <w:color w:val="0F172A"/>
          <w:sz w:val="21"/>
          <w:szCs w:val="21"/>
        </w:rPr>
        <w:t>Streak &amp; Data Density Engine</w:t>
      </w:r>
    </w:p>
    <w:p w14:paraId="269CFD3E">
      <w:pPr>
        <w:spacing w:before="0" w:after="10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317329D9">
        <w:tc>
          <w:tcPr>
            <w:tcW w:w="9720" w:type="dxa"/>
            <w:tcBorders>
              <w:top w:val="single" w:color="06B6D4" w:sz="6" w:space="0"/>
              <w:left w:val="single" w:color="06B6D4" w:sz="12" w:space="0"/>
              <w:bottom w:val="single" w:color="D1D5DB" w:sz="0" w:space="0"/>
              <w:right w:val="nil"/>
            </w:tcBorders>
            <w:shd w:val="clear" w:color="auto" w:fill="F0F9FF"/>
            <w:tcMar>
              <w:top w:w="180" w:type="dxa"/>
              <w:left w:w="220" w:type="dxa"/>
              <w:bottom w:w="140" w:type="dxa"/>
              <w:right w:w="220" w:type="dxa"/>
            </w:tcMar>
          </w:tcPr>
          <w:p w14:paraId="7A37EC77">
            <w:pPr>
              <w:keepNext/>
              <w:spacing w:before="0" w:after="80"/>
            </w:pPr>
            <w:r>
              <w:rPr>
                <w:rFonts w:ascii="Arial" w:hAnsi="Arial" w:eastAsia="Arial" w:cs="Arial"/>
                <w:b/>
                <w:bCs/>
                <w:i w:val="0"/>
                <w:iCs w:val="0"/>
                <w:color w:val="030B1A"/>
                <w:sz w:val="22"/>
                <w:szCs w:val="22"/>
              </w:rPr>
              <w:t>System Orchestration Flow</w:t>
            </w:r>
          </w:p>
          <w:p w14:paraId="0DBCFC26">
            <w:pPr>
              <w:spacing w:before="0" w:after="0"/>
              <w:jc w:val="both"/>
            </w:pPr>
            <w:r>
              <w:rPr>
                <w:rFonts w:ascii="Arial" w:hAnsi="Arial" w:eastAsia="Arial" w:cs="Arial"/>
                <w:b w:val="0"/>
                <w:bCs w:val="0"/>
                <w:i w:val="0"/>
                <w:iCs w:val="0"/>
                <w:color w:val="0F172A"/>
                <w:sz w:val="21"/>
                <w:szCs w:val="21"/>
              </w:rPr>
              <w:t>User Business Input  →  Next.js 14 Dashboard UI  →  AI Orchestration API (/api/chat)  →  Logging &amp; Observability Layer  →  GPT-4o Intelligence Model  →  Structured Insights Object  →  Dashboard Intelligence Feed  →  Predictive Signals &amp; Alerts</w:t>
            </w:r>
          </w:p>
        </w:tc>
      </w:tr>
    </w:tbl>
    <w:p w14:paraId="58E5A7FF">
      <w:pPr>
        <w:spacing w:before="0" w:after="160"/>
      </w:pPr>
    </w:p>
    <w:p w14:paraId="412964AE">
      <w:pPr>
        <w:spacing w:before="0" w:after="160"/>
      </w:pPr>
    </w:p>
    <w:p w14:paraId="1BB53DC6">
      <w:pPr>
        <w:spacing w:before="0" w:after="160"/>
      </w:pPr>
    </w:p>
    <w:p w14:paraId="6A9F7107">
      <w:pPr>
        <w:spacing w:before="0" w:after="160"/>
      </w:pPr>
    </w:p>
    <w:p w14:paraId="0A7BBC05">
      <w:pPr>
        <w:spacing w:before="0" w:after="160"/>
      </w:pPr>
    </w:p>
    <w:p w14:paraId="33E4FD26">
      <w:pPr>
        <w:spacing w:before="0" w:after="160"/>
      </w:pPr>
    </w:p>
    <w:p w14:paraId="512A574E">
      <w:pPr>
        <w:spacing w:before="0" w:after="160"/>
      </w:pPr>
    </w:p>
    <w:p w14:paraId="6FDCD86B">
      <w:pPr>
        <w:spacing w:before="0" w:after="160"/>
      </w:pPr>
    </w:p>
    <w:p w14:paraId="73EC1051">
      <w:pPr>
        <w:pStyle w:val="2"/>
        <w:keepNext/>
        <w:pBdr>
          <w:left w:val="single" w:color="22D3EE" w:sz="16" w:space="0"/>
          <w:bottom w:val="single" w:color="06B6D4" w:sz="6" w:space="0"/>
        </w:pBdr>
        <w:shd w:val="clear" w:fill="030B1A"/>
        <w:spacing w:before="360" w:after="0"/>
        <w:ind w:left="160" w:right="160"/>
      </w:pPr>
      <w:r>
        <w:rPr>
          <w:rFonts w:ascii="Arial" w:hAnsi="Arial" w:eastAsia="Arial" w:cs="Arial"/>
          <w:b/>
          <w:bCs/>
          <w:i w:val="0"/>
          <w:iCs w:val="0"/>
          <w:color w:val="FFFFFF"/>
          <w:spacing w:val="60"/>
          <w:sz w:val="27"/>
          <w:szCs w:val="27"/>
        </w:rPr>
        <w:t>04  |  PRODUCT ARCHITECTURE ADVANTAGE</w:t>
      </w:r>
    </w:p>
    <w:p w14:paraId="53C17545">
      <w:pPr>
        <w:spacing w:before="0" w:after="100"/>
      </w:pPr>
    </w:p>
    <w:p w14:paraId="67D51093">
      <w:pPr>
        <w:spacing w:before="80" w:after="80"/>
        <w:contextualSpacing/>
        <w:jc w:val="both"/>
      </w:pPr>
      <w:r>
        <w:rPr>
          <w:rFonts w:ascii="Arial" w:hAnsi="Arial" w:eastAsia="Arial" w:cs="Arial"/>
          <w:b w:val="0"/>
          <w:bCs w:val="0"/>
          <w:i w:val="0"/>
          <w:iCs w:val="0"/>
          <w:color w:val="0F172A"/>
          <w:sz w:val="21"/>
          <w:szCs w:val="21"/>
        </w:rPr>
        <w:t>The architecture of B.O.S.S is not incidental — it is the product. The technical decisions embedded at the foundation layer create competitive moats that are difficult to replicate and increasingly valuable as the platform scales toward enterprise deployment.</w:t>
      </w:r>
    </w:p>
    <w:p w14:paraId="28E81CAD">
      <w:pPr>
        <w:spacing w:before="0" w:after="100"/>
      </w:pPr>
    </w:p>
    <w:p w14:paraId="2DA4D995">
      <w:pPr>
        <w:pStyle w:val="3"/>
        <w:keepNext/>
        <w:pBdr>
          <w:bottom w:val="single" w:color="0E4080" w:sz="2" w:space="3"/>
        </w:pBdr>
        <w:spacing w:before="220" w:after="60"/>
      </w:pPr>
      <w:r>
        <w:rPr>
          <w:rFonts w:ascii="Arial" w:hAnsi="Arial" w:eastAsia="Arial" w:cs="Arial"/>
          <w:b/>
          <w:bCs/>
          <w:i w:val="0"/>
          <w:iCs w:val="0"/>
          <w:color w:val="06B6D4"/>
          <w:sz w:val="24"/>
          <w:szCs w:val="24"/>
        </w:rPr>
        <w:t>Modular Next.js 14 Architecture</w:t>
      </w:r>
    </w:p>
    <w:p w14:paraId="63D1845E">
      <w:pPr>
        <w:spacing w:before="80" w:after="80"/>
        <w:contextualSpacing/>
        <w:jc w:val="both"/>
      </w:pPr>
      <w:r>
        <w:rPr>
          <w:rFonts w:ascii="Arial" w:hAnsi="Arial" w:eastAsia="Arial" w:cs="Arial"/>
          <w:b w:val="0"/>
          <w:bCs w:val="0"/>
          <w:i w:val="0"/>
          <w:iCs w:val="0"/>
          <w:color w:val="0F172A"/>
          <w:sz w:val="21"/>
          <w:szCs w:val="21"/>
        </w:rPr>
        <w:t>The frontend is built on Next.js 14 with a fully modular component system. Authentication, dashboard, analytics, input, and insights each operate as independent modules. This enables rapid feature deployment, independent component scaling, and clean multi-tenant isolation. Adding new intelligence modules — payroll analysis, inventory forecasting, HR analytics — is an extension of existing architecture, not a rebuild. Time-to-module is measured in days, not quarters.</w:t>
      </w:r>
    </w:p>
    <w:p w14:paraId="7674F292">
      <w:pPr>
        <w:spacing w:before="0" w:after="80"/>
      </w:pPr>
    </w:p>
    <w:p w14:paraId="260A5B8E">
      <w:pPr>
        <w:pStyle w:val="3"/>
        <w:keepNext/>
        <w:pBdr>
          <w:bottom w:val="single" w:color="0E4080" w:sz="2" w:space="3"/>
        </w:pBdr>
        <w:spacing w:before="220" w:after="60"/>
      </w:pPr>
      <w:r>
        <w:rPr>
          <w:rFonts w:ascii="Arial" w:hAnsi="Arial" w:eastAsia="Arial" w:cs="Arial"/>
          <w:b/>
          <w:bCs/>
          <w:i w:val="0"/>
          <w:iCs w:val="0"/>
          <w:color w:val="06B6D4"/>
          <w:sz w:val="24"/>
          <w:szCs w:val="24"/>
        </w:rPr>
        <w:t>AI Orchestration Layer — The Core Moat</w:t>
      </w:r>
    </w:p>
    <w:p w14:paraId="157D5746">
      <w:pPr>
        <w:spacing w:before="80" w:after="80"/>
        <w:contextualSpacing/>
        <w:jc w:val="both"/>
      </w:pPr>
      <w:r>
        <w:rPr>
          <w:rFonts w:ascii="Arial" w:hAnsi="Arial" w:eastAsia="Arial" w:cs="Arial"/>
          <w:b w:val="0"/>
          <w:bCs w:val="0"/>
          <w:i w:val="0"/>
          <w:iCs w:val="0"/>
          <w:color w:val="0F172A"/>
          <w:sz w:val="21"/>
          <w:szCs w:val="21"/>
        </w:rPr>
        <w:t>The /api/chat route functions as a fully programmable AI orchestration engine. Rather than passing raw queries to a language model, B.O.S.S routes structured business data through a purpose-built pipeline that applies business context, formats intelligence output, enforces structured response schemas, and routes results to the appropriate dashboard system. This orchestration logic is proprietary business intelligence infrastructure — it cannot be replicated by accessing the same underlying model without rebuilding years of architectural decisions.</w:t>
      </w:r>
    </w:p>
    <w:p w14:paraId="3B789BE7">
      <w:pPr>
        <w:spacing w:before="0" w:after="80"/>
      </w:pPr>
    </w:p>
    <w:p w14:paraId="4555E8EE">
      <w:pPr>
        <w:pStyle w:val="3"/>
        <w:keepNext/>
        <w:pBdr>
          <w:bottom w:val="single" w:color="0E4080" w:sz="2" w:space="3"/>
        </w:pBdr>
        <w:spacing w:before="220" w:after="60"/>
      </w:pPr>
      <w:r>
        <w:rPr>
          <w:rFonts w:ascii="Arial" w:hAnsi="Arial" w:eastAsia="Arial" w:cs="Arial"/>
          <w:b/>
          <w:bCs/>
          <w:i w:val="0"/>
          <w:iCs w:val="0"/>
          <w:color w:val="06B6D4"/>
          <w:sz w:val="24"/>
          <w:szCs w:val="24"/>
        </w:rPr>
        <w:t>Observability Engine — The Enterprise Moat</w:t>
      </w:r>
    </w:p>
    <w:p w14:paraId="5F8C41DA">
      <w:pPr>
        <w:spacing w:before="80" w:after="80"/>
        <w:contextualSpacing/>
        <w:jc w:val="both"/>
      </w:pPr>
      <w:r>
        <w:rPr>
          <w:rFonts w:ascii="Arial" w:hAnsi="Arial" w:eastAsia="Arial" w:cs="Arial"/>
          <w:b w:val="0"/>
          <w:bCs w:val="0"/>
          <w:i w:val="0"/>
          <w:iCs w:val="0"/>
          <w:color w:val="0F172A"/>
          <w:sz w:val="21"/>
          <w:szCs w:val="21"/>
        </w:rPr>
        <w:t>Every AI orchestration call, every request, every latency measurement, and every model interaction is captured, structured, and stored. This creates three compounding advantages that are impossible to replicate without time: internal system performance intelligence for continuous AI orchestration optimisation; a proprietary data asset that improves model quality over time; and enterprise-grade audit trail capability that is a hard procurement requirement for regulated industries — financial services, healthcare, legal.</w:t>
      </w:r>
    </w:p>
    <w:p w14:paraId="7F7E7E0D">
      <w:pPr>
        <w:spacing w:before="0" w:after="100"/>
      </w:pPr>
    </w:p>
    <w:p w14:paraId="288A0057">
      <w:pPr>
        <w:pBdr>
          <w:left w:val="single" w:color="0891B2" w:sz="4" w:space="4"/>
        </w:pBdr>
        <w:spacing w:before="40" w:after="80"/>
        <w:ind w:left="300"/>
      </w:pPr>
      <w:r>
        <w:rPr>
          <w:rFonts w:ascii="Arial" w:hAnsi="Arial" w:eastAsia="Arial" w:cs="Arial"/>
          <w:b w:val="0"/>
          <w:bCs w:val="0"/>
          <w:i/>
          <w:iCs/>
          <w:color w:val="64748B"/>
          <w:sz w:val="19"/>
          <w:szCs w:val="19"/>
        </w:rPr>
        <w:t>"Observability infrastructure is increasingly viewed as a primary evaluation criterion in enterprise SaaS procurement, surpassing feature count in 58% of RFPs above $50K ACV." — Forrester Wave: AI-Augmented Analytics, Q3 2024</w:t>
      </w:r>
    </w:p>
    <w:p w14:paraId="411147DC">
      <w:pPr>
        <w:spacing w:before="0" w:after="10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30"/>
        <w:gridCol w:w="2430"/>
        <w:gridCol w:w="2430"/>
        <w:gridCol w:w="2430"/>
      </w:tblGrid>
      <w:tr w14:paraId="0981F7F1">
        <w:tc>
          <w:tcPr>
            <w:tcW w:w="2430" w:type="dxa"/>
            <w:tcBorders>
              <w:top w:val="single" w:color="0891B2" w:sz="4" w:space="0"/>
              <w:left w:val="single" w:color="0891B2" w:sz="2" w:space="0"/>
              <w:bottom w:val="single" w:color="0891B2" w:sz="4" w:space="0"/>
              <w:right w:val="single" w:color="0891B2" w:sz="2" w:space="0"/>
            </w:tcBorders>
            <w:shd w:val="clear" w:color="auto" w:fill="EFF6FF"/>
            <w:tcMar>
              <w:top w:w="180" w:type="dxa"/>
              <w:left w:w="140" w:type="dxa"/>
              <w:bottom w:w="180" w:type="dxa"/>
              <w:right w:w="140" w:type="dxa"/>
            </w:tcMar>
          </w:tcPr>
          <w:p w14:paraId="66CEF537">
            <w:pPr>
              <w:spacing w:before="0" w:after="40"/>
              <w:jc w:val="center"/>
            </w:pPr>
            <w:r>
              <w:rPr>
                <w:rFonts w:ascii="Arial" w:hAnsi="Arial" w:eastAsia="Arial" w:cs="Arial"/>
                <w:b/>
                <w:bCs/>
                <w:i w:val="0"/>
                <w:iCs w:val="0"/>
                <w:color w:val="0891B2"/>
                <w:sz w:val="40"/>
                <w:szCs w:val="40"/>
              </w:rPr>
              <w:t>3</w:t>
            </w:r>
          </w:p>
          <w:p w14:paraId="075AF29A">
            <w:pPr>
              <w:spacing w:before="0" w:after="0"/>
              <w:jc w:val="center"/>
            </w:pPr>
            <w:r>
              <w:rPr>
                <w:rFonts w:ascii="Arial" w:hAnsi="Arial" w:eastAsia="Arial" w:cs="Arial"/>
                <w:b w:val="0"/>
                <w:bCs w:val="0"/>
                <w:i w:val="0"/>
                <w:iCs w:val="0"/>
                <w:color w:val="64748B"/>
                <w:sz w:val="19"/>
                <w:szCs w:val="19"/>
              </w:rPr>
              <w:t>Architecture Layers</w:t>
            </w:r>
          </w:p>
        </w:tc>
        <w:tc>
          <w:tcPr>
            <w:tcW w:w="2430" w:type="dxa"/>
            <w:tcBorders>
              <w:top w:val="single" w:color="6D28D9" w:sz="4" w:space="0"/>
              <w:left w:val="single" w:color="6D28D9" w:sz="2" w:space="0"/>
              <w:bottom w:val="single" w:color="6D28D9" w:sz="4" w:space="0"/>
              <w:right w:val="single" w:color="6D28D9" w:sz="2" w:space="0"/>
            </w:tcBorders>
            <w:shd w:val="clear" w:color="auto" w:fill="EDE9FE"/>
            <w:tcMar>
              <w:top w:w="180" w:type="dxa"/>
              <w:left w:w="140" w:type="dxa"/>
              <w:bottom w:w="180" w:type="dxa"/>
              <w:right w:w="140" w:type="dxa"/>
            </w:tcMar>
          </w:tcPr>
          <w:p w14:paraId="38E1E2C7">
            <w:pPr>
              <w:spacing w:before="0" w:after="40"/>
              <w:jc w:val="center"/>
            </w:pPr>
            <w:r>
              <w:rPr>
                <w:rFonts w:ascii="Arial" w:hAnsi="Arial" w:eastAsia="Arial" w:cs="Arial"/>
                <w:b/>
                <w:bCs/>
                <w:i w:val="0"/>
                <w:iCs w:val="0"/>
                <w:color w:val="6D28D9"/>
                <w:sz w:val="40"/>
                <w:szCs w:val="40"/>
              </w:rPr>
              <w:t>2</w:t>
            </w:r>
          </w:p>
          <w:p w14:paraId="521A40CF">
            <w:pPr>
              <w:spacing w:before="0" w:after="0"/>
              <w:jc w:val="center"/>
            </w:pPr>
            <w:r>
              <w:rPr>
                <w:rFonts w:ascii="Arial" w:hAnsi="Arial" w:eastAsia="Arial" w:cs="Arial"/>
                <w:b w:val="0"/>
                <w:bCs w:val="0"/>
                <w:i w:val="0"/>
                <w:iCs w:val="0"/>
                <w:color w:val="64748B"/>
                <w:sz w:val="19"/>
                <w:szCs w:val="19"/>
              </w:rPr>
              <w:t>Core Moat Components</w:t>
            </w:r>
          </w:p>
        </w:tc>
        <w:tc>
          <w:tcPr>
            <w:tcW w:w="2430" w:type="dxa"/>
            <w:tcBorders>
              <w:top w:val="single" w:color="047857" w:sz="4" w:space="0"/>
              <w:left w:val="single" w:color="047857" w:sz="2" w:space="0"/>
              <w:bottom w:val="single" w:color="047857" w:sz="4" w:space="0"/>
              <w:right w:val="single" w:color="047857" w:sz="2" w:space="0"/>
            </w:tcBorders>
            <w:shd w:val="clear" w:color="auto" w:fill="D1FAE5"/>
            <w:tcMar>
              <w:top w:w="180" w:type="dxa"/>
              <w:left w:w="140" w:type="dxa"/>
              <w:bottom w:w="180" w:type="dxa"/>
              <w:right w:w="140" w:type="dxa"/>
            </w:tcMar>
          </w:tcPr>
          <w:p w14:paraId="31C0640F">
            <w:pPr>
              <w:spacing w:before="0" w:after="40"/>
              <w:jc w:val="center"/>
            </w:pPr>
            <w:r>
              <w:rPr>
                <w:rFonts w:ascii="Arial" w:hAnsi="Arial" w:eastAsia="Arial" w:cs="Arial"/>
                <w:b/>
                <w:bCs/>
                <w:i w:val="0"/>
                <w:iCs w:val="0"/>
                <w:color w:val="047857"/>
                <w:sz w:val="40"/>
                <w:szCs w:val="40"/>
              </w:rPr>
              <w:t>9/10</w:t>
            </w:r>
          </w:p>
          <w:p w14:paraId="0A45B39E">
            <w:pPr>
              <w:spacing w:before="0" w:after="0"/>
              <w:jc w:val="center"/>
            </w:pPr>
            <w:r>
              <w:rPr>
                <w:rFonts w:ascii="Arial" w:hAnsi="Arial" w:eastAsia="Arial" w:cs="Arial"/>
                <w:b w:val="0"/>
                <w:bCs w:val="0"/>
                <w:i w:val="0"/>
                <w:iCs w:val="0"/>
                <w:color w:val="64748B"/>
                <w:sz w:val="19"/>
                <w:szCs w:val="19"/>
              </w:rPr>
              <w:t>Scalability Index</w:t>
            </w:r>
          </w:p>
        </w:tc>
        <w:tc>
          <w:tcPr>
            <w:tcW w:w="2430" w:type="dxa"/>
            <w:tcBorders>
              <w:top w:val="single" w:color="B45309" w:sz="4" w:space="0"/>
              <w:left w:val="single" w:color="B45309" w:sz="2" w:space="0"/>
              <w:bottom w:val="single" w:color="B45309" w:sz="4" w:space="0"/>
              <w:right w:val="single" w:color="B45309" w:sz="2" w:space="0"/>
            </w:tcBorders>
            <w:shd w:val="clear" w:color="auto" w:fill="FEF3C7"/>
            <w:tcMar>
              <w:top w:w="180" w:type="dxa"/>
              <w:left w:w="140" w:type="dxa"/>
              <w:bottom w:w="180" w:type="dxa"/>
              <w:right w:w="140" w:type="dxa"/>
            </w:tcMar>
          </w:tcPr>
          <w:p w14:paraId="3CADE1B6">
            <w:pPr>
              <w:spacing w:before="0" w:after="40"/>
              <w:jc w:val="center"/>
            </w:pPr>
            <w:r>
              <w:rPr>
                <w:rFonts w:ascii="Arial" w:hAnsi="Arial" w:eastAsia="Arial" w:cs="Arial"/>
                <w:b/>
                <w:bCs/>
                <w:i w:val="0"/>
                <w:iCs w:val="0"/>
                <w:color w:val="B45309"/>
                <w:sz w:val="40"/>
                <w:szCs w:val="40"/>
              </w:rPr>
              <w:t>$500K+</w:t>
            </w:r>
          </w:p>
          <w:p w14:paraId="2FB3ABA7">
            <w:pPr>
              <w:spacing w:before="0" w:after="0"/>
              <w:jc w:val="center"/>
            </w:pPr>
            <w:r>
              <w:rPr>
                <w:rFonts w:ascii="Arial" w:hAnsi="Arial" w:eastAsia="Arial" w:cs="Arial"/>
                <w:b w:val="0"/>
                <w:bCs w:val="0"/>
                <w:i w:val="0"/>
                <w:iCs w:val="0"/>
                <w:color w:val="64748B"/>
                <w:sz w:val="19"/>
                <w:szCs w:val="19"/>
              </w:rPr>
              <w:t>Estimated Rebuild Cost</w:t>
            </w:r>
          </w:p>
        </w:tc>
      </w:tr>
    </w:tbl>
    <w:p w14:paraId="01C701BB">
      <w:pPr>
        <w:spacing w:before="0" w:after="0"/>
      </w:pPr>
      <w:r>
        <w:br w:type="page"/>
      </w:r>
    </w:p>
    <w:p w14:paraId="2AD1AAAE">
      <w:pPr>
        <w:pStyle w:val="2"/>
        <w:keepNext/>
        <w:pBdr>
          <w:left w:val="single" w:color="22D3EE" w:sz="16" w:space="0"/>
          <w:bottom w:val="single" w:color="06B6D4" w:sz="6" w:space="0"/>
        </w:pBdr>
        <w:shd w:val="clear" w:fill="030B1A"/>
        <w:spacing w:before="360" w:after="0"/>
        <w:ind w:left="160" w:right="160"/>
      </w:pPr>
      <w:r>
        <w:rPr>
          <w:rFonts w:ascii="Arial" w:hAnsi="Arial" w:eastAsia="Arial" w:cs="Arial"/>
          <w:b/>
          <w:bCs/>
          <w:i w:val="0"/>
          <w:iCs w:val="0"/>
          <w:color w:val="FFFFFF"/>
          <w:spacing w:val="60"/>
          <w:sz w:val="27"/>
          <w:szCs w:val="27"/>
        </w:rPr>
        <w:t>05  |  MARKET OPPORTUNITY</w:t>
      </w:r>
    </w:p>
    <w:p w14:paraId="1A46D890">
      <w:pPr>
        <w:spacing w:before="0" w:after="100"/>
      </w:pPr>
    </w:p>
    <w:p w14:paraId="60456344">
      <w:pPr>
        <w:spacing w:before="80" w:after="80"/>
        <w:contextualSpacing/>
        <w:jc w:val="both"/>
      </w:pPr>
      <w:r>
        <w:rPr>
          <w:rFonts w:ascii="Arial" w:hAnsi="Arial" w:eastAsia="Arial" w:cs="Arial"/>
          <w:b w:val="0"/>
          <w:bCs w:val="0"/>
          <w:i w:val="0"/>
          <w:iCs w:val="0"/>
          <w:color w:val="0F172A"/>
          <w:sz w:val="21"/>
          <w:szCs w:val="21"/>
        </w:rPr>
        <w:t>B.O.S.S operates at the convergence of three of the fastest-growing technology markets globally: SaaS platform infrastructure, AI-powered business intelligence, and AI orchestration automation software. This convergence creates a rare category-definition window that typically emerges once per technology cycle — the window that produced Salesforce in CRM, Slack in communication, and Stripe in payments.</w:t>
      </w:r>
    </w:p>
    <w:p w14:paraId="72CE53CE">
      <w:pPr>
        <w:spacing w:before="0" w:after="80"/>
      </w:pPr>
    </w:p>
    <w:p w14:paraId="30D51D31">
      <w:pPr>
        <w:spacing w:before="80" w:after="80"/>
        <w:contextualSpacing/>
        <w:jc w:val="both"/>
      </w:pPr>
      <w:r>
        <w:rPr>
          <w:rFonts w:ascii="Arial" w:hAnsi="Arial" w:eastAsia="Arial" w:cs="Arial"/>
          <w:b w:val="0"/>
          <w:bCs w:val="0"/>
          <w:i w:val="0"/>
          <w:iCs w:val="0"/>
          <w:color w:val="0F172A"/>
          <w:sz w:val="21"/>
          <w:szCs w:val="21"/>
        </w:rPr>
        <w:t>The timing of this window is not accidental. The maturation of large language models in 2023–2024 has, for the first time, made AI orchestration-generated business intelligence genuinely reliable enough for production deployment in SME environments. The market is ready. The infrastructure is ready. The first AI-native orchestration platform to achieve distribution density will define the category.</w:t>
      </w:r>
    </w:p>
    <w:p w14:paraId="45947054">
      <w:pPr>
        <w:spacing w:before="0" w:after="100"/>
      </w:pPr>
    </w:p>
    <w:p w14:paraId="46B22B4E">
      <w:pPr>
        <w:pStyle w:val="3"/>
        <w:keepNext/>
        <w:pBdr>
          <w:bottom w:val="single" w:color="0E4080" w:sz="2" w:space="3"/>
        </w:pBdr>
        <w:spacing w:before="220" w:after="60"/>
      </w:pPr>
      <w:r>
        <w:rPr>
          <w:rFonts w:ascii="Arial" w:hAnsi="Arial" w:eastAsia="Arial" w:cs="Arial"/>
          <w:b/>
          <w:bCs/>
          <w:i w:val="0"/>
          <w:iCs w:val="0"/>
          <w:color w:val="06B6D4"/>
          <w:sz w:val="24"/>
          <w:szCs w:val="24"/>
        </w:rPr>
        <w:t>Total Addressable Market  —  2024 vs 2029 USD Projections</w:t>
      </w:r>
    </w:p>
    <w:p w14:paraId="4CA64279">
      <w:pPr>
        <w:spacing w:before="0" w:after="60"/>
      </w:pPr>
    </w:p>
    <w:p w14:paraId="299D67E7">
      <w:pPr>
        <w:pBdr>
          <w:top w:val="single" w:color="CBD5E1" w:sz="2" w:space="0"/>
          <w:left w:val="none" w:color="FFFFFF" w:sz="0" w:space="0"/>
          <w:bottom w:val="single" w:color="CBD5E1" w:sz="2" w:space="0"/>
          <w:right w:val="none" w:color="FFFFFF" w:sz="0" w:space="0"/>
        </w:pBdr>
        <w:spacing w:before="120" w:after="60"/>
        <w:jc w:val="center"/>
      </w:pPr>
      <w:r>
        <w:drawing>
          <wp:inline distT="0" distB="0" distL="0" distR="0">
            <wp:extent cx="59055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5905500" cy="2743200"/>
                    </a:xfrm>
                    <a:prstGeom prst="rect">
                      <a:avLst/>
                    </a:prstGeom>
                  </pic:spPr>
                </pic:pic>
              </a:graphicData>
            </a:graphic>
          </wp:inline>
        </w:drawing>
      </w:r>
    </w:p>
    <w:p w14:paraId="040ECD45">
      <w:pPr>
        <w:spacing w:before="50" w:after="180"/>
        <w:jc w:val="center"/>
      </w:pPr>
      <w:r>
        <w:rPr>
          <w:rFonts w:ascii="Arial" w:hAnsi="Arial" w:eastAsia="Arial" w:cs="Arial"/>
          <w:b w:val="0"/>
          <w:bCs w:val="0"/>
          <w:i/>
          <w:iCs/>
          <w:color w:val="64748B"/>
          <w:sz w:val="19"/>
          <w:szCs w:val="19"/>
        </w:rPr>
        <w:t>Figure 1: B.O.S.S Target Market Segments — 2024 vs 2029 Projections (USD Billions). Source: Gartner Market Databook 2024, IDC AI SaaS Forecast 2024, Statista Africa Digital Report 2024</w:t>
      </w:r>
    </w:p>
    <w:p w14:paraId="0EAD1D1B">
      <w:pPr>
        <w:spacing w:before="0" w:after="8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720"/>
      </w:tblGrid>
      <w:tr w14:paraId="3866D3B4">
        <w:tc>
          <w:tcPr>
            <w:tcW w:w="30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7C65CA86">
            <w:pPr>
              <w:spacing w:before="0" w:after="0"/>
            </w:pPr>
            <w:r>
              <w:rPr>
                <w:rFonts w:ascii="Arial" w:hAnsi="Arial" w:eastAsia="Arial" w:cs="Arial"/>
                <w:b/>
                <w:bCs/>
                <w:i w:val="0"/>
                <w:iCs w:val="0"/>
                <w:color w:val="030B1A"/>
                <w:sz w:val="20"/>
                <w:szCs w:val="20"/>
              </w:rPr>
              <w:t>BI &amp; Analytics (Global)</w:t>
            </w:r>
          </w:p>
        </w:tc>
        <w:tc>
          <w:tcPr>
            <w:tcW w:w="67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365AE816">
            <w:pPr>
              <w:spacing w:before="0" w:after="0"/>
            </w:pPr>
            <w:r>
              <w:rPr>
                <w:rFonts w:ascii="Arial" w:hAnsi="Arial" w:eastAsia="Arial" w:cs="Arial"/>
                <w:b w:val="0"/>
                <w:bCs w:val="0"/>
                <w:i w:val="0"/>
                <w:iCs w:val="0"/>
                <w:color w:val="0F172A"/>
                <w:sz w:val="20"/>
                <w:szCs w:val="20"/>
              </w:rPr>
              <w:t>$33.3B (2024)  →  $54.3B by 2029  │  CAGR 10.3%  │  Source: Gartner 2024</w:t>
            </w:r>
          </w:p>
        </w:tc>
      </w:tr>
      <w:tr w14:paraId="7B2452BF">
        <w:tc>
          <w:tcPr>
            <w:tcW w:w="300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2B68FC0F">
            <w:pPr>
              <w:spacing w:before="0" w:after="0"/>
            </w:pPr>
            <w:r>
              <w:rPr>
                <w:rFonts w:ascii="Arial" w:hAnsi="Arial" w:eastAsia="Arial" w:cs="Arial"/>
                <w:b/>
                <w:bCs/>
                <w:i w:val="0"/>
                <w:iCs w:val="0"/>
                <w:color w:val="030B1A"/>
                <w:sz w:val="20"/>
                <w:szCs w:val="20"/>
              </w:rPr>
              <w:t>AI in Enterprise SaaS</w:t>
            </w:r>
          </w:p>
        </w:tc>
        <w:tc>
          <w:tcPr>
            <w:tcW w:w="672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2DD94AC1">
            <w:pPr>
              <w:spacing w:before="0" w:after="0"/>
            </w:pPr>
            <w:r>
              <w:rPr>
                <w:rFonts w:ascii="Arial" w:hAnsi="Arial" w:eastAsia="Arial" w:cs="Arial"/>
                <w:b w:val="0"/>
                <w:bCs w:val="0"/>
                <w:i w:val="0"/>
                <w:iCs w:val="0"/>
                <w:color w:val="0F172A"/>
                <w:sz w:val="20"/>
                <w:szCs w:val="20"/>
              </w:rPr>
              <w:t>$47.5B (2024)  →  $208.8B by 2029  │  CAGR 28.4%  │  Source: IDC 2024</w:t>
            </w:r>
          </w:p>
        </w:tc>
      </w:tr>
      <w:tr w14:paraId="1FA99A21">
        <w:tc>
          <w:tcPr>
            <w:tcW w:w="30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13D5EC00">
            <w:pPr>
              <w:spacing w:before="0" w:after="0"/>
            </w:pPr>
            <w:r>
              <w:rPr>
                <w:rFonts w:ascii="Arial" w:hAnsi="Arial" w:eastAsia="Arial" w:cs="Arial"/>
                <w:b/>
                <w:bCs/>
                <w:i w:val="0"/>
                <w:iCs w:val="0"/>
                <w:color w:val="030B1A"/>
                <w:sz w:val="20"/>
                <w:szCs w:val="20"/>
              </w:rPr>
              <w:t>AI Orchestration Software</w:t>
            </w:r>
          </w:p>
        </w:tc>
        <w:tc>
          <w:tcPr>
            <w:tcW w:w="67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7A01F768">
            <w:pPr>
              <w:spacing w:before="0" w:after="0"/>
            </w:pPr>
            <w:r>
              <w:rPr>
                <w:rFonts w:ascii="Arial" w:hAnsi="Arial" w:eastAsia="Arial" w:cs="Arial"/>
                <w:b w:val="0"/>
                <w:bCs w:val="0"/>
                <w:i w:val="0"/>
                <w:iCs w:val="0"/>
                <w:color w:val="0F172A"/>
                <w:sz w:val="20"/>
                <w:szCs w:val="20"/>
              </w:rPr>
              <w:t>$18.2B (2024)  →  $71.6B by 2029  │  CAGR 31.2%  │  Source: MarketsandMarkets 2024</w:t>
            </w:r>
          </w:p>
        </w:tc>
      </w:tr>
      <w:tr w14:paraId="791C3AEE">
        <w:tc>
          <w:tcPr>
            <w:tcW w:w="300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1FC8A48A">
            <w:pPr>
              <w:spacing w:before="0" w:after="0"/>
            </w:pPr>
            <w:r>
              <w:rPr>
                <w:rFonts w:ascii="Arial" w:hAnsi="Arial" w:eastAsia="Arial" w:cs="Arial"/>
                <w:b/>
                <w:bCs/>
                <w:i w:val="0"/>
                <w:iCs w:val="0"/>
                <w:color w:val="030B1A"/>
                <w:sz w:val="20"/>
                <w:szCs w:val="20"/>
              </w:rPr>
              <w:t>Africa SaaS Market</w:t>
            </w:r>
          </w:p>
        </w:tc>
        <w:tc>
          <w:tcPr>
            <w:tcW w:w="672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7147ECD2">
            <w:pPr>
              <w:spacing w:before="0" w:after="0"/>
            </w:pPr>
            <w:r>
              <w:rPr>
                <w:rFonts w:ascii="Arial" w:hAnsi="Arial" w:eastAsia="Arial" w:cs="Arial"/>
                <w:b w:val="0"/>
                <w:bCs w:val="0"/>
                <w:i w:val="0"/>
                <w:iCs w:val="0"/>
                <w:color w:val="0F172A"/>
                <w:sz w:val="20"/>
                <w:szCs w:val="20"/>
              </w:rPr>
              <w:t>$4.2B (2024)  →  $14.1B by 2028  │  CAGR 27.5%  │  Source: Statista 2024</w:t>
            </w:r>
          </w:p>
        </w:tc>
      </w:tr>
    </w:tbl>
    <w:p w14:paraId="2B6422E5">
      <w:pPr>
        <w:spacing w:before="0" w:after="10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52094D32">
        <w:tc>
          <w:tcPr>
            <w:tcW w:w="9720" w:type="dxa"/>
            <w:tcBorders>
              <w:top w:val="single" w:color="6D28D9" w:sz="6" w:space="0"/>
              <w:left w:val="single" w:color="6D28D9" w:sz="16" w:space="0"/>
              <w:bottom w:val="single" w:color="6D28D9" w:sz="6" w:space="0"/>
              <w:right w:val="nil"/>
            </w:tcBorders>
            <w:shd w:val="clear" w:color="auto" w:fill="EDE9FE"/>
            <w:tcMar>
              <w:top w:w="160" w:type="dxa"/>
              <w:left w:w="220" w:type="dxa"/>
              <w:bottom w:w="140" w:type="dxa"/>
              <w:right w:w="220" w:type="dxa"/>
            </w:tcMar>
          </w:tcPr>
          <w:p w14:paraId="27F8C905">
            <w:pPr>
              <w:keepNext/>
              <w:spacing w:before="0" w:after="60"/>
            </w:pPr>
            <w:r>
              <w:rPr>
                <w:rFonts w:ascii="Arial" w:hAnsi="Arial" w:eastAsia="Arial" w:cs="Arial"/>
                <w:b/>
                <w:bCs/>
                <w:i w:val="0"/>
                <w:iCs w:val="0"/>
                <w:color w:val="6D28D9"/>
                <w:sz w:val="36"/>
                <w:szCs w:val="36"/>
              </w:rPr>
              <w:t>73%</w:t>
            </w:r>
          </w:p>
          <w:p w14:paraId="591E2B21">
            <w:pPr>
              <w:keepNext/>
              <w:spacing w:before="0" w:after="60"/>
            </w:pPr>
            <w:r>
              <w:rPr>
                <w:rFonts w:ascii="Arial" w:hAnsi="Arial" w:eastAsia="Arial" w:cs="Arial"/>
                <w:b/>
                <w:bCs/>
                <w:i w:val="0"/>
                <w:iCs w:val="0"/>
                <w:color w:val="1E1B4B"/>
                <w:sz w:val="21"/>
                <w:szCs w:val="21"/>
              </w:rPr>
              <w:t>of African SMEs report being underserved by existing SaaS BI tools, citing cost and complexity as primary barriers</w:t>
            </w:r>
          </w:p>
          <w:p w14:paraId="4489AFA9">
            <w:pPr>
              <w:spacing w:before="0" w:after="0"/>
            </w:pPr>
            <w:r>
              <w:rPr>
                <w:rFonts w:ascii="Arial" w:hAnsi="Arial" w:eastAsia="Arial" w:cs="Arial"/>
                <w:b w:val="0"/>
                <w:bCs w:val="0"/>
                <w:i/>
                <w:iCs/>
                <w:color w:val="64748B"/>
                <w:sz w:val="18"/>
                <w:szCs w:val="18"/>
              </w:rPr>
              <w:t>Source: BCG — Africa Digital Economy Report, 2024  │  Sample: 2,400 SMEs across 14 African markets</w:t>
            </w:r>
          </w:p>
        </w:tc>
      </w:tr>
    </w:tbl>
    <w:p w14:paraId="76FE481D">
      <w:pPr>
        <w:spacing w:before="0" w:after="100"/>
      </w:pPr>
    </w:p>
    <w:p w14:paraId="63F8B9C4">
      <w:pPr>
        <w:pStyle w:val="3"/>
        <w:keepNext/>
        <w:pBdr>
          <w:bottom w:val="single" w:color="0E4080" w:sz="2" w:space="3"/>
        </w:pBdr>
        <w:spacing w:before="220" w:after="60"/>
      </w:pPr>
      <w:r>
        <w:rPr>
          <w:rFonts w:ascii="Arial" w:hAnsi="Arial" w:eastAsia="Arial" w:cs="Arial"/>
          <w:b/>
          <w:bCs/>
          <w:i w:val="0"/>
          <w:iCs w:val="0"/>
          <w:color w:val="06B6D4"/>
          <w:sz w:val="24"/>
          <w:szCs w:val="24"/>
        </w:rPr>
        <w:t>Go-To-Market Sequencing</w:t>
      </w:r>
    </w:p>
    <w:p w14:paraId="13AA1DAF">
      <w:pPr>
        <w:pStyle w:val="16"/>
        <w:numPr>
          <w:ilvl w:val="0"/>
          <w:numId w:val="1"/>
        </w:numPr>
        <w:spacing w:before="70" w:after="70"/>
        <w:contextualSpacing/>
      </w:pPr>
      <w:r>
        <w:rPr>
          <w:rFonts w:ascii="Arial" w:hAnsi="Arial" w:eastAsia="Arial" w:cs="Arial"/>
          <w:b/>
          <w:bCs/>
          <w:i w:val="0"/>
          <w:iCs w:val="0"/>
          <w:color w:val="06B6D4"/>
          <w:sz w:val="22"/>
          <w:szCs w:val="22"/>
        </w:rPr>
        <w:t xml:space="preserve">Target owner-operated businesses in Kenya and East Africa where BI tool penetration is low and mobile-first AI adoption is accelerating. Offer the most intelligent business tool at the most accessible price point. First-mover advantage in the world's fastest-growing SaaS region. </w:t>
      </w:r>
      <w:r>
        <w:rPr>
          <w:rFonts w:ascii="Arial" w:hAnsi="Arial" w:eastAsia="Arial" w:cs="Arial"/>
          <w:b w:val="0"/>
          <w:bCs w:val="0"/>
          <w:i w:val="0"/>
          <w:iCs w:val="0"/>
          <w:color w:val="0F172A"/>
          <w:sz w:val="21"/>
          <w:szCs w:val="21"/>
        </w:rPr>
        <w:t>Phase 1 — SME Beachhead (Year 1)</w:t>
      </w:r>
    </w:p>
    <w:p w14:paraId="490922AC">
      <w:pPr>
        <w:pStyle w:val="16"/>
        <w:numPr>
          <w:ilvl w:val="0"/>
          <w:numId w:val="1"/>
        </w:numPr>
        <w:spacing w:before="70" w:after="70"/>
        <w:contextualSpacing/>
      </w:pPr>
      <w:r>
        <w:rPr>
          <w:rFonts w:ascii="Arial" w:hAnsi="Arial" w:eastAsia="Arial" w:cs="Arial"/>
          <w:b/>
          <w:bCs/>
          <w:i w:val="0"/>
          <w:iCs w:val="0"/>
          <w:color w:val="06B6D4"/>
          <w:sz w:val="22"/>
          <w:szCs w:val="22"/>
        </w:rPr>
        <w:t xml:space="preserve">Move upmarket into growth-stage companies requiring team analytics, multi-user dashboards, API integrations, and department-level AI orchestration modules. Introduce tiered pricing and enterprise onboarding workflows. </w:t>
      </w:r>
      <w:r>
        <w:rPr>
          <w:rFonts w:ascii="Arial" w:hAnsi="Arial" w:eastAsia="Arial" w:cs="Arial"/>
          <w:b w:val="0"/>
          <w:bCs w:val="0"/>
          <w:i w:val="0"/>
          <w:iCs w:val="0"/>
          <w:color w:val="0F172A"/>
          <w:sz w:val="21"/>
          <w:szCs w:val="21"/>
        </w:rPr>
        <w:t>Phase 2 — Scale-Up Expansion (Year 2)</w:t>
      </w:r>
    </w:p>
    <w:p w14:paraId="1F5E959F">
      <w:pPr>
        <w:pStyle w:val="16"/>
        <w:numPr>
          <w:ilvl w:val="0"/>
          <w:numId w:val="1"/>
        </w:numPr>
        <w:spacing w:before="70" w:after="70"/>
        <w:contextualSpacing/>
      </w:pPr>
      <w:r>
        <w:rPr>
          <w:rFonts w:ascii="Arial" w:hAnsi="Arial" w:eastAsia="Arial" w:cs="Arial"/>
          <w:b/>
          <w:bCs/>
          <w:i w:val="0"/>
          <w:iCs w:val="0"/>
          <w:color w:val="06B6D4"/>
          <w:sz w:val="22"/>
          <w:szCs w:val="22"/>
        </w:rPr>
        <w:t xml:space="preserve">Deploy white-label and API licensing models for financial institutions, incubators, and enterprise divisions seeking AI-native orchestration infrastructure. Target regulated verticals where observability is a compliance requirement. </w:t>
      </w:r>
      <w:r>
        <w:rPr>
          <w:rFonts w:ascii="Arial" w:hAnsi="Arial" w:eastAsia="Arial" w:cs="Arial"/>
          <w:b w:val="0"/>
          <w:bCs w:val="0"/>
          <w:i w:val="0"/>
          <w:iCs w:val="0"/>
          <w:color w:val="0F172A"/>
          <w:sz w:val="21"/>
          <w:szCs w:val="21"/>
        </w:rPr>
        <w:t>Phase 3 — Enterprise Licensing (Year 3+)</w:t>
      </w:r>
    </w:p>
    <w:p w14:paraId="5781F0F0">
      <w:pPr>
        <w:spacing w:before="0" w:after="0"/>
      </w:pPr>
      <w:r>
        <w:br w:type="page"/>
      </w:r>
    </w:p>
    <w:p w14:paraId="5E24FAD8">
      <w:pPr>
        <w:pStyle w:val="2"/>
        <w:keepNext/>
        <w:pBdr>
          <w:left w:val="single" w:color="22D3EE" w:sz="16" w:space="0"/>
          <w:bottom w:val="single" w:color="06B6D4" w:sz="6" w:space="0"/>
        </w:pBdr>
        <w:shd w:val="clear" w:fill="030B1A"/>
        <w:spacing w:before="360" w:after="0"/>
        <w:ind w:left="160" w:right="160"/>
      </w:pPr>
      <w:r>
        <w:rPr>
          <w:rFonts w:ascii="Arial" w:hAnsi="Arial" w:eastAsia="Arial" w:cs="Arial"/>
          <w:b/>
          <w:bCs/>
          <w:i w:val="0"/>
          <w:iCs w:val="0"/>
          <w:color w:val="FFFFFF"/>
          <w:spacing w:val="60"/>
          <w:sz w:val="27"/>
          <w:szCs w:val="27"/>
        </w:rPr>
        <w:t>06  |  BUSINESS MODEL</w:t>
      </w:r>
    </w:p>
    <w:p w14:paraId="5C3933BF">
      <w:pPr>
        <w:spacing w:before="0" w:after="100"/>
      </w:pPr>
    </w:p>
    <w:p w14:paraId="6B548BB7">
      <w:pPr>
        <w:spacing w:before="80" w:after="80"/>
        <w:contextualSpacing/>
        <w:jc w:val="both"/>
      </w:pPr>
      <w:r>
        <w:rPr>
          <w:rFonts w:ascii="Arial" w:hAnsi="Arial" w:eastAsia="Arial" w:cs="Arial"/>
          <w:b w:val="0"/>
          <w:bCs w:val="0"/>
          <w:i w:val="0"/>
          <w:iCs w:val="0"/>
          <w:color w:val="0F172A"/>
          <w:sz w:val="21"/>
          <w:szCs w:val="21"/>
        </w:rPr>
        <w:t>B.O.S.S is designed around a layered monetisation architecture that generates predictable recurring revenue at the base, variable usage-driven revenue at scale, and high-margin enterprise licensing revenue at the ceiling. All three layers compound over time as the platform's accumulated data density increases AI orchestration accuracy, deepening customer retention and expanding natural account growth.</w:t>
      </w:r>
    </w:p>
    <w:p w14:paraId="4C943C03">
      <w:pPr>
        <w:spacing w:before="0" w:after="10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720"/>
      </w:tblGrid>
      <w:tr w14:paraId="7E344FA3">
        <w:tc>
          <w:tcPr>
            <w:tcW w:w="30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6753D419">
            <w:pPr>
              <w:spacing w:before="0" w:after="0"/>
            </w:pPr>
            <w:r>
              <w:rPr>
                <w:rFonts w:ascii="Arial" w:hAnsi="Arial" w:eastAsia="Arial" w:cs="Arial"/>
                <w:b/>
                <w:bCs/>
                <w:i w:val="0"/>
                <w:iCs w:val="0"/>
                <w:color w:val="030B1A"/>
                <w:sz w:val="20"/>
                <w:szCs w:val="20"/>
              </w:rPr>
              <w:t>Tier 1 — Starter</w:t>
            </w:r>
          </w:p>
        </w:tc>
        <w:tc>
          <w:tcPr>
            <w:tcW w:w="67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4AA4A380">
            <w:pPr>
              <w:spacing w:before="0" w:after="0"/>
            </w:pPr>
            <w:r>
              <w:rPr>
                <w:rFonts w:ascii="Arial" w:hAnsi="Arial" w:eastAsia="Arial" w:cs="Arial"/>
                <w:b w:val="0"/>
                <w:bCs w:val="0"/>
                <w:i w:val="0"/>
                <w:iCs w:val="0"/>
                <w:color w:val="0F172A"/>
                <w:sz w:val="20"/>
                <w:szCs w:val="20"/>
              </w:rPr>
              <w:t>KES 1,500/month  │  Core dashboard, daily AI orchestration intelligence, 7-day analytics, basic predictive signals. Target: Solo operators, micro-businesses.</w:t>
            </w:r>
          </w:p>
        </w:tc>
      </w:tr>
      <w:tr w14:paraId="6082C77E">
        <w:tc>
          <w:tcPr>
            <w:tcW w:w="300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2882974A">
            <w:pPr>
              <w:spacing w:before="0" w:after="0"/>
            </w:pPr>
            <w:r>
              <w:rPr>
                <w:rFonts w:ascii="Arial" w:hAnsi="Arial" w:eastAsia="Arial" w:cs="Arial"/>
                <w:b/>
                <w:bCs/>
                <w:i w:val="0"/>
                <w:iCs w:val="0"/>
                <w:color w:val="030B1A"/>
                <w:sz w:val="20"/>
                <w:szCs w:val="20"/>
              </w:rPr>
              <w:t>Tier 2 — Growth</w:t>
            </w:r>
          </w:p>
        </w:tc>
        <w:tc>
          <w:tcPr>
            <w:tcW w:w="672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0A070642">
            <w:pPr>
              <w:spacing w:before="0" w:after="0"/>
            </w:pPr>
            <w:r>
              <w:rPr>
                <w:rFonts w:ascii="Arial" w:hAnsi="Arial" w:eastAsia="Arial" w:cs="Arial"/>
                <w:b w:val="0"/>
                <w:bCs w:val="0"/>
                <w:i w:val="0"/>
                <w:iCs w:val="0"/>
                <w:color w:val="0F172A"/>
                <w:sz w:val="20"/>
                <w:szCs w:val="20"/>
              </w:rPr>
              <w:t>KES 4,500/month  │  Full intelligence suite, advanced signals, team access (3 users), API access, custom alerts. Target: Growing SMEs.</w:t>
            </w:r>
          </w:p>
        </w:tc>
      </w:tr>
      <w:tr w14:paraId="0BAE0553">
        <w:tc>
          <w:tcPr>
            <w:tcW w:w="30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521EAE46">
            <w:pPr>
              <w:spacing w:before="0" w:after="0"/>
            </w:pPr>
            <w:r>
              <w:rPr>
                <w:rFonts w:ascii="Arial" w:hAnsi="Arial" w:eastAsia="Arial" w:cs="Arial"/>
                <w:b/>
                <w:bCs/>
                <w:i w:val="0"/>
                <w:iCs w:val="0"/>
                <w:color w:val="030B1A"/>
                <w:sz w:val="20"/>
                <w:szCs w:val="20"/>
              </w:rPr>
              <w:t>Tier 3 — Professional</w:t>
            </w:r>
          </w:p>
        </w:tc>
        <w:tc>
          <w:tcPr>
            <w:tcW w:w="67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4488D44F">
            <w:pPr>
              <w:spacing w:before="0" w:after="0"/>
            </w:pPr>
            <w:r>
              <w:rPr>
                <w:rFonts w:ascii="Arial" w:hAnsi="Arial" w:eastAsia="Arial" w:cs="Arial"/>
                <w:b w:val="0"/>
                <w:bCs w:val="0"/>
                <w:i w:val="0"/>
                <w:iCs w:val="0"/>
                <w:color w:val="0F172A"/>
                <w:sz w:val="20"/>
                <w:szCs w:val="20"/>
              </w:rPr>
              <w:t>KES 12,000/month  │  Multi-user (10 seats), advanced AI orchestration modules, exportable reports, priority support. Target: Scale-ups.</w:t>
            </w:r>
          </w:p>
        </w:tc>
      </w:tr>
      <w:tr w14:paraId="625A9D4C">
        <w:tc>
          <w:tcPr>
            <w:tcW w:w="300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61F503CE">
            <w:pPr>
              <w:spacing w:before="0" w:after="0"/>
            </w:pPr>
            <w:r>
              <w:rPr>
                <w:rFonts w:ascii="Arial" w:hAnsi="Arial" w:eastAsia="Arial" w:cs="Arial"/>
                <w:b/>
                <w:bCs/>
                <w:i w:val="0"/>
                <w:iCs w:val="0"/>
                <w:color w:val="030B1A"/>
                <w:sz w:val="20"/>
                <w:szCs w:val="20"/>
              </w:rPr>
              <w:t>Tier 4 — Enterprise</w:t>
            </w:r>
          </w:p>
        </w:tc>
        <w:tc>
          <w:tcPr>
            <w:tcW w:w="672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6B9109C3">
            <w:pPr>
              <w:spacing w:before="0" w:after="0"/>
            </w:pPr>
            <w:r>
              <w:rPr>
                <w:rFonts w:ascii="Arial" w:hAnsi="Arial" w:eastAsia="Arial" w:cs="Arial"/>
                <w:b w:val="0"/>
                <w:bCs w:val="0"/>
                <w:i w:val="0"/>
                <w:iCs w:val="0"/>
                <w:color w:val="0F172A"/>
                <w:sz w:val="20"/>
                <w:szCs w:val="20"/>
              </w:rPr>
              <w:t>Custom pricing  │  White-label deployment, dedicated AI orchestration fine-tuning, SLA guarantees, compliance audit trails, API licensing.</w:t>
            </w:r>
          </w:p>
        </w:tc>
      </w:tr>
      <w:tr w14:paraId="5D23D48C">
        <w:tc>
          <w:tcPr>
            <w:tcW w:w="30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58BB7CD1">
            <w:pPr>
              <w:spacing w:before="0" w:after="0"/>
            </w:pPr>
            <w:r>
              <w:rPr>
                <w:rFonts w:ascii="Arial" w:hAnsi="Arial" w:eastAsia="Arial" w:cs="Arial"/>
                <w:b/>
                <w:bCs/>
                <w:i w:val="0"/>
                <w:iCs w:val="0"/>
                <w:color w:val="030B1A"/>
                <w:sz w:val="20"/>
                <w:szCs w:val="20"/>
              </w:rPr>
              <w:t>Usage-Based Layer</w:t>
            </w:r>
          </w:p>
        </w:tc>
        <w:tc>
          <w:tcPr>
            <w:tcW w:w="67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70F5C6E2">
            <w:pPr>
              <w:spacing w:before="0" w:after="0"/>
            </w:pPr>
            <w:r>
              <w:rPr>
                <w:rFonts w:ascii="Arial" w:hAnsi="Arial" w:eastAsia="Arial" w:cs="Arial"/>
                <w:b w:val="0"/>
                <w:bCs w:val="0"/>
                <w:i w:val="0"/>
                <w:iCs w:val="0"/>
                <w:color w:val="0F172A"/>
                <w:sz w:val="20"/>
                <w:szCs w:val="20"/>
              </w:rPr>
              <w:t>AI orchestration processing credits above tier thresholds. High-volume API call billing. Additional data pipeline processing. Scales naturally with customer growth.</w:t>
            </w:r>
          </w:p>
        </w:tc>
      </w:tr>
    </w:tbl>
    <w:p w14:paraId="2D809334">
      <w:pPr>
        <w:spacing w:before="0" w:after="100"/>
      </w:pPr>
    </w:p>
    <w:p w14:paraId="22CBBCE8">
      <w:pPr>
        <w:pBdr>
          <w:left w:val="single" w:color="0891B2" w:sz="4" w:space="4"/>
        </w:pBdr>
        <w:spacing w:before="40" w:after="80"/>
        <w:ind w:left="300"/>
      </w:pPr>
      <w:r>
        <w:rPr>
          <w:rFonts w:ascii="Arial" w:hAnsi="Arial" w:eastAsia="Arial" w:cs="Arial"/>
          <w:b w:val="0"/>
          <w:bCs w:val="0"/>
          <w:i/>
          <w:iCs/>
          <w:color w:val="64748B"/>
          <w:sz w:val="19"/>
          <w:szCs w:val="19"/>
        </w:rPr>
        <w:t>"Usage-based pricing models in SaaS demonstrate 38% higher net revenue retention than flat-rate subscription models at comparable ARR thresholds." — OpenView SaaS Benchmarks Report, 2024</w:t>
      </w:r>
    </w:p>
    <w:p w14:paraId="7F62AC31">
      <w:pPr>
        <w:spacing w:before="0" w:after="80"/>
      </w:pPr>
    </w:p>
    <w:p w14:paraId="27516C6D">
      <w:pPr>
        <w:pStyle w:val="3"/>
        <w:keepNext/>
        <w:pBdr>
          <w:bottom w:val="single" w:color="0E4080" w:sz="2" w:space="3"/>
        </w:pBdr>
        <w:spacing w:before="220" w:after="60"/>
      </w:pPr>
      <w:r>
        <w:rPr>
          <w:rFonts w:ascii="Arial" w:hAnsi="Arial" w:eastAsia="Arial" w:cs="Arial"/>
          <w:b/>
          <w:bCs/>
          <w:i w:val="0"/>
          <w:iCs w:val="0"/>
          <w:color w:val="06B6D4"/>
          <w:sz w:val="24"/>
          <w:szCs w:val="24"/>
        </w:rPr>
        <w:t>18-Month MRR &amp; Customer Growth Projection</w:t>
      </w:r>
    </w:p>
    <w:p w14:paraId="0BF970AF">
      <w:pPr>
        <w:spacing w:before="0" w:after="60"/>
      </w:pPr>
    </w:p>
    <w:p w14:paraId="60BDC41A">
      <w:pPr>
        <w:pBdr>
          <w:top w:val="single" w:color="CBD5E1" w:sz="2" w:space="0"/>
          <w:left w:val="none" w:color="FFFFFF" w:sz="0" w:space="0"/>
          <w:bottom w:val="single" w:color="CBD5E1" w:sz="2" w:space="0"/>
          <w:right w:val="none" w:color="FFFFFF" w:sz="0" w:space="0"/>
        </w:pBdr>
        <w:spacing w:before="120" w:after="60"/>
        <w:jc w:val="center"/>
      </w:pPr>
      <w:r>
        <w:drawing>
          <wp:inline distT="0" distB="0" distL="0" distR="0">
            <wp:extent cx="5905500" cy="2714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5905500" cy="2714625"/>
                    </a:xfrm>
                    <a:prstGeom prst="rect">
                      <a:avLst/>
                    </a:prstGeom>
                  </pic:spPr>
                </pic:pic>
              </a:graphicData>
            </a:graphic>
          </wp:inline>
        </w:drawing>
      </w:r>
    </w:p>
    <w:p w14:paraId="7FD073B3">
      <w:pPr>
        <w:spacing w:before="50" w:after="180"/>
        <w:jc w:val="center"/>
      </w:pPr>
      <w:r>
        <w:rPr>
          <w:rFonts w:ascii="Arial" w:hAnsi="Arial" w:eastAsia="Arial" w:cs="Arial"/>
          <w:b w:val="0"/>
          <w:bCs w:val="0"/>
          <w:i/>
          <w:iCs/>
          <w:color w:val="64748B"/>
          <w:sz w:val="19"/>
          <w:szCs w:val="19"/>
        </w:rPr>
        <w:t>Figure 2: Projected MRR (USD, left axis) and Customer Count (right axis) over 18 months with Series Seed, Break-Even, and $40K MRR milestones marked. Based on OpenView SaaS Benchmarks 2024 and Stripe Atlas SME Growth Report 2024.</w:t>
      </w:r>
    </w:p>
    <w:p w14:paraId="501681F3">
      <w:pPr>
        <w:spacing w:before="0" w:after="80"/>
      </w:pPr>
    </w:p>
    <w:p w14:paraId="28393FE8">
      <w:pPr>
        <w:spacing w:before="80" w:after="80"/>
        <w:contextualSpacing/>
        <w:jc w:val="both"/>
      </w:pPr>
      <w:r>
        <w:rPr>
          <w:rFonts w:ascii="Arial" w:hAnsi="Arial" w:eastAsia="Arial" w:cs="Arial"/>
          <w:b w:val="0"/>
          <w:bCs w:val="0"/>
          <w:i w:val="0"/>
          <w:iCs w:val="0"/>
          <w:color w:val="0F172A"/>
          <w:sz w:val="21"/>
          <w:szCs w:val="21"/>
        </w:rPr>
        <w:t>Unit economics are structurally attractive: low marginal cost per additional user due to shared AI orchestration infrastructure; high switching costs driven by accumulated business history and trained intelligence personalisation; and expanding revenue per account as businesses naturally grow into higher tiers, a dynamic confirmed by comparable SaaS businesses achieving 125%+ net revenue retention at 18 months.</w:t>
      </w:r>
    </w:p>
    <w:p w14:paraId="3929D78E">
      <w:pPr>
        <w:spacing w:before="0" w:after="8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0D06788B">
        <w:tc>
          <w:tcPr>
            <w:tcW w:w="9720" w:type="dxa"/>
            <w:tcBorders>
              <w:top w:val="single" w:color="6D28D9" w:sz="6" w:space="0"/>
              <w:left w:val="single" w:color="6D28D9" w:sz="16" w:space="0"/>
              <w:bottom w:val="single" w:color="6D28D9" w:sz="6" w:space="0"/>
              <w:right w:val="nil"/>
            </w:tcBorders>
            <w:shd w:val="clear" w:color="auto" w:fill="EDE9FE"/>
            <w:tcMar>
              <w:top w:w="160" w:type="dxa"/>
              <w:left w:w="220" w:type="dxa"/>
              <w:bottom w:w="140" w:type="dxa"/>
              <w:right w:w="220" w:type="dxa"/>
            </w:tcMar>
          </w:tcPr>
          <w:p w14:paraId="609C83BF">
            <w:pPr>
              <w:keepNext/>
              <w:spacing w:before="0" w:after="60"/>
            </w:pPr>
            <w:r>
              <w:rPr>
                <w:rFonts w:ascii="Arial" w:hAnsi="Arial" w:eastAsia="Arial" w:cs="Arial"/>
                <w:b/>
                <w:bCs/>
                <w:i w:val="0"/>
                <w:iCs w:val="0"/>
                <w:color w:val="6D28D9"/>
                <w:sz w:val="36"/>
                <w:szCs w:val="36"/>
              </w:rPr>
              <w:t>125%+</w:t>
            </w:r>
          </w:p>
          <w:p w14:paraId="51FAC224">
            <w:pPr>
              <w:keepNext/>
              <w:spacing w:before="0" w:after="60"/>
            </w:pPr>
            <w:r>
              <w:rPr>
                <w:rFonts w:ascii="Arial" w:hAnsi="Arial" w:eastAsia="Arial" w:cs="Arial"/>
                <w:b/>
                <w:bCs/>
                <w:i w:val="0"/>
                <w:iCs w:val="0"/>
                <w:color w:val="1E1B4B"/>
                <w:sz w:val="21"/>
                <w:szCs w:val="21"/>
              </w:rPr>
              <w:t>net revenue retention is achievable for AI-native SaaS platforms with strong data lock-in effects within 24 months of launch</w:t>
            </w:r>
          </w:p>
          <w:p w14:paraId="425F1E44">
            <w:pPr>
              <w:spacing w:before="0" w:after="0"/>
            </w:pPr>
            <w:r>
              <w:rPr>
                <w:rFonts w:ascii="Arial" w:hAnsi="Arial" w:eastAsia="Arial" w:cs="Arial"/>
                <w:b w:val="0"/>
                <w:bCs w:val="0"/>
                <w:i/>
                <w:iCs/>
                <w:color w:val="64748B"/>
                <w:sz w:val="18"/>
                <w:szCs w:val="18"/>
              </w:rPr>
              <w:t>Source: Bessemer Venture Partners — State of the Cloud Report, 2024</w:t>
            </w:r>
          </w:p>
        </w:tc>
      </w:tr>
    </w:tbl>
    <w:p w14:paraId="4B9D5F48">
      <w:pPr>
        <w:spacing w:before="0" w:after="0"/>
      </w:pPr>
      <w:r>
        <w:br w:type="page"/>
      </w:r>
    </w:p>
    <w:p w14:paraId="7DC1D23A">
      <w:pPr>
        <w:pStyle w:val="2"/>
        <w:keepNext/>
        <w:pBdr>
          <w:left w:val="single" w:color="22D3EE" w:sz="16" w:space="0"/>
          <w:bottom w:val="single" w:color="06B6D4" w:sz="6" w:space="0"/>
        </w:pBdr>
        <w:shd w:val="clear" w:fill="030B1A"/>
        <w:spacing w:before="360" w:after="0"/>
        <w:ind w:left="160" w:right="160"/>
      </w:pPr>
      <w:r>
        <w:rPr>
          <w:rFonts w:ascii="Arial" w:hAnsi="Arial" w:eastAsia="Arial" w:cs="Arial"/>
          <w:b/>
          <w:bCs/>
          <w:i w:val="0"/>
          <w:iCs w:val="0"/>
          <w:color w:val="FFFFFF"/>
          <w:spacing w:val="60"/>
          <w:sz w:val="27"/>
          <w:szCs w:val="27"/>
        </w:rPr>
        <w:t>07  |  COMPETITIVE ADVANTAGE</w:t>
      </w:r>
    </w:p>
    <w:p w14:paraId="52A6712B">
      <w:pPr>
        <w:spacing w:before="0" w:after="100"/>
      </w:pPr>
    </w:p>
    <w:p w14:paraId="4B316ED9">
      <w:pPr>
        <w:spacing w:before="80" w:after="80"/>
        <w:contextualSpacing/>
        <w:jc w:val="both"/>
      </w:pPr>
      <w:r>
        <w:rPr>
          <w:rFonts w:ascii="Arial" w:hAnsi="Arial" w:eastAsia="Arial" w:cs="Arial"/>
          <w:b w:val="0"/>
          <w:bCs w:val="0"/>
          <w:i w:val="0"/>
          <w:iCs w:val="0"/>
          <w:color w:val="0F172A"/>
          <w:sz w:val="21"/>
          <w:szCs w:val="21"/>
        </w:rPr>
        <w:t>B.O.S.S does not compete with QuickBooks. It does not compete with Tableau. It does not compete with Salesforce. It competes with the entire category of fragmented tools businesses use instead of a unified AI orchestration system — and its primary competitive advantage is that no direct equivalent currently exists at its price point, intelligence depth, or architectural maturity for its target market.</w:t>
      </w:r>
    </w:p>
    <w:p w14:paraId="32937674">
      <w:pPr>
        <w:spacing w:before="0" w:after="100"/>
      </w:pPr>
    </w:p>
    <w:p w14:paraId="456D2ED3">
      <w:pPr>
        <w:pStyle w:val="3"/>
        <w:keepNext/>
        <w:pBdr>
          <w:bottom w:val="single" w:color="0E4080" w:sz="2" w:space="3"/>
        </w:pBdr>
        <w:spacing w:before="220" w:after="60"/>
      </w:pPr>
      <w:r>
        <w:rPr>
          <w:rFonts w:ascii="Arial" w:hAnsi="Arial" w:eastAsia="Arial" w:cs="Arial"/>
          <w:b/>
          <w:bCs/>
          <w:i w:val="0"/>
          <w:iCs w:val="0"/>
          <w:color w:val="06B6D4"/>
          <w:sz w:val="24"/>
          <w:szCs w:val="24"/>
        </w:rPr>
        <w:t>Competitive Positioning Matrix</w:t>
      </w:r>
    </w:p>
    <w:p w14:paraId="359D0239">
      <w:pPr>
        <w:spacing w:before="0" w:after="6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120"/>
      </w:tblGrid>
      <w:tr w14:paraId="31EF57C8">
        <w:tc>
          <w:tcPr>
            <w:tcW w:w="26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27E72865">
            <w:pPr>
              <w:spacing w:before="0" w:after="0"/>
            </w:pPr>
            <w:r>
              <w:rPr>
                <w:rFonts w:ascii="Arial" w:hAnsi="Arial" w:eastAsia="Arial" w:cs="Arial"/>
                <w:b/>
                <w:bCs/>
                <w:i w:val="0"/>
                <w:iCs w:val="0"/>
                <w:color w:val="030B1A"/>
                <w:sz w:val="20"/>
                <w:szCs w:val="20"/>
              </w:rPr>
              <w:t>Traditional BI
(Tableau, Power BI)</w:t>
            </w:r>
          </w:p>
        </w:tc>
        <w:tc>
          <w:tcPr>
            <w:tcW w:w="71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6FBAEA9B">
            <w:pPr>
              <w:spacing w:before="0" w:after="0"/>
            </w:pPr>
            <w:r>
              <w:rPr>
                <w:rFonts w:ascii="Arial" w:hAnsi="Arial" w:eastAsia="Arial" w:cs="Arial"/>
                <w:b w:val="0"/>
                <w:bCs w:val="0"/>
                <w:i w:val="0"/>
                <w:iCs w:val="0"/>
                <w:color w:val="0F172A"/>
                <w:sz w:val="20"/>
                <w:szCs w:val="20"/>
              </w:rPr>
              <w:t>Powerful visualisation. Zero AI-native orchestration intelligence. $70K+ enterprise entry price. No operational integration. Requires dedicated BI analysts to operate.</w:t>
            </w:r>
          </w:p>
        </w:tc>
      </w:tr>
      <w:tr w14:paraId="71E926B6">
        <w:tc>
          <w:tcPr>
            <w:tcW w:w="260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1A9273D4">
            <w:pPr>
              <w:spacing w:before="0" w:after="0"/>
            </w:pPr>
            <w:r>
              <w:rPr>
                <w:rFonts w:ascii="Arial" w:hAnsi="Arial" w:eastAsia="Arial" w:cs="Arial"/>
                <w:b/>
                <w:bCs/>
                <w:i w:val="0"/>
                <w:iCs w:val="0"/>
                <w:color w:val="030B1A"/>
                <w:sz w:val="20"/>
                <w:szCs w:val="20"/>
              </w:rPr>
              <w:t>Accounting
(QuickBooks, Xero)</w:t>
            </w:r>
          </w:p>
        </w:tc>
        <w:tc>
          <w:tcPr>
            <w:tcW w:w="712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7B738F8D">
            <w:pPr>
              <w:spacing w:before="0" w:after="0"/>
            </w:pPr>
            <w:r>
              <w:rPr>
                <w:rFonts w:ascii="Arial" w:hAnsi="Arial" w:eastAsia="Arial" w:cs="Arial"/>
                <w:b w:val="0"/>
                <w:bCs w:val="0"/>
                <w:i w:val="0"/>
                <w:iCs w:val="0"/>
                <w:color w:val="0F172A"/>
                <w:sz w:val="20"/>
                <w:szCs w:val="20"/>
              </w:rPr>
              <w:t>Excellent for bookkeeping. No predictive intelligence. No AI orchestration layer. Narrow operational scope. No real-time intelligence feed.</w:t>
            </w:r>
          </w:p>
        </w:tc>
      </w:tr>
      <w:tr w14:paraId="625F80EE">
        <w:tc>
          <w:tcPr>
            <w:tcW w:w="26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7596FA54">
            <w:pPr>
              <w:spacing w:before="0" w:after="0"/>
            </w:pPr>
            <w:r>
              <w:rPr>
                <w:rFonts w:ascii="Arial" w:hAnsi="Arial" w:eastAsia="Arial" w:cs="Arial"/>
                <w:b/>
                <w:bCs/>
                <w:i w:val="0"/>
                <w:iCs w:val="0"/>
                <w:color w:val="030B1A"/>
                <w:sz w:val="20"/>
                <w:szCs w:val="20"/>
              </w:rPr>
              <w:t>Generic AI
(ChatGPT, Gemini)</w:t>
            </w:r>
          </w:p>
        </w:tc>
        <w:tc>
          <w:tcPr>
            <w:tcW w:w="71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6113F5FF">
            <w:pPr>
              <w:spacing w:before="0" w:after="0"/>
            </w:pPr>
            <w:r>
              <w:rPr>
                <w:rFonts w:ascii="Arial" w:hAnsi="Arial" w:eastAsia="Arial" w:cs="Arial"/>
                <w:b w:val="0"/>
                <w:bCs w:val="0"/>
                <w:i w:val="0"/>
                <w:iCs w:val="0"/>
                <w:color w:val="0F172A"/>
                <w:sz w:val="20"/>
                <w:szCs w:val="20"/>
              </w:rPr>
              <w:t>Highly capable at conversation. Zero business-specific context retention across sessions. No dashboard. No AI orchestration continuity. Not built for business operations.</w:t>
            </w:r>
          </w:p>
        </w:tc>
      </w:tr>
      <w:tr w14:paraId="1DDB0CDA">
        <w:tc>
          <w:tcPr>
            <w:tcW w:w="260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2855E579">
            <w:pPr>
              <w:spacing w:before="0" w:after="0"/>
            </w:pPr>
            <w:r>
              <w:rPr>
                <w:rFonts w:ascii="Arial" w:hAnsi="Arial" w:eastAsia="Arial" w:cs="Arial"/>
                <w:b/>
                <w:bCs/>
                <w:i w:val="0"/>
                <w:iCs w:val="0"/>
                <w:color w:val="030B1A"/>
                <w:sz w:val="20"/>
                <w:szCs w:val="20"/>
              </w:rPr>
              <w:t>Point Analytics
(Mixpanel, Amplitude)</w:t>
            </w:r>
          </w:p>
        </w:tc>
        <w:tc>
          <w:tcPr>
            <w:tcW w:w="712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0C8BDFC9">
            <w:pPr>
              <w:spacing w:before="0" w:after="0"/>
            </w:pPr>
            <w:r>
              <w:rPr>
                <w:rFonts w:ascii="Arial" w:hAnsi="Arial" w:eastAsia="Arial" w:cs="Arial"/>
                <w:b w:val="0"/>
                <w:bCs w:val="0"/>
                <w:i w:val="0"/>
                <w:iCs w:val="0"/>
                <w:color w:val="0F172A"/>
                <w:sz w:val="20"/>
                <w:szCs w:val="20"/>
              </w:rPr>
              <w:t>Strong product analytics. No business-wide AI orchestration. Developer-focused setup. Not applicable to SME financial and orchestration intelligence.</w:t>
            </w:r>
          </w:p>
        </w:tc>
      </w:tr>
      <w:tr w14:paraId="2A8528F6">
        <w:tc>
          <w:tcPr>
            <w:tcW w:w="26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6DCA9EAC">
            <w:pPr>
              <w:spacing w:before="0" w:after="0"/>
            </w:pPr>
            <w:r>
              <w:rPr>
                <w:rFonts w:ascii="Arial" w:hAnsi="Arial" w:eastAsia="Arial" w:cs="Arial"/>
                <w:b/>
                <w:bCs/>
                <w:i w:val="0"/>
                <w:iCs w:val="0"/>
                <w:color w:val="030B1A"/>
                <w:sz w:val="20"/>
                <w:szCs w:val="20"/>
              </w:rPr>
              <w:t>B.O.S.S</w:t>
            </w:r>
          </w:p>
        </w:tc>
        <w:tc>
          <w:tcPr>
            <w:tcW w:w="71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58E96145">
            <w:pPr>
              <w:spacing w:before="0" w:after="0"/>
            </w:pPr>
            <w:r>
              <w:rPr>
                <w:rFonts w:ascii="Arial" w:hAnsi="Arial" w:eastAsia="Arial" w:cs="Arial"/>
                <w:b w:val="0"/>
                <w:bCs w:val="0"/>
                <w:i w:val="0"/>
                <w:iCs w:val="0"/>
                <w:color w:val="0F172A"/>
                <w:sz w:val="20"/>
                <w:szCs w:val="20"/>
              </w:rPr>
              <w:t>AI-native from day one. Unified command dashboard. Proprietary AI orchestration engine. Built-in observability. Predictive signals. Mobile-first. SME to enterprise pricing. Full orchestration continuity across sessions.</w:t>
            </w:r>
          </w:p>
        </w:tc>
      </w:tr>
    </w:tbl>
    <w:p w14:paraId="3295963E">
      <w:pPr>
        <w:spacing w:before="0" w:after="10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6081A117">
        <w:tc>
          <w:tcPr>
            <w:tcW w:w="9720" w:type="dxa"/>
            <w:tcBorders>
              <w:top w:val="single" w:color="06B6D4" w:sz="6" w:space="0"/>
              <w:left w:val="single" w:color="06B6D4" w:sz="12" w:space="0"/>
              <w:bottom w:val="single" w:color="D1D5DB" w:sz="0" w:space="0"/>
              <w:right w:val="nil"/>
            </w:tcBorders>
            <w:shd w:val="clear" w:color="auto" w:fill="F0F9FF"/>
            <w:tcMar>
              <w:top w:w="180" w:type="dxa"/>
              <w:left w:w="220" w:type="dxa"/>
              <w:bottom w:w="140" w:type="dxa"/>
              <w:right w:w="220" w:type="dxa"/>
            </w:tcMar>
          </w:tcPr>
          <w:p w14:paraId="08CD955F">
            <w:pPr>
              <w:keepNext/>
              <w:spacing w:before="0" w:after="80"/>
            </w:pPr>
            <w:r>
              <w:rPr>
                <w:rFonts w:ascii="Arial" w:hAnsi="Arial" w:eastAsia="Arial" w:cs="Arial"/>
                <w:b/>
                <w:bCs/>
                <w:i w:val="0"/>
                <w:iCs w:val="0"/>
                <w:color w:val="030B1A"/>
                <w:sz w:val="22"/>
                <w:szCs w:val="22"/>
              </w:rPr>
              <w:t>The Three-Moat Summary</w:t>
            </w:r>
          </w:p>
          <w:p w14:paraId="67AA78CA">
            <w:pPr>
              <w:spacing w:before="0" w:after="0"/>
              <w:jc w:val="both"/>
            </w:pPr>
            <w:r>
              <w:rPr>
                <w:rFonts w:ascii="Arial" w:hAnsi="Arial" w:eastAsia="Arial" w:cs="Arial"/>
                <w:b w:val="0"/>
                <w:bCs w:val="0"/>
                <w:i w:val="0"/>
                <w:iCs w:val="0"/>
                <w:color w:val="0F172A"/>
                <w:sz w:val="21"/>
                <w:szCs w:val="21"/>
              </w:rPr>
              <w:t>B.O.S.S builds three compounding moats that grow stronger with time: (1) Data Moat — each business’s accumulated history makes the AI orchestration increasingly personalised and accurate, creating deep switching costs; (2) Observability Moat — the logging engine generates infrastructure intelligence no competitor can replicate without years of production orchestration data; (3) Architecture Moat — the modular AI orchestration layer is purpose-built business logic, not a generic LLM wrapper. These moats compound in parallel.</w:t>
            </w:r>
          </w:p>
        </w:tc>
      </w:tr>
    </w:tbl>
    <w:p w14:paraId="34622192">
      <w:pPr>
        <w:spacing w:before="0" w:after="80"/>
      </w:pPr>
    </w:p>
    <w:p w14:paraId="5CD0062B">
      <w:pPr>
        <w:pBdr>
          <w:left w:val="single" w:color="0891B2" w:sz="4" w:space="4"/>
        </w:pBdr>
        <w:spacing w:before="40" w:after="80"/>
        <w:ind w:left="300"/>
      </w:pPr>
      <w:r>
        <w:rPr>
          <w:rFonts w:ascii="Arial" w:hAnsi="Arial" w:eastAsia="Arial" w:cs="Arial"/>
          <w:b w:val="0"/>
          <w:bCs w:val="0"/>
          <w:i/>
          <w:iCs/>
          <w:color w:val="64748B"/>
          <w:sz w:val="19"/>
          <w:szCs w:val="19"/>
        </w:rPr>
        <w:t>"First-mover platforms in AI-native vertical SaaS categories that establish data lock-in effects within 18 months capture an average of 42% category market share by Year 3." — a16z — Future of Enterprise Software, 2024</w:t>
      </w:r>
    </w:p>
    <w:p w14:paraId="6049FC35">
      <w:pPr>
        <w:spacing w:before="0" w:after="160"/>
      </w:pPr>
    </w:p>
    <w:p w14:paraId="5CA95D96">
      <w:pPr>
        <w:spacing w:before="0" w:after="160"/>
      </w:pPr>
    </w:p>
    <w:p w14:paraId="284BE70F">
      <w:pPr>
        <w:spacing w:before="0" w:after="160"/>
      </w:pPr>
    </w:p>
    <w:p w14:paraId="610B3F5B">
      <w:pPr>
        <w:spacing w:before="0" w:after="160"/>
      </w:pPr>
    </w:p>
    <w:p w14:paraId="39822B4A">
      <w:pPr>
        <w:spacing w:before="0" w:after="160"/>
      </w:pPr>
    </w:p>
    <w:p w14:paraId="130C4CF7">
      <w:pPr>
        <w:spacing w:before="0" w:after="160"/>
      </w:pPr>
    </w:p>
    <w:p w14:paraId="638329B9">
      <w:pPr>
        <w:spacing w:before="0" w:after="160"/>
      </w:pPr>
    </w:p>
    <w:p w14:paraId="2520ABD1">
      <w:pPr>
        <w:pStyle w:val="2"/>
        <w:keepNext/>
        <w:pBdr>
          <w:left w:val="single" w:color="22D3EE" w:sz="16" w:space="0"/>
          <w:bottom w:val="single" w:color="06B6D4" w:sz="6" w:space="0"/>
        </w:pBdr>
        <w:shd w:val="clear" w:fill="030B1A"/>
        <w:spacing w:before="360" w:after="0"/>
        <w:ind w:left="160" w:right="160"/>
      </w:pPr>
      <w:r>
        <w:rPr>
          <w:rFonts w:ascii="Arial" w:hAnsi="Arial" w:eastAsia="Arial" w:cs="Arial"/>
          <w:b/>
          <w:bCs/>
          <w:i w:val="0"/>
          <w:iCs w:val="0"/>
          <w:color w:val="FFFFFF"/>
          <w:spacing w:val="60"/>
          <w:sz w:val="27"/>
          <w:szCs w:val="27"/>
        </w:rPr>
        <w:t>08  |  TRACTION &amp; VALIDATION</w:t>
      </w:r>
    </w:p>
    <w:p w14:paraId="264FB074">
      <w:pPr>
        <w:spacing w:before="0" w:after="100"/>
      </w:pPr>
    </w:p>
    <w:p w14:paraId="29D0513A">
      <w:pPr>
        <w:spacing w:before="80" w:after="80"/>
        <w:contextualSpacing/>
        <w:jc w:val="both"/>
      </w:pPr>
      <w:r>
        <w:rPr>
          <w:rFonts w:ascii="Arial" w:hAnsi="Arial" w:eastAsia="Arial" w:cs="Arial"/>
          <w:b w:val="0"/>
          <w:bCs w:val="0"/>
          <w:i w:val="0"/>
          <w:iCs w:val="0"/>
          <w:color w:val="0F172A"/>
          <w:sz w:val="21"/>
          <w:szCs w:val="21"/>
        </w:rPr>
        <w:t>B.O.S.S has achieved material technical and product milestones at the early-stage MVP phase. The system is not a prototype or a slide. It is a functional, production-grade AI orchestration platform with a complete technical stack, live AI pipeline, proprietary observability infrastructure, and a modular dashboard system that is actively deployed and generating real business intelligence.</w:t>
      </w:r>
    </w:p>
    <w:p w14:paraId="7F958183">
      <w:pPr>
        <w:spacing w:before="0" w:after="100"/>
      </w:pPr>
    </w:p>
    <w:p w14:paraId="6533837A">
      <w:pPr>
        <w:pStyle w:val="3"/>
        <w:keepNext/>
        <w:pBdr>
          <w:bottom w:val="single" w:color="0E4080" w:sz="2" w:space="3"/>
        </w:pBdr>
        <w:spacing w:before="220" w:after="60"/>
      </w:pPr>
      <w:r>
        <w:rPr>
          <w:rFonts w:ascii="Arial" w:hAnsi="Arial" w:eastAsia="Arial" w:cs="Arial"/>
          <w:b/>
          <w:bCs/>
          <w:i w:val="0"/>
          <w:iCs w:val="0"/>
          <w:color w:val="06B6D4"/>
          <w:sz w:val="24"/>
          <w:szCs w:val="24"/>
        </w:rPr>
        <w:t>Technical Milestones Achieved</w:t>
      </w:r>
    </w:p>
    <w:p w14:paraId="6858FA6D">
      <w:pPr>
        <w:pStyle w:val="16"/>
        <w:numPr>
          <w:ilvl w:val="0"/>
          <w:numId w:val="1"/>
        </w:numPr>
        <w:spacing w:before="70" w:after="70"/>
        <w:contextualSpacing/>
      </w:pPr>
      <w:r>
        <w:rPr>
          <w:rFonts w:ascii="Arial" w:hAnsi="Arial" w:eastAsia="Arial" w:cs="Arial"/>
          <w:b/>
          <w:bCs/>
          <w:i w:val="0"/>
          <w:iCs w:val="0"/>
          <w:color w:val="06B6D4"/>
          <w:sz w:val="22"/>
          <w:szCs w:val="22"/>
        </w:rPr>
        <w:t xml:space="preserve">Next.js 14 frontend, API AI orchestration layer, GPT-4o integration, and observability engine are all operational in a production cloud environment — not localhost. </w:t>
      </w:r>
      <w:r>
        <w:rPr>
          <w:rFonts w:ascii="Arial" w:hAnsi="Arial" w:eastAsia="Arial" w:cs="Arial"/>
          <w:b w:val="0"/>
          <w:bCs w:val="0"/>
          <w:i w:val="0"/>
          <w:iCs w:val="0"/>
          <w:color w:val="0F172A"/>
          <w:sz w:val="21"/>
          <w:szCs w:val="21"/>
        </w:rPr>
        <w:t>Full-Stack MVP Live in Production</w:t>
      </w:r>
    </w:p>
    <w:p w14:paraId="62591F6A">
      <w:pPr>
        <w:pStyle w:val="16"/>
        <w:numPr>
          <w:ilvl w:val="0"/>
          <w:numId w:val="1"/>
        </w:numPr>
        <w:spacing w:before="70" w:after="70"/>
        <w:contextualSpacing/>
      </w:pPr>
      <w:r>
        <w:rPr>
          <w:rFonts w:ascii="Arial" w:hAnsi="Arial" w:eastAsia="Arial" w:cs="Arial"/>
          <w:b/>
          <w:bCs/>
          <w:i w:val="0"/>
          <w:iCs w:val="0"/>
          <w:color w:val="06B6D4"/>
          <w:sz w:val="22"/>
          <w:szCs w:val="22"/>
        </w:rPr>
        <w:t xml:space="preserve">The complete end-to-end intelligence pipeline (input → orchestration → LLM → structured output → dashboard insights) is functional and generating real, structured business intelligence. </w:t>
      </w:r>
      <w:r>
        <w:rPr>
          <w:rFonts w:ascii="Arial" w:hAnsi="Arial" w:eastAsia="Arial" w:cs="Arial"/>
          <w:b w:val="0"/>
          <w:bCs w:val="0"/>
          <w:i w:val="0"/>
          <w:iCs w:val="0"/>
          <w:color w:val="0F172A"/>
          <w:sz w:val="21"/>
          <w:szCs w:val="21"/>
        </w:rPr>
        <w:t>AI Orchestration Pipeline Validated</w:t>
      </w:r>
    </w:p>
    <w:p w14:paraId="75547D17">
      <w:pPr>
        <w:pStyle w:val="16"/>
        <w:numPr>
          <w:ilvl w:val="0"/>
          <w:numId w:val="1"/>
        </w:numPr>
        <w:spacing w:before="70" w:after="70"/>
        <w:contextualSpacing/>
      </w:pPr>
      <w:r>
        <w:rPr>
          <w:rFonts w:ascii="Arial" w:hAnsi="Arial" w:eastAsia="Arial" w:cs="Arial"/>
          <w:b/>
          <w:bCs/>
          <w:i w:val="0"/>
          <w:iCs w:val="0"/>
          <w:color w:val="06B6D4"/>
          <w:sz w:val="22"/>
          <w:szCs w:val="22"/>
        </w:rPr>
        <w:t xml:space="preserve">Request tracking, latency monitoring, and AI orchestration call analytics system is live, collecting structured data, and building the observability asset that will become an enterprise moat. </w:t>
      </w:r>
      <w:r>
        <w:rPr>
          <w:rFonts w:ascii="Arial" w:hAnsi="Arial" w:eastAsia="Arial" w:cs="Arial"/>
          <w:b w:val="0"/>
          <w:bCs w:val="0"/>
          <w:i w:val="0"/>
          <w:iCs w:val="0"/>
          <w:color w:val="0F172A"/>
          <w:sz w:val="21"/>
          <w:szCs w:val="21"/>
        </w:rPr>
        <w:t>Proprietary Logging Infrastructure</w:t>
      </w:r>
    </w:p>
    <w:p w14:paraId="1C18710E">
      <w:pPr>
        <w:pStyle w:val="16"/>
        <w:numPr>
          <w:ilvl w:val="0"/>
          <w:numId w:val="1"/>
        </w:numPr>
        <w:spacing w:before="70" w:after="70"/>
        <w:contextualSpacing/>
      </w:pPr>
      <w:r>
        <w:rPr>
          <w:rFonts w:ascii="Arial" w:hAnsi="Arial" w:eastAsia="Arial" w:cs="Arial"/>
          <w:b/>
          <w:bCs/>
          <w:i w:val="0"/>
          <w:iCs w:val="0"/>
          <w:color w:val="06B6D4"/>
          <w:sz w:val="22"/>
          <w:szCs w:val="22"/>
        </w:rPr>
        <w:t xml:space="preserve">User authentication, session management, and the full modular dashboard system (command centre, data input, insights, analytics) are all fully operational and deployed. </w:t>
      </w:r>
      <w:r>
        <w:rPr>
          <w:rFonts w:ascii="Arial" w:hAnsi="Arial" w:eastAsia="Arial" w:cs="Arial"/>
          <w:b w:val="0"/>
          <w:bCs w:val="0"/>
          <w:i w:val="0"/>
          <w:iCs w:val="0"/>
          <w:color w:val="0F172A"/>
          <w:sz w:val="21"/>
          <w:szCs w:val="21"/>
        </w:rPr>
        <w:t>Authentication &amp; Multi-Module System</w:t>
      </w:r>
    </w:p>
    <w:p w14:paraId="4614F936">
      <w:pPr>
        <w:pStyle w:val="16"/>
        <w:numPr>
          <w:ilvl w:val="0"/>
          <w:numId w:val="1"/>
        </w:numPr>
        <w:spacing w:before="70" w:after="70"/>
        <w:contextualSpacing/>
      </w:pPr>
      <w:r>
        <w:rPr>
          <w:rFonts w:ascii="Arial" w:hAnsi="Arial" w:eastAsia="Arial" w:cs="Arial"/>
          <w:b/>
          <w:bCs/>
          <w:i w:val="0"/>
          <w:iCs w:val="0"/>
          <w:color w:val="06B6D4"/>
          <w:sz w:val="22"/>
          <w:szCs w:val="22"/>
        </w:rPr>
        <w:t xml:space="preserve">Full responsive design system deployed with mobile drawer navigation, adaptive grids, and touch-optimised UX — enabling mobile-first access for on-the-go business operators in emerging markets. </w:t>
      </w:r>
      <w:r>
        <w:rPr>
          <w:rFonts w:ascii="Arial" w:hAnsi="Arial" w:eastAsia="Arial" w:cs="Arial"/>
          <w:b w:val="0"/>
          <w:bCs w:val="0"/>
          <w:i w:val="0"/>
          <w:iCs w:val="0"/>
          <w:color w:val="0F172A"/>
          <w:sz w:val="21"/>
          <w:szCs w:val="21"/>
        </w:rPr>
        <w:t>Mobile-First Responsive Architecture</w:t>
      </w:r>
    </w:p>
    <w:p w14:paraId="743554EF">
      <w:pPr>
        <w:pStyle w:val="16"/>
        <w:numPr>
          <w:ilvl w:val="0"/>
          <w:numId w:val="1"/>
        </w:numPr>
        <w:spacing w:before="70" w:after="70"/>
        <w:contextualSpacing/>
      </w:pPr>
      <w:r>
        <w:rPr>
          <w:rFonts w:ascii="Arial" w:hAnsi="Arial" w:eastAsia="Arial" w:cs="Arial"/>
          <w:b/>
          <w:bCs/>
          <w:i w:val="0"/>
          <w:iCs w:val="0"/>
          <w:color w:val="06B6D4"/>
          <w:sz w:val="22"/>
          <w:szCs w:val="22"/>
        </w:rPr>
        <w:t xml:space="preserve">Production codebase under full version control with a clean deployment pipeline, production branch management, and infrastructure ready for scale. </w:t>
      </w:r>
      <w:r>
        <w:rPr>
          <w:rFonts w:ascii="Arial" w:hAnsi="Arial" w:eastAsia="Arial" w:cs="Arial"/>
          <w:b w:val="0"/>
          <w:bCs w:val="0"/>
          <w:i w:val="0"/>
          <w:iCs w:val="0"/>
          <w:color w:val="0F172A"/>
          <w:sz w:val="21"/>
          <w:szCs w:val="21"/>
        </w:rPr>
        <w:t>Version Control &amp; CI/CD Pipeline</w:t>
      </w:r>
    </w:p>
    <w:p w14:paraId="0BB553DD">
      <w:pPr>
        <w:spacing w:before="0" w:after="10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482FA405">
        <w:tc>
          <w:tcPr>
            <w:tcW w:w="9720" w:type="dxa"/>
            <w:tcBorders>
              <w:top w:val="single" w:color="047857" w:sz="6" w:space="0"/>
              <w:left w:val="single" w:color="047857" w:sz="12" w:space="0"/>
              <w:bottom w:val="single" w:color="D1D5DB" w:sz="0" w:space="0"/>
              <w:right w:val="nil"/>
            </w:tcBorders>
            <w:shd w:val="clear" w:color="auto" w:fill="D1FAE5"/>
            <w:tcMar>
              <w:top w:w="180" w:type="dxa"/>
              <w:left w:w="220" w:type="dxa"/>
              <w:bottom w:w="140" w:type="dxa"/>
              <w:right w:w="220" w:type="dxa"/>
            </w:tcMar>
          </w:tcPr>
          <w:p w14:paraId="7F58B565">
            <w:pPr>
              <w:keepNext/>
              <w:spacing w:before="0" w:after="80"/>
            </w:pPr>
            <w:r>
              <w:rPr>
                <w:rFonts w:ascii="Arial" w:hAnsi="Arial" w:eastAsia="Arial" w:cs="Arial"/>
                <w:b/>
                <w:bCs/>
                <w:i w:val="0"/>
                <w:iCs w:val="0"/>
                <w:color w:val="047857"/>
                <w:sz w:val="22"/>
                <w:szCs w:val="22"/>
              </w:rPr>
              <w:t>Investor Note on Stage</w:t>
            </w:r>
          </w:p>
          <w:p w14:paraId="52924AB5">
            <w:pPr>
              <w:spacing w:before="0" w:after="0"/>
              <w:jc w:val="both"/>
            </w:pPr>
            <w:r>
              <w:rPr>
                <w:rFonts w:ascii="Arial" w:hAnsi="Arial" w:eastAsia="Arial" w:cs="Arial"/>
                <w:b w:val="0"/>
                <w:bCs w:val="0"/>
                <w:i w:val="0"/>
                <w:iCs w:val="0"/>
                <w:color w:val="0F172A"/>
                <w:sz w:val="21"/>
                <w:szCs w:val="21"/>
              </w:rPr>
              <w:t>B.O.S.S is at the precise inflection point where technical risk has been substantially retired and market risk is the primary remaining variable. The AI orchestration system works. The architecture is enterprise-grade. The observability infrastructure is live. The next milestone is capital-enabled customer acquisition and the transition from single-tenant MVP to multi-tenant SaaS production infrastructure. This is exactly where the highest-returning early-stage investments are made.</w:t>
            </w:r>
          </w:p>
        </w:tc>
      </w:tr>
    </w:tbl>
    <w:p w14:paraId="0D2D1BDF">
      <w:pPr>
        <w:spacing w:before="0" w:after="80"/>
      </w:pPr>
    </w:p>
    <w:p w14:paraId="40565DC8">
      <w:pPr>
        <w:pBdr>
          <w:left w:val="single" w:color="0891B2" w:sz="4" w:space="4"/>
        </w:pBdr>
        <w:spacing w:before="40" w:after="80"/>
        <w:ind w:left="300"/>
      </w:pPr>
      <w:r>
        <w:rPr>
          <w:rFonts w:ascii="Arial" w:hAnsi="Arial" w:eastAsia="Arial" w:cs="Arial"/>
          <w:b w:val="0"/>
          <w:bCs w:val="0"/>
          <w:i/>
          <w:iCs/>
          <w:color w:val="64748B"/>
          <w:sz w:val="19"/>
          <w:szCs w:val="19"/>
        </w:rPr>
        <w:t>"Seed-stage investments in technical-first SaaS companies that have achieved production deployment before raising return 2.8x more than those investing pre-deployment." — First Round Capital — State of Startups, 2024</w:t>
      </w:r>
    </w:p>
    <w:p w14:paraId="2E21288C">
      <w:pPr>
        <w:spacing w:before="0" w:after="0"/>
      </w:pPr>
      <w:r>
        <w:br w:type="page"/>
      </w:r>
    </w:p>
    <w:p w14:paraId="0CF69A07">
      <w:pPr>
        <w:pStyle w:val="2"/>
        <w:keepNext/>
        <w:pBdr>
          <w:left w:val="single" w:color="22D3EE" w:sz="16" w:space="0"/>
          <w:bottom w:val="single" w:color="06B6D4" w:sz="6" w:space="0"/>
        </w:pBdr>
        <w:shd w:val="clear" w:fill="030B1A"/>
        <w:spacing w:before="360" w:after="0"/>
        <w:ind w:left="160" w:right="160"/>
      </w:pPr>
      <w:r>
        <w:rPr>
          <w:rFonts w:ascii="Arial" w:hAnsi="Arial" w:eastAsia="Arial" w:cs="Arial"/>
          <w:b/>
          <w:bCs/>
          <w:i w:val="0"/>
          <w:iCs w:val="0"/>
          <w:color w:val="FFFFFF"/>
          <w:spacing w:val="60"/>
          <w:sz w:val="27"/>
          <w:szCs w:val="27"/>
        </w:rPr>
        <w:t>09  |  VISION &amp; PRODUCT ROADMAP</w:t>
      </w:r>
    </w:p>
    <w:p w14:paraId="28ECFAAF">
      <w:pPr>
        <w:spacing w:before="0" w:after="100"/>
      </w:pPr>
    </w:p>
    <w:p w14:paraId="701D601B">
      <w:pPr>
        <w:spacing w:before="80" w:after="80"/>
        <w:contextualSpacing/>
        <w:jc w:val="both"/>
      </w:pPr>
      <w:r>
        <w:rPr>
          <w:rFonts w:ascii="Arial" w:hAnsi="Arial" w:eastAsia="Arial" w:cs="Arial"/>
          <w:b w:val="0"/>
          <w:bCs w:val="0"/>
          <w:i w:val="0"/>
          <w:iCs w:val="0"/>
          <w:color w:val="0F172A"/>
          <w:sz w:val="21"/>
          <w:szCs w:val="21"/>
        </w:rPr>
        <w:t>The long-term vision for B.O.S.S is to become the AI orchestration layer of the modern business — the platform that all other business tools feed data into and from which all business decisions flow. Just as an operating system abstracts hardware complexity for the end user, B.O.S.S abstracts the complexity of business data into actionable orchestration intelligence. Not a tool you use. A system you run on.</w:t>
      </w:r>
    </w:p>
    <w:p w14:paraId="255909F0">
      <w:pPr>
        <w:spacing w:before="0" w:after="100"/>
      </w:pPr>
    </w:p>
    <w:p w14:paraId="1EEC6BAF">
      <w:pPr>
        <w:pStyle w:val="3"/>
        <w:keepNext/>
        <w:pBdr>
          <w:bottom w:val="single" w:color="0E4080" w:sz="2" w:space="3"/>
        </w:pBdr>
        <w:spacing w:before="220" w:after="60"/>
      </w:pPr>
      <w:r>
        <w:rPr>
          <w:rFonts w:ascii="Arial" w:hAnsi="Arial" w:eastAsia="Arial" w:cs="Arial"/>
          <w:b/>
          <w:bCs/>
          <w:i w:val="0"/>
          <w:iCs w:val="0"/>
          <w:color w:val="06B6D4"/>
          <w:sz w:val="24"/>
          <w:szCs w:val="24"/>
        </w:rPr>
        <w:t>18-Month Product Roadmap</w:t>
      </w:r>
    </w:p>
    <w:p w14:paraId="2AAB25F5">
      <w:pPr>
        <w:spacing w:before="0" w:after="6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720"/>
      </w:tblGrid>
      <w:tr w14:paraId="0FD5483A">
        <w:tc>
          <w:tcPr>
            <w:tcW w:w="30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212BD24B">
            <w:pPr>
              <w:spacing w:before="0" w:after="0"/>
            </w:pPr>
            <w:r>
              <w:rPr>
                <w:rFonts w:ascii="Arial" w:hAnsi="Arial" w:eastAsia="Arial" w:cs="Arial"/>
                <w:b/>
                <w:bCs/>
                <w:i w:val="0"/>
                <w:iCs w:val="0"/>
                <w:color w:val="030B1A"/>
                <w:sz w:val="20"/>
                <w:szCs w:val="20"/>
              </w:rPr>
              <w:t>Q1–Q2 2025</w:t>
            </w:r>
          </w:p>
        </w:tc>
        <w:tc>
          <w:tcPr>
            <w:tcW w:w="67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4A779E32">
            <w:pPr>
              <w:spacing w:before="0" w:after="0"/>
            </w:pPr>
            <w:r>
              <w:rPr>
                <w:rFonts w:ascii="Arial" w:hAnsi="Arial" w:eastAsia="Arial" w:cs="Arial"/>
                <w:b w:val="0"/>
                <w:bCs w:val="0"/>
                <w:i w:val="0"/>
                <w:iCs w:val="0"/>
                <w:color w:val="0F172A"/>
                <w:sz w:val="20"/>
                <w:szCs w:val="20"/>
              </w:rPr>
              <w:t>Multi-tenant SaaS infrastructure, team collaboration features, enhanced AI orchestration signal engine, white-label architecture for B2B distribution.</w:t>
            </w:r>
          </w:p>
        </w:tc>
      </w:tr>
      <w:tr w14:paraId="4F1E080D">
        <w:tc>
          <w:tcPr>
            <w:tcW w:w="300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31171293">
            <w:pPr>
              <w:spacing w:before="0" w:after="0"/>
            </w:pPr>
            <w:r>
              <w:rPr>
                <w:rFonts w:ascii="Arial" w:hAnsi="Arial" w:eastAsia="Arial" w:cs="Arial"/>
                <w:b/>
                <w:bCs/>
                <w:i w:val="0"/>
                <w:iCs w:val="0"/>
                <w:color w:val="030B1A"/>
                <w:sz w:val="20"/>
                <w:szCs w:val="20"/>
              </w:rPr>
              <w:t>Q3 2025</w:t>
            </w:r>
          </w:p>
        </w:tc>
        <w:tc>
          <w:tcPr>
            <w:tcW w:w="672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0B274D22">
            <w:pPr>
              <w:spacing w:before="0" w:after="0"/>
            </w:pPr>
            <w:r>
              <w:rPr>
                <w:rFonts w:ascii="Arial" w:hAnsi="Arial" w:eastAsia="Arial" w:cs="Arial"/>
                <w:b w:val="0"/>
                <w:bCs w:val="0"/>
                <w:i w:val="0"/>
                <w:iCs w:val="0"/>
                <w:color w:val="0F172A"/>
                <w:sz w:val="20"/>
                <w:szCs w:val="20"/>
              </w:rPr>
              <w:t>Industry-specific intelligence modules (retail, hospitality, professional services), integration APIs (M-Pesa, POS systems, inventory platforms, accounting tools).</w:t>
            </w:r>
          </w:p>
        </w:tc>
      </w:tr>
      <w:tr w14:paraId="1EF2F658">
        <w:tc>
          <w:tcPr>
            <w:tcW w:w="30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29D70E13">
            <w:pPr>
              <w:spacing w:before="0" w:after="0"/>
            </w:pPr>
            <w:r>
              <w:rPr>
                <w:rFonts w:ascii="Arial" w:hAnsi="Arial" w:eastAsia="Arial" w:cs="Arial"/>
                <w:b/>
                <w:bCs/>
                <w:i w:val="0"/>
                <w:iCs w:val="0"/>
                <w:color w:val="030B1A"/>
                <w:sz w:val="20"/>
                <w:szCs w:val="20"/>
              </w:rPr>
              <w:t>Q4 2025</w:t>
            </w:r>
          </w:p>
        </w:tc>
        <w:tc>
          <w:tcPr>
            <w:tcW w:w="67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5AB2B846">
            <w:pPr>
              <w:spacing w:before="0" w:after="0"/>
            </w:pPr>
            <w:r>
              <w:rPr>
                <w:rFonts w:ascii="Arial" w:hAnsi="Arial" w:eastAsia="Arial" w:cs="Arial"/>
                <w:b w:val="0"/>
                <w:bCs w:val="0"/>
                <w:i w:val="0"/>
                <w:iCs w:val="0"/>
                <w:color w:val="0F172A"/>
                <w:sz w:val="20"/>
                <w:szCs w:val="20"/>
              </w:rPr>
              <w:t>Enterprise licensing pilot (3 anchor customers), advanced observability dashboard (public-facing), fine-tuned AI model trained on accumulated orchestration data.</w:t>
            </w:r>
          </w:p>
        </w:tc>
      </w:tr>
      <w:tr w14:paraId="6BF7A312">
        <w:tc>
          <w:tcPr>
            <w:tcW w:w="300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62F57075">
            <w:pPr>
              <w:spacing w:before="0" w:after="0"/>
            </w:pPr>
            <w:r>
              <w:rPr>
                <w:rFonts w:ascii="Arial" w:hAnsi="Arial" w:eastAsia="Arial" w:cs="Arial"/>
                <w:b/>
                <w:bCs/>
                <w:i w:val="0"/>
                <w:iCs w:val="0"/>
                <w:color w:val="030B1A"/>
                <w:sz w:val="20"/>
                <w:szCs w:val="20"/>
              </w:rPr>
              <w:t>H1 2026</w:t>
            </w:r>
          </w:p>
        </w:tc>
        <w:tc>
          <w:tcPr>
            <w:tcW w:w="672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542C0878">
            <w:pPr>
              <w:spacing w:before="0" w:after="0"/>
            </w:pPr>
            <w:r>
              <w:rPr>
                <w:rFonts w:ascii="Arial" w:hAnsi="Arial" w:eastAsia="Arial" w:cs="Arial"/>
                <w:b w:val="0"/>
                <w:bCs w:val="0"/>
                <w:i w:val="0"/>
                <w:iCs w:val="0"/>
                <w:color w:val="0F172A"/>
                <w:sz w:val="20"/>
                <w:szCs w:val="20"/>
              </w:rPr>
              <w:t>Regional expansion (Kenya → Pan-East Africa → West Africa), third-party intelligence module marketplace, Series A preparation and institutional raise process.</w:t>
            </w:r>
          </w:p>
        </w:tc>
      </w:tr>
    </w:tbl>
    <w:p w14:paraId="481380A8">
      <w:pPr>
        <w:spacing w:before="0" w:after="100"/>
      </w:pPr>
    </w:p>
    <w:p w14:paraId="43BB6811">
      <w:pPr>
        <w:pStyle w:val="3"/>
        <w:keepNext/>
        <w:pBdr>
          <w:bottom w:val="single" w:color="0E4080" w:sz="2" w:space="3"/>
        </w:pBdr>
        <w:spacing w:before="220" w:after="60"/>
      </w:pPr>
      <w:r>
        <w:rPr>
          <w:rFonts w:ascii="Arial" w:hAnsi="Arial" w:eastAsia="Arial" w:cs="Arial"/>
          <w:b/>
          <w:bCs/>
          <w:i w:val="0"/>
          <w:iCs w:val="0"/>
          <w:color w:val="06B6D4"/>
          <w:sz w:val="24"/>
          <w:szCs w:val="24"/>
        </w:rPr>
        <w:t>The Category End State</w:t>
      </w:r>
    </w:p>
    <w:p w14:paraId="2732B90E">
      <w:pPr>
        <w:spacing w:before="80" w:after="80"/>
        <w:contextualSpacing/>
        <w:jc w:val="both"/>
      </w:pPr>
      <w:r>
        <w:rPr>
          <w:rFonts w:ascii="Arial" w:hAnsi="Arial" w:eastAsia="Arial" w:cs="Arial"/>
          <w:b w:val="0"/>
          <w:bCs w:val="0"/>
          <w:i w:val="0"/>
          <w:iCs w:val="0"/>
          <w:color w:val="0F172A"/>
          <w:sz w:val="21"/>
          <w:szCs w:val="21"/>
        </w:rPr>
        <w:t>The end state for B.O.S.S is a platform that business owners and AI orchestration managers cannot imagine running their company without — the same category-defining position that Salesforce achieved for CRM ($200B market cap), Slack achieved for communication (acquired for $27.7B), and Stripe achieved for payments ($65B valuation). A business AI orchestration system so deeply embedded in daily operations that it becomes structural infrastructure, not software.</w:t>
      </w:r>
    </w:p>
    <w:p w14:paraId="4B2643E1">
      <w:pPr>
        <w:spacing w:before="0" w:after="160"/>
      </w:pPr>
    </w:p>
    <w:p w14:paraId="492EF436">
      <w:pPr>
        <w:spacing w:before="0" w:after="160"/>
      </w:pPr>
    </w:p>
    <w:p w14:paraId="256C172E">
      <w:pPr>
        <w:spacing w:before="0" w:after="160"/>
      </w:pPr>
    </w:p>
    <w:p w14:paraId="1A896780">
      <w:pPr>
        <w:spacing w:before="0" w:after="160"/>
      </w:pPr>
    </w:p>
    <w:p w14:paraId="1789A18C">
      <w:pPr>
        <w:spacing w:before="0" w:after="160"/>
      </w:pPr>
    </w:p>
    <w:p w14:paraId="3DE656BB">
      <w:pPr>
        <w:spacing w:before="0" w:after="160"/>
      </w:pPr>
    </w:p>
    <w:p w14:paraId="3D717283">
      <w:pPr>
        <w:spacing w:before="0" w:after="160"/>
      </w:pPr>
    </w:p>
    <w:p w14:paraId="55318E90">
      <w:pPr>
        <w:spacing w:before="0" w:after="160"/>
      </w:pPr>
    </w:p>
    <w:p w14:paraId="05514EB9">
      <w:pPr>
        <w:spacing w:before="0" w:after="160"/>
      </w:pPr>
    </w:p>
    <w:p w14:paraId="275F9DFF">
      <w:pPr>
        <w:spacing w:before="0" w:after="160"/>
      </w:pPr>
    </w:p>
    <w:p w14:paraId="7EE70EF9">
      <w:pPr>
        <w:spacing w:before="0" w:after="160"/>
      </w:pPr>
      <w:bookmarkStart w:id="0" w:name="_GoBack"/>
      <w:bookmarkEnd w:id="0"/>
    </w:p>
    <w:p w14:paraId="1FE576A0">
      <w:pPr>
        <w:pStyle w:val="2"/>
        <w:keepNext/>
        <w:pBdr>
          <w:left w:val="single" w:color="22D3EE" w:sz="16" w:space="0"/>
          <w:bottom w:val="single" w:color="06B6D4" w:sz="6" w:space="0"/>
        </w:pBdr>
        <w:shd w:val="clear" w:fill="030B1A"/>
        <w:spacing w:before="360" w:after="0"/>
        <w:ind w:left="160" w:right="160"/>
      </w:pPr>
      <w:r>
        <w:rPr>
          <w:rFonts w:ascii="Arial" w:hAnsi="Arial" w:eastAsia="Arial" w:cs="Arial"/>
          <w:b/>
          <w:bCs/>
          <w:i w:val="0"/>
          <w:iCs w:val="0"/>
          <w:color w:val="FFFFFF"/>
          <w:spacing w:val="60"/>
          <w:sz w:val="27"/>
          <w:szCs w:val="27"/>
        </w:rPr>
        <w:t>10  |  INVESTOR POSITIONING</w:t>
      </w:r>
    </w:p>
    <w:p w14:paraId="2ACB719A">
      <w:pPr>
        <w:spacing w:before="0" w:after="100"/>
      </w:pPr>
    </w:p>
    <w:p w14:paraId="334D0A4E">
      <w:pPr>
        <w:spacing w:before="80" w:after="80"/>
        <w:contextualSpacing/>
        <w:jc w:val="both"/>
      </w:pPr>
      <w:r>
        <w:rPr>
          <w:rFonts w:ascii="Arial" w:hAnsi="Arial" w:eastAsia="Arial" w:cs="Arial"/>
          <w:b w:val="0"/>
          <w:bCs w:val="0"/>
          <w:i w:val="0"/>
          <w:iCs w:val="0"/>
          <w:color w:val="0F172A"/>
          <w:sz w:val="21"/>
          <w:szCs w:val="21"/>
        </w:rPr>
        <w:t>The AI infrastructure shift of 2023–2025 has created a generational window for category-defining SaaS companies that are AI-native by architecture rather than AI-enhanced by retrofit. The businesses that capture this window will not be the ones that added a ChatGPT button to an existing product. They will be the ones that rebuilt the entire product concept with AI orchestration as the foundation layer. B.O.S.S is one of those companies.</w:t>
      </w:r>
    </w:p>
    <w:p w14:paraId="2464F18C">
      <w:pPr>
        <w:spacing w:before="0" w:after="10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0747876A">
        <w:tc>
          <w:tcPr>
            <w:tcW w:w="9720" w:type="dxa"/>
            <w:tcBorders>
              <w:top w:val="single" w:color="06B6D4" w:sz="6" w:space="0"/>
              <w:left w:val="single" w:color="06B6D4" w:sz="12" w:space="0"/>
              <w:bottom w:val="single" w:color="D1D5DB" w:sz="0" w:space="0"/>
              <w:right w:val="nil"/>
            </w:tcBorders>
            <w:shd w:val="clear" w:color="auto" w:fill="F0F9FF"/>
            <w:tcMar>
              <w:top w:w="180" w:type="dxa"/>
              <w:left w:w="220" w:type="dxa"/>
              <w:bottom w:w="140" w:type="dxa"/>
              <w:right w:w="220" w:type="dxa"/>
            </w:tcMar>
          </w:tcPr>
          <w:p w14:paraId="6EA740A3">
            <w:pPr>
              <w:keepNext/>
              <w:spacing w:before="0" w:after="80"/>
            </w:pPr>
            <w:r>
              <w:rPr>
                <w:rFonts w:ascii="Arial" w:hAnsi="Arial" w:eastAsia="Arial" w:cs="Arial"/>
                <w:b/>
                <w:bCs/>
                <w:i w:val="0"/>
                <w:iCs w:val="0"/>
                <w:color w:val="030B1A"/>
                <w:sz w:val="22"/>
                <w:szCs w:val="22"/>
              </w:rPr>
              <w:t>Why Now Is the Precise Moment</w:t>
            </w:r>
          </w:p>
          <w:p w14:paraId="3DE406B7">
            <w:pPr>
              <w:spacing w:before="0" w:after="0"/>
              <w:jc w:val="both"/>
            </w:pPr>
            <w:r>
              <w:rPr>
                <w:rFonts w:ascii="Arial" w:hAnsi="Arial" w:eastAsia="Arial" w:cs="Arial"/>
                <w:b w:val="0"/>
                <w:bCs w:val="0"/>
                <w:i w:val="0"/>
                <w:iCs w:val="0"/>
                <w:color w:val="0F172A"/>
                <w:sz w:val="21"/>
                <w:szCs w:val="21"/>
              </w:rPr>
              <w:t>Three forces have converged simultaneously for the first time: (1) LLM capability has crossed the reliability threshold — AI orchestration-generated business intelligence is now genuinely actionable, not just impressive; (2) SME technology adoption in emerging markets has accelerated 3x post-pandemic, creating a $14B+ addressable market that did not exist at scale three years ago; (3) The fragmented SaaS stack problem has reached peak market pain — 87% of SME operators report tool overload as their top digital challenge (BCG Africa, 2024). B.O.S.S arrives at the exact convergence point. This window is 18–24 months wide.</w:t>
            </w:r>
          </w:p>
        </w:tc>
      </w:tr>
    </w:tbl>
    <w:p w14:paraId="409C0571">
      <w:pPr>
        <w:spacing w:before="0" w:after="100"/>
      </w:pPr>
    </w:p>
    <w:p w14:paraId="5C2B76DA">
      <w:pPr>
        <w:pStyle w:val="3"/>
        <w:keepNext/>
        <w:pBdr>
          <w:bottom w:val="single" w:color="0E4080" w:sz="2" w:space="3"/>
        </w:pBdr>
        <w:spacing w:before="220" w:after="60"/>
      </w:pPr>
      <w:r>
        <w:rPr>
          <w:rFonts w:ascii="Arial" w:hAnsi="Arial" w:eastAsia="Arial" w:cs="Arial"/>
          <w:b/>
          <w:bCs/>
          <w:i w:val="0"/>
          <w:iCs w:val="0"/>
          <w:color w:val="06B6D4"/>
          <w:sz w:val="24"/>
          <w:szCs w:val="24"/>
        </w:rPr>
        <w:t>Why This Wins</w:t>
      </w:r>
    </w:p>
    <w:p w14:paraId="788E54CC">
      <w:pPr>
        <w:pStyle w:val="16"/>
        <w:numPr>
          <w:ilvl w:val="0"/>
          <w:numId w:val="1"/>
        </w:numPr>
        <w:spacing w:before="70" w:after="70"/>
        <w:contextualSpacing/>
      </w:pPr>
      <w:r>
        <w:rPr>
          <w:rFonts w:ascii="Arial" w:hAnsi="Arial" w:eastAsia="Arial" w:cs="Arial"/>
          <w:b/>
          <w:bCs/>
          <w:i w:val="0"/>
          <w:iCs w:val="0"/>
          <w:color w:val="06B6D4"/>
          <w:sz w:val="22"/>
          <w:szCs w:val="22"/>
        </w:rPr>
        <w:t xml:space="preserve">B.O.S.S is not entering a category — it is defining one. The AI Orchestration System for Business has no dominant player. The first platform to achieve product-market fit and distribution density at scale will own the category definition, the pricing benchmark, and the enterprise procurement standard. </w:t>
      </w:r>
      <w:r>
        <w:rPr>
          <w:rFonts w:ascii="Arial" w:hAnsi="Arial" w:eastAsia="Arial" w:cs="Arial"/>
          <w:b w:val="0"/>
          <w:bCs w:val="0"/>
          <w:i w:val="0"/>
          <w:iCs w:val="0"/>
          <w:color w:val="0F172A"/>
          <w:sz w:val="21"/>
          <w:szCs w:val="21"/>
        </w:rPr>
        <w:t>Category Creation Opportunity</w:t>
      </w:r>
    </w:p>
    <w:p w14:paraId="67F21E6C">
      <w:pPr>
        <w:pStyle w:val="16"/>
        <w:numPr>
          <w:ilvl w:val="0"/>
          <w:numId w:val="1"/>
        </w:numPr>
        <w:spacing w:before="70" w:after="70"/>
        <w:contextualSpacing/>
      </w:pPr>
      <w:r>
        <w:rPr>
          <w:rFonts w:ascii="Arial" w:hAnsi="Arial" w:eastAsia="Arial" w:cs="Arial"/>
          <w:b/>
          <w:bCs/>
          <w:i w:val="0"/>
          <w:iCs w:val="0"/>
          <w:color w:val="06B6D4"/>
          <w:sz w:val="22"/>
          <w:szCs w:val="22"/>
        </w:rPr>
        <w:t xml:space="preserve">The combination of AI orchestration engine, observability infrastructure, and modular SaaS architecture at this stage is exceptionally uncommon. Most companies at this stage have a deck. B.O.S.S has a deployed production system with a proprietary data infrastructure asset already being built. </w:t>
      </w:r>
      <w:r>
        <w:rPr>
          <w:rFonts w:ascii="Arial" w:hAnsi="Arial" w:eastAsia="Arial" w:cs="Arial"/>
          <w:b w:val="0"/>
          <w:bCs w:val="0"/>
          <w:i w:val="0"/>
          <w:iCs w:val="0"/>
          <w:color w:val="0F172A"/>
          <w:sz w:val="21"/>
          <w:szCs w:val="21"/>
        </w:rPr>
        <w:t>Rare Technical Foundation</w:t>
      </w:r>
    </w:p>
    <w:p w14:paraId="364EA0C5">
      <w:pPr>
        <w:pStyle w:val="16"/>
        <w:numPr>
          <w:ilvl w:val="0"/>
          <w:numId w:val="1"/>
        </w:numPr>
        <w:spacing w:before="70" w:after="70"/>
        <w:contextualSpacing/>
      </w:pPr>
      <w:r>
        <w:rPr>
          <w:rFonts w:ascii="Arial" w:hAnsi="Arial" w:eastAsia="Arial" w:cs="Arial"/>
          <w:b/>
          <w:bCs/>
          <w:i w:val="0"/>
          <w:iCs w:val="0"/>
          <w:color w:val="06B6D4"/>
          <w:sz w:val="22"/>
          <w:szCs w:val="22"/>
        </w:rPr>
        <w:t xml:space="preserve">Kenya and East Africa are the highest-growth SaaS adoption region in the world at 34% CAGR. A capital-efficient market entry that achieves density here creates a defensible beachhead for continental expansion that a later-entering competitor cannot replicate without a 3–5 year head start. </w:t>
      </w:r>
      <w:r>
        <w:rPr>
          <w:rFonts w:ascii="Arial" w:hAnsi="Arial" w:eastAsia="Arial" w:cs="Arial"/>
          <w:b w:val="0"/>
          <w:bCs w:val="0"/>
          <w:i w:val="0"/>
          <w:iCs w:val="0"/>
          <w:color w:val="0F172A"/>
          <w:sz w:val="21"/>
          <w:szCs w:val="21"/>
        </w:rPr>
        <w:t>Emerging Market Timing Advantage</w:t>
      </w:r>
    </w:p>
    <w:p w14:paraId="1F857CBB">
      <w:pPr>
        <w:pStyle w:val="16"/>
        <w:numPr>
          <w:ilvl w:val="0"/>
          <w:numId w:val="1"/>
        </w:numPr>
        <w:spacing w:before="70" w:after="70"/>
        <w:contextualSpacing/>
      </w:pPr>
      <w:r>
        <w:rPr>
          <w:rFonts w:ascii="Arial" w:hAnsi="Arial" w:eastAsia="Arial" w:cs="Arial"/>
          <w:b/>
          <w:bCs/>
          <w:i w:val="0"/>
          <w:iCs w:val="0"/>
          <w:color w:val="06B6D4"/>
          <w:sz w:val="22"/>
          <w:szCs w:val="22"/>
        </w:rPr>
        <w:t xml:space="preserve">Every customer added to the platform increases AI orchestration data density. Greater data density produces more accurate intelligence. More accurate intelligence drives higher retention. Higher retention drives more data. This flywheel compounds indefinitely and is impossible to replicate from a standing start. </w:t>
      </w:r>
      <w:r>
        <w:rPr>
          <w:rFonts w:ascii="Arial" w:hAnsi="Arial" w:eastAsia="Arial" w:cs="Arial"/>
          <w:b w:val="0"/>
          <w:bCs w:val="0"/>
          <w:i w:val="0"/>
          <w:iCs w:val="0"/>
          <w:color w:val="0F172A"/>
          <w:sz w:val="21"/>
          <w:szCs w:val="21"/>
        </w:rPr>
        <w:t>Data Flywheel Compounding</w:t>
      </w:r>
    </w:p>
    <w:p w14:paraId="7A867417">
      <w:pPr>
        <w:pStyle w:val="16"/>
        <w:numPr>
          <w:ilvl w:val="0"/>
          <w:numId w:val="1"/>
        </w:numPr>
        <w:spacing w:before="70" w:after="70"/>
        <w:contextualSpacing/>
      </w:pPr>
      <w:r>
        <w:rPr>
          <w:rFonts w:ascii="Arial" w:hAnsi="Arial" w:eastAsia="Arial" w:cs="Arial"/>
          <w:b/>
          <w:bCs/>
          <w:i w:val="0"/>
          <w:iCs w:val="0"/>
          <w:color w:val="06B6D4"/>
          <w:sz w:val="22"/>
          <w:szCs w:val="22"/>
        </w:rPr>
        <w:t xml:space="preserve">The product was architected by someone who understands both the technical requirements of enterprise-grade AI orchestration infrastructure and the operational realities of building and running a business in an emerging market. This combination is vanishingly rare and is the reason the architecture is right. </w:t>
      </w:r>
      <w:r>
        <w:rPr>
          <w:rFonts w:ascii="Arial" w:hAnsi="Arial" w:eastAsia="Arial" w:cs="Arial"/>
          <w:b w:val="0"/>
          <w:bCs w:val="0"/>
          <w:i w:val="0"/>
          <w:iCs w:val="0"/>
          <w:color w:val="0F172A"/>
          <w:sz w:val="21"/>
          <w:szCs w:val="21"/>
        </w:rPr>
        <w:t>Founder-Architecture Alignment</w:t>
      </w:r>
    </w:p>
    <w:p w14:paraId="18745A08">
      <w:pPr>
        <w:spacing w:before="0" w:after="14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1A72C220">
        <w:tc>
          <w:tcPr>
            <w:tcW w:w="9720" w:type="dxa"/>
            <w:tcBorders>
              <w:top w:val="single" w:color="6D28D9" w:sz="6" w:space="0"/>
              <w:left w:val="single" w:color="6D28D9" w:sz="16" w:space="0"/>
              <w:bottom w:val="single" w:color="6D28D9" w:sz="6" w:space="0"/>
              <w:right w:val="nil"/>
            </w:tcBorders>
            <w:shd w:val="clear" w:color="auto" w:fill="EDE9FE"/>
            <w:tcMar>
              <w:top w:w="160" w:type="dxa"/>
              <w:left w:w="220" w:type="dxa"/>
              <w:bottom w:w="140" w:type="dxa"/>
              <w:right w:w="220" w:type="dxa"/>
            </w:tcMar>
          </w:tcPr>
          <w:p w14:paraId="7B3C070D">
            <w:pPr>
              <w:keepNext/>
              <w:spacing w:before="0" w:after="60"/>
            </w:pPr>
            <w:r>
              <w:rPr>
                <w:rFonts w:ascii="Arial" w:hAnsi="Arial" w:eastAsia="Arial" w:cs="Arial"/>
                <w:b/>
                <w:bCs/>
                <w:i w:val="0"/>
                <w:iCs w:val="0"/>
                <w:color w:val="6D28D9"/>
                <w:sz w:val="36"/>
                <w:szCs w:val="36"/>
              </w:rPr>
              <w:t>91%</w:t>
            </w:r>
          </w:p>
          <w:p w14:paraId="425ED6E1">
            <w:pPr>
              <w:keepNext/>
              <w:spacing w:before="0" w:after="60"/>
            </w:pPr>
            <w:r>
              <w:rPr>
                <w:rFonts w:ascii="Arial" w:hAnsi="Arial" w:eastAsia="Arial" w:cs="Arial"/>
                <w:b/>
                <w:bCs/>
                <w:i w:val="0"/>
                <w:iCs w:val="0"/>
                <w:color w:val="1E1B4B"/>
                <w:sz w:val="21"/>
                <w:szCs w:val="21"/>
              </w:rPr>
              <w:t>of category-defining SaaS companies that reached $100M ARR had a proprietary data or architecture moat established before Series A</w:t>
            </w:r>
          </w:p>
          <w:p w14:paraId="38AC032F">
            <w:pPr>
              <w:spacing w:before="0" w:after="0"/>
            </w:pPr>
            <w:r>
              <w:rPr>
                <w:rFonts w:ascii="Arial" w:hAnsi="Arial" w:eastAsia="Arial" w:cs="Arial"/>
                <w:b w:val="0"/>
                <w:bCs w:val="0"/>
                <w:i/>
                <w:iCs/>
                <w:color w:val="64748B"/>
                <w:sz w:val="18"/>
                <w:szCs w:val="18"/>
              </w:rPr>
              <w:t>Source: Bessemer Venture Partners — Scaling to $100M ARR: Patterns from 40 Breakout SaaS Companies, 2024</w:t>
            </w:r>
          </w:p>
        </w:tc>
      </w:tr>
    </w:tbl>
    <w:p w14:paraId="4B35ADFB">
      <w:pPr>
        <w:spacing w:before="0" w:after="140"/>
      </w:pPr>
    </w:p>
    <w:tbl>
      <w:tblPr>
        <w:tblStyle w:val="9"/>
        <w:tblW w:w="10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6AF1FF3C">
        <w:tc>
          <w:tcPr>
            <w:tcW w:w="10040" w:type="dxa"/>
            <w:tcBorders>
              <w:top w:val="single" w:color="030B1A" w:sz="8" w:space="0"/>
              <w:left w:val="single" w:color="22D3EE" w:sz="18" w:space="0"/>
              <w:bottom w:val="single" w:color="030B1A" w:sz="8" w:space="0"/>
              <w:right w:val="nil"/>
            </w:tcBorders>
            <w:shd w:val="clear" w:color="auto" w:fill="030B1A"/>
            <w:tcMar>
              <w:top w:w="260" w:type="dxa"/>
              <w:left w:w="300" w:type="dxa"/>
              <w:bottom w:w="260" w:type="dxa"/>
              <w:right w:w="300" w:type="dxa"/>
            </w:tcMar>
          </w:tcPr>
          <w:p w14:paraId="0455EC00">
            <w:pPr>
              <w:keepNext/>
              <w:spacing w:before="0" w:after="200"/>
              <w:jc w:val="center"/>
            </w:pPr>
            <w:r>
              <w:rPr>
                <w:rFonts w:ascii="Arial" w:hAnsi="Arial" w:eastAsia="Arial" w:cs="Arial"/>
                <w:b/>
                <w:bCs/>
                <w:i w:val="0"/>
                <w:iCs w:val="0"/>
                <w:color w:val="FFFFFF"/>
                <w:spacing w:val="100"/>
                <w:sz w:val="29"/>
                <w:szCs w:val="29"/>
              </w:rPr>
              <w:t>INVESTMENT HIGHLIGHTS</w:t>
            </w:r>
          </w:p>
          <w:p w14:paraId="035E94E5">
            <w:pPr>
              <w:pStyle w:val="16"/>
              <w:numPr>
                <w:ilvl w:val="0"/>
                <w:numId w:val="1"/>
              </w:numPr>
              <w:spacing w:before="70" w:after="70"/>
            </w:pPr>
            <w:r>
              <w:rPr>
                <w:rFonts w:ascii="Arial" w:hAnsi="Arial" w:eastAsia="Arial" w:cs="Arial"/>
                <w:b w:val="0"/>
                <w:bCs w:val="0"/>
                <w:i w:val="0"/>
                <w:iCs w:val="0"/>
                <w:color w:val="CBD5E1"/>
                <w:sz w:val="21"/>
                <w:szCs w:val="21"/>
              </w:rPr>
              <w:t>Functional production MVP with full AI orchestration pipeline operational and deployed</w:t>
            </w:r>
          </w:p>
          <w:p w14:paraId="18690742">
            <w:pPr>
              <w:pStyle w:val="16"/>
              <w:numPr>
                <w:ilvl w:val="0"/>
                <w:numId w:val="1"/>
              </w:numPr>
              <w:spacing w:before="70" w:after="70"/>
            </w:pPr>
            <w:r>
              <w:rPr>
                <w:rFonts w:ascii="Arial" w:hAnsi="Arial" w:eastAsia="Arial" w:cs="Arial"/>
                <w:b w:val="0"/>
                <w:bCs w:val="0"/>
                <w:i w:val="0"/>
                <w:iCs w:val="0"/>
                <w:color w:val="CBD5E1"/>
                <w:sz w:val="21"/>
                <w:szCs w:val="21"/>
              </w:rPr>
              <w:t>Proprietary AI orchestration engine — purpose-built business logic, not a generic LLM wrapper</w:t>
            </w:r>
          </w:p>
          <w:p w14:paraId="148CDE86">
            <w:pPr>
              <w:pStyle w:val="16"/>
              <w:numPr>
                <w:ilvl w:val="0"/>
                <w:numId w:val="1"/>
              </w:numPr>
              <w:spacing w:before="70" w:after="70"/>
            </w:pPr>
            <w:r>
              <w:rPr>
                <w:rFonts w:ascii="Arial" w:hAnsi="Arial" w:eastAsia="Arial" w:cs="Arial"/>
                <w:b w:val="0"/>
                <w:bCs w:val="0"/>
                <w:i w:val="0"/>
                <w:iCs w:val="0"/>
                <w:color w:val="CBD5E1"/>
                <w:sz w:val="21"/>
                <w:szCs w:val="21"/>
              </w:rPr>
              <w:t>Observability infrastructure creates enterprise-grade audit trail and AI orchestration intelligence asset</w:t>
            </w:r>
          </w:p>
          <w:p w14:paraId="20F84B62">
            <w:pPr>
              <w:pStyle w:val="16"/>
              <w:numPr>
                <w:ilvl w:val="0"/>
                <w:numId w:val="1"/>
              </w:numPr>
              <w:spacing w:before="70" w:after="70"/>
            </w:pPr>
            <w:r>
              <w:rPr>
                <w:rFonts w:ascii="Arial" w:hAnsi="Arial" w:eastAsia="Arial" w:cs="Arial"/>
                <w:b w:val="0"/>
                <w:bCs w:val="0"/>
                <w:i w:val="0"/>
                <w:iCs w:val="0"/>
                <w:color w:val="CBD5E1"/>
                <w:sz w:val="21"/>
                <w:szCs w:val="21"/>
              </w:rPr>
              <w:t>Modular Next.js 14 architecture enables rapid, low-cost expansion into new intelligence verticals</w:t>
            </w:r>
          </w:p>
          <w:p w14:paraId="16C7AB6E">
            <w:pPr>
              <w:pStyle w:val="16"/>
              <w:numPr>
                <w:ilvl w:val="0"/>
                <w:numId w:val="1"/>
              </w:numPr>
              <w:spacing w:before="70" w:after="70"/>
            </w:pPr>
            <w:r>
              <w:rPr>
                <w:rFonts w:ascii="Arial" w:hAnsi="Arial" w:eastAsia="Arial" w:cs="Arial"/>
                <w:b w:val="0"/>
                <w:bCs w:val="0"/>
                <w:i w:val="0"/>
                <w:iCs w:val="0"/>
                <w:color w:val="CBD5E1"/>
                <w:sz w:val="21"/>
                <w:szCs w:val="21"/>
              </w:rPr>
              <w:t>Operates at the convergence of three $30B+ high-growth global markets</w:t>
            </w:r>
          </w:p>
          <w:p w14:paraId="5D1EA673">
            <w:pPr>
              <w:pStyle w:val="16"/>
              <w:numPr>
                <w:ilvl w:val="0"/>
                <w:numId w:val="1"/>
              </w:numPr>
              <w:spacing w:before="70" w:after="70"/>
            </w:pPr>
            <w:r>
              <w:rPr>
                <w:rFonts w:ascii="Arial" w:hAnsi="Arial" w:eastAsia="Arial" w:cs="Arial"/>
                <w:b w:val="0"/>
                <w:bCs w:val="0"/>
                <w:i w:val="0"/>
                <w:iCs w:val="0"/>
                <w:color w:val="CBD5E1"/>
                <w:sz w:val="21"/>
                <w:szCs w:val="21"/>
              </w:rPr>
              <w:t>Category-creation opportunity — no dominant incumbent in AI orchestration system for business</w:t>
            </w:r>
          </w:p>
          <w:p w14:paraId="0677D9FA">
            <w:pPr>
              <w:pStyle w:val="16"/>
              <w:numPr>
                <w:ilvl w:val="0"/>
                <w:numId w:val="1"/>
              </w:numPr>
              <w:spacing w:before="70" w:after="70"/>
            </w:pPr>
            <w:r>
              <w:rPr>
                <w:rFonts w:ascii="Arial" w:hAnsi="Arial" w:eastAsia="Arial" w:cs="Arial"/>
                <w:b w:val="0"/>
                <w:bCs w:val="0"/>
                <w:i w:val="0"/>
                <w:iCs w:val="0"/>
                <w:color w:val="CBD5E1"/>
                <w:sz w:val="21"/>
                <w:szCs w:val="21"/>
              </w:rPr>
              <w:t>East Africa beachhead: world’s fastest-growing SaaS adoption region at 34% CAGR</w:t>
            </w:r>
          </w:p>
          <w:p w14:paraId="66CF5F39">
            <w:pPr>
              <w:pStyle w:val="16"/>
              <w:numPr>
                <w:ilvl w:val="0"/>
                <w:numId w:val="1"/>
              </w:numPr>
              <w:spacing w:before="70" w:after="70"/>
            </w:pPr>
            <w:r>
              <w:rPr>
                <w:rFonts w:ascii="Arial" w:hAnsi="Arial" w:eastAsia="Arial" w:cs="Arial"/>
                <w:b w:val="0"/>
                <w:bCs w:val="0"/>
                <w:i w:val="0"/>
                <w:iCs w:val="0"/>
                <w:color w:val="CBD5E1"/>
                <w:sz w:val="21"/>
                <w:szCs w:val="21"/>
              </w:rPr>
              <w:t>Data flywheel model — AI orchestration intelligence compounds and deepens with every customer added</w:t>
            </w:r>
          </w:p>
          <w:p w14:paraId="3D1DD176">
            <w:pPr>
              <w:pStyle w:val="16"/>
              <w:numPr>
                <w:ilvl w:val="0"/>
                <w:numId w:val="1"/>
              </w:numPr>
              <w:spacing w:before="70" w:after="70"/>
            </w:pPr>
            <w:r>
              <w:rPr>
                <w:rFonts w:ascii="Arial" w:hAnsi="Arial" w:eastAsia="Arial" w:cs="Arial"/>
                <w:b w:val="0"/>
                <w:bCs w:val="0"/>
                <w:i w:val="0"/>
                <w:iCs w:val="0"/>
                <w:color w:val="CBD5E1"/>
                <w:sz w:val="21"/>
                <w:szCs w:val="21"/>
              </w:rPr>
              <w:t>Subscription + usage-based dual revenue model — multiple natural expansion vectors</w:t>
            </w:r>
          </w:p>
          <w:p w14:paraId="548EDC03">
            <w:pPr>
              <w:pStyle w:val="16"/>
              <w:numPr>
                <w:ilvl w:val="0"/>
                <w:numId w:val="1"/>
              </w:numPr>
              <w:spacing w:before="70" w:after="70"/>
            </w:pPr>
            <w:r>
              <w:rPr>
                <w:rFonts w:ascii="Arial" w:hAnsi="Arial" w:eastAsia="Arial" w:cs="Arial"/>
                <w:b w:val="0"/>
                <w:bCs w:val="0"/>
                <w:i w:val="0"/>
                <w:iCs w:val="0"/>
                <w:color w:val="CBD5E1"/>
                <w:sz w:val="21"/>
                <w:szCs w:val="21"/>
              </w:rPr>
              <w:t>Architecture-ready for multi-tenant SaaS deployment at institutional scale</w:t>
            </w:r>
          </w:p>
        </w:tc>
      </w:tr>
    </w:tbl>
    <w:p w14:paraId="40BC8600">
      <w:pPr>
        <w:spacing w:before="0" w:after="200"/>
      </w:pPr>
    </w:p>
    <w:tbl>
      <w:tblPr>
        <w:tblStyle w:val="9"/>
        <w:tblW w:w="10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4795F9AD">
        <w:tc>
          <w:tcPr>
            <w:tcW w:w="10040" w:type="dxa"/>
            <w:tcBorders>
              <w:top w:val="single" w:color="22D3EE" w:sz="6" w:space="0"/>
              <w:left w:val="nil"/>
              <w:bottom w:val="single" w:color="22D3EE" w:sz="6" w:space="0"/>
              <w:right w:val="nil"/>
            </w:tcBorders>
            <w:shd w:val="clear" w:color="auto" w:fill="040F24"/>
            <w:tcMar>
              <w:top w:w="260" w:type="dxa"/>
              <w:left w:w="400" w:type="dxa"/>
              <w:bottom w:w="260" w:type="dxa"/>
              <w:right w:w="400" w:type="dxa"/>
            </w:tcMar>
          </w:tcPr>
          <w:p w14:paraId="3DBAD027">
            <w:pPr>
              <w:keepNext/>
              <w:spacing w:before="0" w:after="120"/>
              <w:jc w:val="center"/>
            </w:pPr>
            <w:r>
              <w:rPr>
                <w:rFonts w:ascii="Arial" w:hAnsi="Arial" w:eastAsia="Arial" w:cs="Arial"/>
                <w:b/>
                <w:bCs/>
                <w:i w:val="0"/>
                <w:iCs w:val="0"/>
                <w:color w:val="FFFFFF"/>
                <w:sz w:val="28"/>
                <w:szCs w:val="28"/>
              </w:rPr>
              <w:t>B.O.S.S is not building another business tool.</w:t>
            </w:r>
          </w:p>
          <w:p w14:paraId="68E5A030">
            <w:pPr>
              <w:keepNext/>
              <w:spacing w:before="0" w:after="180"/>
              <w:jc w:val="center"/>
            </w:pPr>
            <w:r>
              <w:rPr>
                <w:rFonts w:ascii="Arial" w:hAnsi="Arial" w:eastAsia="Arial" w:cs="Arial"/>
                <w:b w:val="0"/>
                <w:bCs w:val="0"/>
                <w:i/>
                <w:iCs/>
                <w:color w:val="22D3EE"/>
                <w:sz w:val="28"/>
                <w:szCs w:val="28"/>
              </w:rPr>
              <w:t>It is building the last AI orchestration layer your business will ever need.</w:t>
            </w:r>
          </w:p>
          <w:p w14:paraId="07485D73">
            <w:pPr>
              <w:keepNext/>
              <w:spacing w:before="0" w:after="80"/>
              <w:jc w:val="center"/>
            </w:pPr>
            <w:r>
              <w:rPr>
                <w:rFonts w:ascii="Arial" w:hAnsi="Arial" w:eastAsia="Arial" w:cs="Arial"/>
                <w:b w:val="0"/>
                <w:bCs w:val="0"/>
                <w:i w:val="0"/>
                <w:iCs w:val="0"/>
                <w:color w:val="64748B"/>
                <w:sz w:val="20"/>
                <w:szCs w:val="20"/>
              </w:rPr>
              <w:t>For investment inquiries, technical due diligence, or partnership discussions:</w:t>
            </w:r>
          </w:p>
          <w:p w14:paraId="2E4F52FF">
            <w:pPr>
              <w:spacing w:before="0" w:after="0"/>
              <w:jc w:val="center"/>
            </w:pPr>
            <w:r>
              <w:rPr>
                <w:rFonts w:ascii="Arial" w:hAnsi="Arial" w:eastAsia="Arial" w:cs="Arial"/>
                <w:b/>
                <w:bCs/>
                <w:i w:val="0"/>
                <w:iCs w:val="0"/>
                <w:color w:val="22D3EE"/>
                <w:sz w:val="22"/>
                <w:szCs w:val="22"/>
              </w:rPr>
              <w:t>github.com/MachariaBrian12/B.O.S.S</w:t>
            </w:r>
          </w:p>
        </w:tc>
      </w:tr>
    </w:tbl>
    <w:p w14:paraId="44A045ED">
      <w:pPr>
        <w:spacing w:before="0" w:after="80"/>
      </w:pPr>
    </w:p>
    <w:sectPr>
      <w:footerReference r:id="rId3" w:type="default"/>
      <w:pgSz w:w="12240" w:h="15840"/>
      <w:pgMar w:top="960" w:right="1100" w:bottom="96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54CB7">
    <w:pPr>
      <w:pBdr>
        <w:top w:val="single" w:color="CBD5E1" w:sz="2" w:space="6"/>
      </w:pBdr>
      <w:spacing w:before="60" w:after="0"/>
      <w:jc w:val="center"/>
    </w:pPr>
    <w:r>
      <w:rPr>
        <w:rFonts w:ascii="Arial" w:hAnsi="Arial" w:eastAsia="Arial" w:cs="Arial"/>
        <w:b w:val="0"/>
        <w:bCs w:val="0"/>
        <w:i/>
        <w:iCs/>
        <w:color w:val="64748B"/>
        <w:sz w:val="18"/>
        <w:szCs w:val="18"/>
      </w:rPr>
      <w:t xml:space="preserve">B.O.S.S  —  Confidential Executive Summary   │   Page </w:t>
    </w:r>
    <w:r>
      <w:rPr>
        <w:rFonts w:ascii="Arial" w:hAnsi="Arial" w:eastAsia="Arial" w:cs="Arial"/>
        <w:i/>
        <w:iCs/>
        <w:color w:val="64748B"/>
        <w:sz w:val="18"/>
        <w:szCs w:val="18"/>
      </w:rPr>
      <w:fldChar w:fldCharType="begin"/>
    </w:r>
    <w:r>
      <w:rPr>
        <w:rFonts w:ascii="Arial" w:hAnsi="Arial" w:eastAsia="Arial" w:cs="Arial"/>
        <w:i/>
        <w:iCs/>
        <w:color w:val="64748B"/>
        <w:sz w:val="18"/>
        <w:szCs w:val="18"/>
      </w:rPr>
      <w:instrText xml:space="preserve">PAGE</w:instrText>
    </w:r>
    <w:r>
      <w:rPr>
        <w:rFonts w:ascii="Arial" w:hAnsi="Arial" w:eastAsia="Arial" w:cs="Arial"/>
        <w:i/>
        <w:iCs/>
        <w:color w:val="64748B"/>
        <w:sz w:val="18"/>
        <w:szCs w:val="18"/>
      </w:rPr>
      <w:fldChar w:fldCharType="separate"/>
    </w:r>
    <w:r>
      <w:rPr>
        <w:rFonts w:ascii="Arial" w:hAnsi="Arial" w:eastAsia="Arial" w:cs="Arial"/>
        <w:i/>
        <w:iCs/>
        <w:color w:val="64748B"/>
        <w:sz w:val="18"/>
        <w:szCs w:val="18"/>
      </w:rPr>
      <w:fldChar w:fldCharType="end"/>
    </w:r>
    <w:r>
      <w:rPr>
        <w:rFonts w:ascii="Arial" w:hAnsi="Arial" w:eastAsia="Arial" w:cs="Arial"/>
        <w:b w:val="0"/>
        <w:bCs w:val="0"/>
        <w:i/>
        <w:iCs/>
        <w:color w:val="64748B"/>
        <w:sz w:val="18"/>
        <w:szCs w:val="18"/>
      </w:rPr>
      <w:t xml:space="preserve">   │   Proprietary &amp; Confidential  │  2025</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2C54E9"/>
    <w:multiLevelType w:val="singleLevel"/>
    <w:tmpl w:val="372C54E9"/>
    <w:lvl w:ilvl="0" w:tentative="0">
      <w:start w:val="1"/>
      <w:numFmt w:val="bullet"/>
      <w:lvlText w:val="▸"/>
      <w:lvlJc w:val="left"/>
      <w:pPr>
        <w:ind w:left="580" w:hanging="280"/>
      </w:pPr>
      <w:rPr>
        <w:rFonts w:ascii="Arial" w:hAnsi="Arial" w:eastAsia="Arial" w:cs="Arial"/>
        <w:b/>
        <w:bCs/>
        <w:color w:val="06B6D4"/>
        <w:sz w:val="22"/>
        <w:szCs w:val="22"/>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FFF06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0F172A"/>
      <w:sz w:val="22"/>
      <w:szCs w:val="22"/>
    </w:rPr>
  </w:style>
  <w:style w:type="paragraph" w:styleId="2">
    <w:name w:val="heading 1"/>
    <w:next w:val="1"/>
    <w:qFormat/>
    <w:uiPriority w:val="0"/>
    <w:pPr>
      <w:spacing w:before="360" w:after="0"/>
      <w:outlineLvl w:val="0"/>
    </w:pPr>
    <w:rPr>
      <w:rFonts w:ascii="Arial" w:hAnsi="Arial" w:eastAsia="Arial" w:cs="Arial"/>
      <w:b/>
      <w:bCs/>
      <w:color w:val="FFFFFF"/>
      <w:sz w:val="27"/>
      <w:szCs w:val="27"/>
    </w:rPr>
  </w:style>
  <w:style w:type="paragraph" w:styleId="3">
    <w:name w:val="heading 2"/>
    <w:next w:val="1"/>
    <w:qFormat/>
    <w:uiPriority w:val="0"/>
    <w:pPr>
      <w:spacing w:before="220" w:after="60"/>
      <w:outlineLvl w:val="1"/>
    </w:pPr>
    <w:rPr>
      <w:rFonts w:ascii="Arial" w:hAnsi="Arial" w:eastAsia="Arial" w:cs="Arial"/>
      <w:b/>
      <w:bCs/>
      <w:color w:val="06B6D4"/>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color w:val="0F172A"/>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0F172A"/>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0F172A"/>
      <w:sz w:val="56"/>
      <w:szCs w:val="56"/>
    </w:rPr>
  </w:style>
  <w:style w:type="paragraph" w:styleId="16">
    <w:name w:val="List Paragraph"/>
    <w:qFormat/>
    <w:uiPriority w:val="0"/>
    <w:rPr>
      <w:rFonts w:ascii="Arial" w:hAnsi="Arial" w:eastAsia="Arial" w:cs="Arial"/>
      <w:color w:val="0F172A"/>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1</TotalTime>
  <ScaleCrop>false</ScaleCrop>
  <LinksUpToDate>false</LinksUpToDate>
  <Application>WPS Office_12.1.25880.25880_F1E327BC-269C-435d-A152-05C5408002CA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guruhunk</cp:lastModifiedBy>
  <dcterms:modified xsi:type="dcterms:W3CDTF">2026-05-28T11:52:45Z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CE37C01C0EADE1A55D02186AB74B21BE_42</vt:lpwstr>
  </property>
</Properties>
</file>