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Challenge 2 – ED Cost Forecasting</w:t>
      </w:r>
    </w:p>
    <w:p>
      <w:pPr>
        <w:pStyle w:val="Heading1"/>
      </w:pPr>
      <w:r>
        <w:t>Problem Statement</w:t>
      </w:r>
    </w:p>
    <w:p>
      <w:r>
        <w:t>The objective of this challenge is to forecast the total emergency department (ED) costs for each patient over the next 3 years. This is a regression problem with the target variable ed_cost_next3y_usd. Accurate long-term ED cost prediction helps hospitals and payers identify high-cost patients early, design targeted care-management programs, and plan resource allocation.</w:t>
      </w:r>
    </w:p>
    <w:p>
      <w:pPr>
        <w:pStyle w:val="Heading1"/>
      </w:pPr>
      <w:r>
        <w:t>Dataset and Features</w:t>
      </w:r>
    </w:p>
    <w:p>
      <w:r>
        <w:t>We used ed_cost_train.csv as the primary training dataset. Each row corresponds to a patient and includes:</w:t>
        <w:br/>
        <w:t>- patient_id</w:t>
        <w:br/>
        <w:t>- primary_chronic (primary chronic condition category)</w:t>
        <w:br/>
        <w:t>- prior_ed_visits_5y (number of ED visits in the last 5 years)</w:t>
        <w:br/>
        <w:t>- prior_ed_cost_5y_usd (total ED cost over the last 5 years)</w:t>
        <w:br/>
        <w:t>- ed_cost_next3y_usd (label: ED cost for the next 3 years)</w:t>
      </w:r>
    </w:p>
    <w:p>
      <w:r>
        <w:t>To better represent utilization patterns, we engineered several additional features:</w:t>
        <w:br/>
        <w:t>- visits_cost_interaction = prior_ed_visits_5y × prior_ed_cost_5y_usd, capturing intensity of historical utilization.</w:t>
        <w:br/>
        <w:t>- primary_chronic_count = frequency count of each primary_chronic category, encoding how common a condition is in the cohort.</w:t>
        <w:br/>
        <w:t>- primary_chronic_encoded = label-encoded representation of primary_chronic, allowing the model to treat it as an ordered numeric input.</w:t>
      </w:r>
    </w:p>
    <w:p>
      <w:r>
        <w:t>The final feature set for modeling included:</w:t>
        <w:br/>
        <w:t>- prior_ed_visits_5y</w:t>
        <w:br/>
        <w:t>- prior_ed_cost_5y_usd</w:t>
        <w:br/>
        <w:t>- visits_cost_interaction</w:t>
        <w:br/>
        <w:t>- primary_chronic_count</w:t>
        <w:br/>
        <w:t>- primary_chronic_encoded</w:t>
      </w:r>
    </w:p>
    <w:p>
      <w:pPr>
        <w:pStyle w:val="Heading1"/>
      </w:pPr>
      <w:r>
        <w:t>Solution Approach</w:t>
      </w:r>
    </w:p>
    <w:p>
      <w:r>
        <w:t>1. Feature Engineering:</w:t>
        <w:br/>
        <w:t xml:space="preserve">   • Computed visits_cost_interaction and primary_chronic_count for both train and test sets.</w:t>
        <w:br/>
        <w:t xml:space="preserve">   • Applied LabelEncoder to convert the text-based primary_chronic field into primary_chronic_encoded.</w:t>
      </w:r>
    </w:p>
    <w:p>
      <w:r>
        <w:t>2. Train–Validation Split:</w:t>
        <w:br/>
        <w:t xml:space="preserve">   • From 2,000 training records, an 80/20 split was used to create training and validation sets.</w:t>
        <w:br/>
        <w:t xml:space="preserve">   • All features were numerically encoded, and missing values were filled with 0.</w:t>
      </w:r>
    </w:p>
    <w:p>
      <w:r>
        <w:t>3. Model Choice – Gradient Boosting Regressor:</w:t>
        <w:br/>
        <w:t xml:space="preserve">   • Model: GradientBoostingRegressor</w:t>
        <w:br/>
        <w:t xml:space="preserve">   • Hyperparameters: n_estimators = 200, learning_rate = 0.1, max_depth = 5, subsample = 0.8, random_state = 42.</w:t>
      </w:r>
    </w:p>
    <w:p>
      <w:r>
        <w:t>4. Training and Evaluation:</w:t>
        <w:br/>
        <w:t xml:space="preserve">   • The model was trained on the training split and evaluated on the validation set using Mean Absolute Error (MAE).</w:t>
        <w:br/>
        <w:t xml:space="preserve">   • After validation, predictions were generated for ed_cost_test.csv and saved as healthcare_challenge2_predictions.csv for submission.</w:t>
      </w:r>
    </w:p>
    <w:p>
      <w:pPr>
        <w:pStyle w:val="Heading1"/>
      </w:pPr>
      <w:r>
        <w:t>Why This Method</w:t>
      </w:r>
    </w:p>
    <w:p>
      <w:r>
        <w:t>ED costs are influenced by non-linear relationships between prior utilization frequency, accumulated historical costs, and the type of chronic condition. Gradient Boosting was selected because it:</w:t>
        <w:br/>
        <w:t>- Combines multiple weak learners (decision trees) into a strong ensemble.</w:t>
        <w:br/>
        <w:t>- Captures non-linear interactions naturally.</w:t>
        <w:br/>
        <w:t>- Performs well on small to medium-sized tabular datasets.</w:t>
      </w:r>
    </w:p>
    <w:p>
      <w:r>
        <w:t>Compared to simpler linear models, Gradient Boosting provides better flexibility in modeling complex cost trajectories without requiring extensive manual feature transformations.</w:t>
      </w:r>
    </w:p>
    <w:p>
      <w:pPr>
        <w:pStyle w:val="Heading1"/>
      </w:pPr>
      <w:r>
        <w:t>Data Visualization Insights</w:t>
      </w:r>
    </w:p>
    <w:p>
      <w:r>
        <w:t>Two key visualizations were used to understand the data:</w:t>
        <w:br/>
        <w:t>- Histogram of ed_cost_next3y_usd to inspect the distribution and identify skewness or outliers in future costs.</w:t>
        <w:br/>
        <w:t>- Scatter plot of prior_ed_cost_5y_usd vs. ed_cost_next3y_usd to assess the relationship between historical and future costs.</w:t>
      </w:r>
    </w:p>
    <w:p>
      <w:r>
        <w:t>Insights:</w:t>
        <w:br/>
        <w:t>- ED costs for the next 3 years are right-skewed, with a subset of very high-cost patients.</w:t>
        <w:br/>
        <w:t>- There is a strong positive relationship between prior 5-year ED costs and future 3-year ED costs, justifying their central role as predictors.</w:t>
        <w:br/>
        <w:t>- Interaction between number of prior visits and their cumulative cost (visits_cost_interaction) provides additional discriminatory power.</w:t>
      </w:r>
    </w:p>
    <w:p>
      <w:pPr>
        <w:pStyle w:val="Heading1"/>
      </w:pPr>
      <w:r>
        <w:t>Accuracy Metric and Results</w:t>
      </w:r>
    </w:p>
    <w:p>
      <w:r>
        <w:t>Evaluation Metric: Mean Absolute Error (MAE).</w:t>
      </w:r>
    </w:p>
    <w:p>
      <w:r>
        <w:t>Offline Validation Results:</w:t>
        <w:br/>
        <w:t>- Training MAE: 278.73 USD</w:t>
        <w:br/>
        <w:t>- Validation MAE: 481.51 USD</w:t>
      </w:r>
    </w:p>
    <w:p>
      <w:r>
        <w:t>Benchmark Submission:</w:t>
        <w:br/>
        <w:t>- Score (MAE on benchmark hold-out): 525.32 USD (rounded from 525.3195)</w:t>
        <w:br/>
        <w:t>- Submission validated successfully by the AgentDS Healthcare benchmark.</w:t>
      </w:r>
    </w:p>
    <w:p>
      <w:r>
        <w:t>These results indicate that the model can approximate long-term ED costs with an average absolute error of roughly $500, which is a reasonable baseline for further refinement.</w:t>
      </w:r>
    </w:p>
    <w:p>
      <w:pPr>
        <w:pStyle w:val="Heading1"/>
      </w:pPr>
      <w:r>
        <w:t>Future Scope to Improve Accuracy</w:t>
      </w:r>
    </w:p>
    <w:p>
      <w:r>
        <w:t>To further reduce MAE and better identify high-cost patients, several improvements are planned:</w:t>
        <w:br/>
        <w:t>- Join with patient demographics (age, sex, insurance, zip3) to capture social and geographic drivers of ED use.</w:t>
        <w:br/>
        <w:t>- Incorporate additional clinical information such as comorbidity counts, recent hospitalizations, and medication burden.</w:t>
        <w:br/>
        <w:t>- Apply logarithmic transformation to cost variables to stabilize variance and reduce the influence of extreme outliers.</w:t>
        <w:br/>
        <w:t>- Explore more advanced models such as XGBoost or LightGBM with hyperparameter tuning.</w:t>
        <w:br/>
        <w:t>- Consider segmenting patients by chronic condition type and training specialized models per segment (e.g., HF vs. Diabetes complications).</w:t>
        <w:br/>
        <w:t>- Use cross-validation to obtain more robust estimates of MAE and avoid overfitting to a single train–validation split.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