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Challenge 3 – Discharge Readiness Assessment</w:t>
      </w:r>
    </w:p>
    <w:p>
      <w:pPr>
        <w:pStyle w:val="Heading1"/>
      </w:pPr>
      <w:r>
        <w:t>Problem Statement</w:t>
      </w:r>
    </w:p>
    <w:p>
      <w:r>
        <w:t>The goal of this challenge is to determine whether a patient will be ready for discharge by day 11 of their hospital stay. This is framed as a binary classification problem with the target variable discharge_ready_day11 (0 = not ready, 1 = ready). Accurate discharge readiness prediction supports proactive discharge planning, improves bed management, and reduces unnecessary prolonged stays.</w:t>
      </w:r>
    </w:p>
    <w:p>
      <w:pPr>
        <w:pStyle w:val="Heading1"/>
      </w:pPr>
      <w:r>
        <w:t>Dataset and Features</w:t>
      </w:r>
    </w:p>
    <w:p>
      <w:r>
        <w:t>We work with stays_train.csv as the core dataset for this task. Each row represents an inpatient hospital stay and includes:</w:t>
        <w:br/>
        <w:t>- stay_id, patient_id</w:t>
        <w:br/>
        <w:t>- unit_type (e.g., med_surg, stepdown)</w:t>
        <w:br/>
        <w:t>- admission_reason (e.g., Pneumonia, DiabetesComp, COPD, HF)</w:t>
        <w:br/>
        <w:t>- discharge_ready_day11 (label)</w:t>
      </w:r>
    </w:p>
    <w:p>
      <w:r>
        <w:t>These stay-level records can be linked to the common patients.csv table (age, sex, insurance, zip3) and optional time-series data such as vitals_timeseries.json (10-day vitals and daily notes). In a full solution, such joins allow us to add features like age group, insurance type, and summary statistics of early-stay vitals. For this version of the report, we focus on the structured fields already present in stays_train.csv with the intent to extend to vitals-based features as a next step.</w:t>
      </w:r>
    </w:p>
    <w:p>
      <w:pPr>
        <w:pStyle w:val="Heading1"/>
      </w:pPr>
      <w:r>
        <w:t>Solution Approach</w:t>
      </w:r>
    </w:p>
    <w:p>
      <w:r>
        <w:t>1. Feature Preparation:</w:t>
        <w:br/>
        <w:t xml:space="preserve">   • Encoded unit_type and admission_reason as categorical variables using label encoding or one-hot encoding.</w:t>
        <w:br/>
        <w:t xml:space="preserve">   • Optionally merged basic demographic fields from patients.csv (age, sex, insurance) keyed on patient_id.</w:t>
        <w:br/>
        <w:t xml:space="preserve">   • Ensured that discharge_ready_day11 was treated as the binary target.</w:t>
      </w:r>
    </w:p>
    <w:p>
      <w:r>
        <w:t>2. Train–Validation Split:</w:t>
        <w:br/>
        <w:t xml:space="preserve">   • Performed an 80/20 split into training and validation sets, stratified on discharge_ready_day11 to preserve class balance.</w:t>
      </w:r>
    </w:p>
    <w:p>
      <w:r>
        <w:t>3. Model Choice:</w:t>
        <w:br/>
        <w:t xml:space="preserve">   • A gradient-boosted tree–based classifier (such as LightGBM or XGBoost) is a natural fit for this structured tabular dataset.</w:t>
        <w:br/>
        <w:t xml:space="preserve">   • The model learns non-linear interactions between unit type, admitting condition, and patient demographics relevant to discharge readiness.</w:t>
      </w:r>
    </w:p>
    <w:p>
      <w:r>
        <w:t>4. Evaluation:</w:t>
        <w:br/>
        <w:t xml:space="preserve">   • Macro-F1 Score is used as the primary evaluation metric to balance performance between 'ready' and 'not ready' classes.</w:t>
        <w:br/>
        <w:t xml:space="preserve">   • Accuracy and confusion matrices are used as secondary diagnostics to understand error patterns.</w:t>
      </w:r>
    </w:p>
    <w:p>
      <w:r>
        <w:t>Note: The exact model hyperparameters and benchmark score should match your final implementation; placeholders can be edited in this document once you finalize and submit your notebook.</w:t>
      </w:r>
    </w:p>
    <w:p>
      <w:pPr>
        <w:pStyle w:val="Heading1"/>
      </w:pPr>
      <w:r>
        <w:t>Why This Method</w:t>
      </w:r>
    </w:p>
    <w:p>
      <w:r>
        <w:t>Discharge readiness depends on a combination of clinical and operational factors: diagnosis severity, unit level of care, and patient profile. Tree-based gradient boosting models are chosen because they:</w:t>
        <w:br/>
        <w:t>- Model complex interactions without strong linearity assumptions.</w:t>
        <w:br/>
        <w:t>- Handle heterogeneous features (categorical and continuous) effectively.</w:t>
        <w:br/>
        <w:t>- Provide feature importance rankings, which help clinicians interpret which variables most influence discharge readiness.</w:t>
      </w:r>
    </w:p>
    <w:p>
      <w:r>
        <w:t>Using Macro-F1 encourages the model to pay equal attention to both early-ready patients and those needing extended care, reducing the risk of prematurely discharging unstable patients.</w:t>
      </w:r>
    </w:p>
    <w:p>
      <w:pPr>
        <w:pStyle w:val="Heading1"/>
      </w:pPr>
      <w:r>
        <w:t>Data Visualization Insights</w:t>
      </w:r>
    </w:p>
    <w:p>
      <w:r>
        <w:t>Typical exploratory plots for this challenge include:</w:t>
        <w:br/>
        <w:t>- Class distribution of discharge_ready_day11 to understand baseline readiness rates by day 11.</w:t>
        <w:br/>
        <w:t>- Bar plots showing readiness rates by unit_type (e.g., stepdown vs. med_surg).</w:t>
        <w:br/>
        <w:t>- Readiness rates by admission_reason to see which diagnoses tend to recover faster.</w:t>
      </w:r>
    </w:p>
    <w:p>
      <w:r>
        <w:t>Example qualitative insights:</w:t>
        <w:br/>
        <w:t>- Patients in stepdown or higher-acuity units are less likely to be ready by day 11 compared to those in med_surg units.</w:t>
        <w:br/>
        <w:t>- Certain diagnoses like uncomplicated DiabetesComp may exhibit higher early discharge readiness compared to chronic conditions such as COPD or HF.</w:t>
        <w:br/>
        <w:t>- When demographics are merged, younger patients with fewer comorbidities and private insurance may show higher readiness rates.</w:t>
      </w:r>
    </w:p>
    <w:p>
      <w:pPr>
        <w:pStyle w:val="Heading1"/>
      </w:pPr>
      <w:r>
        <w:t>Accuracy Metric and Results</w:t>
      </w:r>
    </w:p>
    <w:p>
      <w:r>
        <w:t>Evaluation Metric: Macro-F1 Score (primary).</w:t>
      </w:r>
    </w:p>
    <w:p>
      <w:r>
        <w:t>In your final notebook, you should report:</w:t>
        <w:br/>
        <w:t>- Validation Accuracy: &lt;to be updated&gt;</w:t>
        <w:br/>
        <w:t>- Validation Macro-F1: &lt;to be updated&gt;</w:t>
        <w:br/>
        <w:t>- Confusion Matrix on validation set.</w:t>
      </w:r>
    </w:p>
    <w:p>
      <w:r>
        <w:t>Benchmark Submission:</w:t>
        <w:br/>
        <w:t>- Benchmark Macro-F1 Score: &lt;to be updated from submission results&gt;</w:t>
      </w:r>
    </w:p>
    <w:p>
      <w:r>
        <w:t>These placeholders are provided so that you can paste the exact numbers from your final run. The narrative around the metric remains valid: Macro-F1 ensures balanced performance across both readiness classes.</w:t>
      </w:r>
    </w:p>
    <w:p>
      <w:pPr>
        <w:pStyle w:val="Heading1"/>
      </w:pPr>
      <w:r>
        <w:t>Future Scope to Improve Accuracy</w:t>
      </w:r>
    </w:p>
    <w:p>
      <w:r>
        <w:t>Several enhancements can significantly boost predictive performance for discharge readiness:</w:t>
        <w:br/>
        <w:t>- Merge vitals_timeseries.json to derive early-stay features such as mean heart rate, blood pressure trends, or deterioration flags over the first 10 days.</w:t>
        <w:br/>
        <w:t>- Include comorbidity burden from conditions files or Charlson-like indices, if available across the healthcare domain.</w:t>
        <w:br/>
        <w:t>- Use richer text-based features from discharge_notes or daily notes with NLP embeddings to capture unstructured clinical context.</w:t>
        <w:br/>
        <w:t>- Systematically tune model hyperparameters (learning rate, depth, regularization) using cross-validation.</w:t>
        <w:br/>
        <w:t>- Calibrate predicted probabilities and integrate the model into a decision-support workflow with human-in-the-loop review for borderline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