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Domain – Overall Report</w:t>
      </w:r>
    </w:p>
    <w:p>
      <w:pPr>
        <w:pStyle w:val="Heading1"/>
      </w:pPr>
      <w:r>
        <w:t>Domain Overview</w:t>
      </w:r>
    </w:p>
    <w:p>
      <w:r>
        <w:t>The Healthcare domain in this benchmark simulates core hospital and emergency department workflows using synthetic but realistic data. It spans three key predictive tasks:</w:t>
        <w:br/>
        <w:t>1. 30-Day Readmission Prediction – identifying high-risk inpatients likely to be readmitted within 30 days.</w:t>
        <w:br/>
        <w:t>2. ED Cost Forecasting – predicting cumulative ED costs over the next 3 years.</w:t>
        <w:br/>
        <w:t>3. Discharge Readiness Assessment – determining whether patients will be ready for discharge by day 11.</w:t>
      </w:r>
    </w:p>
    <w:p>
      <w:r>
        <w:t>Together, these tasks cover quality of care, financial risk, and operational efficiency, reflecting the multi-objective nature of real-world healthcare analytics.</w:t>
      </w:r>
    </w:p>
    <w:p>
      <w:pPr>
        <w:pStyle w:val="Heading1"/>
      </w:pPr>
      <w:r>
        <w:t>Data Sources and Structure</w:t>
      </w:r>
    </w:p>
    <w:p>
      <w:r>
        <w:t>The benchmark dataset is composed of several coordinated tables:</w:t>
        <w:br/>
        <w:t>- patients.csv: patient demographics (patient_id, age, sex, insurance, zip3).</w:t>
        <w:br/>
        <w:t>- admissions_train/test.csv: inpatient admissions with diagnoses, acuity, comorbidity indices, ED visits, and discharge weekday, plus the readmit_30d label.</w:t>
        <w:br/>
        <w:t>- ed_cost_train/test.csv: ED cost history, chronic condition type, and future ED costs for 3-year forecasting.</w:t>
        <w:br/>
        <w:t>- stays_train/test.csv: inpatient stays with unit_type, admission_reason, and discharge_ready_day11 label.</w:t>
        <w:br/>
        <w:t>- Additional JSON files (e.g., discharge_notes.json, vitals_timeseries.json, receipts) supporting more advanced feature engineering.</w:t>
      </w:r>
    </w:p>
    <w:p>
      <w:r>
        <w:t>All three challenges share the same patient_id space, enabling cross-linking of demographics and clinical profiles across tasks.</w:t>
      </w:r>
    </w:p>
    <w:p>
      <w:pPr>
        <w:pStyle w:val="Heading1"/>
      </w:pPr>
      <w:r>
        <w:t>Challenge-wise Solution Summary</w:t>
      </w:r>
    </w:p>
    <w:p>
      <w:r>
        <w:t>Challenge 1 – 30-Day Readmission Prediction:</w:t>
        <w:br/>
        <w:t>- Task: Binary classification of readmission within 30 days.</w:t>
        <w:br/>
        <w:t>- Model: Soft-voting ensemble (RandomForest + Gradient Boosting) on engineered admission features.</w:t>
        <w:br/>
        <w:t>- Metric: Macro-F1 Score.</w:t>
        <w:br/>
        <w:t>- Achieved: Validation Macro-F1 ≈ 0.685; benchmark Macro-F1 = 0.6569.</w:t>
      </w:r>
    </w:p>
    <w:p>
      <w:r>
        <w:t>Challenge 2 – ED Cost Forecasting:</w:t>
        <w:br/>
        <w:t>- Task: Regression predicting ed_cost_next3y_usd.</w:t>
        <w:br/>
        <w:t>- Model: GradientBoostingRegressor with interaction and encoded chronic-condition features.</w:t>
        <w:br/>
        <w:t>- Metric: Mean Absolute Error (MAE).</w:t>
        <w:br/>
        <w:t>- Achieved: Validation MAE ≈ 481.5 USD; benchmark MAE ≈ 525.3 USD.</w:t>
      </w:r>
    </w:p>
    <w:p>
      <w:r>
        <w:t>Challenge 3 – Discharge Readiness Assessment:</w:t>
        <w:br/>
        <w:t>- Task: Binary classification of discharge readiness by day 11.</w:t>
        <w:br/>
        <w:t>- Model: Planned tree-based gradient boosting classifier on stay-level and demographic features.</w:t>
        <w:br/>
        <w:t>- Metric: Macro-F1 Score.</w:t>
        <w:br/>
        <w:t>- Achieved: To be updated from final notebook results.</w:t>
      </w:r>
    </w:p>
    <w:p>
      <w:r>
        <w:t>Across all three tasks, models were designed with a strong emphasis on feature engineering, interpretability, and robustness to class imbalance.</w:t>
      </w:r>
    </w:p>
    <w:p>
      <w:pPr>
        <w:pStyle w:val="Heading1"/>
      </w:pPr>
      <w:r>
        <w:t>Cross-cutting Modeling Choices</w:t>
      </w:r>
    </w:p>
    <w:p>
      <w:r>
        <w:t>Several common design patterns were applied across the Healthcare challenges:</w:t>
        <w:br/>
        <w:t>- Use of gradient boosting and ensemble tree models for structured tabular data.</w:t>
        <w:br/>
        <w:t>- Consistent train–validation split strategy (typically 80/20), often stratified by the target class.</w:t>
        <w:br/>
        <w:t>- Focus on domain-driven feature engineering: interaction terms, normalized utilization rates, weekend/weekday discharge flags, etc.</w:t>
        <w:br/>
        <w:t>- Use of evaluation metrics aligned with clinical goals: Macro-F1 to ensure balanced classification performance and MAE/RMSE for interpretable cost and demand errors.</w:t>
        <w:br/>
        <w:t>- Creation of validation CSVs (features and labels) to support offline benchmarking and hyperparameter tuning.</w:t>
      </w:r>
    </w:p>
    <w:p>
      <w:pPr>
        <w:pStyle w:val="Heading1"/>
      </w:pPr>
      <w:r>
        <w:t>Future Directions for the Healthcare Domain</w:t>
      </w:r>
    </w:p>
    <w:p>
      <w:r>
        <w:t>Future work will focus on deepening clinical realism and improving predictive performance:</w:t>
        <w:br/>
        <w:t>- Richer Feature Integration: Merge vitals, lab results, and notes across all tasks, enabling shared representations of patient risk.</w:t>
        <w:br/>
        <w:t>- Temporal Modeling: Use time-series models (e.g., RNNs, Transformers) for vitals and utilization histories instead of purely static features.</w:t>
        <w:br/>
        <w:t>- Multi-task Learning: Explore models that jointly learn readmission risk, ED cost, and discharge readiness, sharing representations across tasks.</w:t>
        <w:br/>
        <w:t>- Fairness and Bias Analysis: Examine performance across demographic subgroups (age, sex, insurance, geography) to ensure equitable care recommendations.</w:t>
        <w:br/>
        <w:t>- Deployment Perspective: Wrap final models as clinical decision-support APIs, with calibrated probability outputs and explainability tooling for clinicians.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