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80"/>
      </w:pPr>
      <w:r>
        <w:rPr>
          <w:rFonts w:ascii="Segoe UI" w:hAnsi="Segoe UI"/>
          <w:b/>
          <w:color w:val="2980B9"/>
          <w:sz w:val="28"/>
        </w:rPr>
        <w:t>YUVA INTERNSHIP PROGRAM</w:t>
      </w:r>
    </w:p>
    <w:p>
      <w:pPr>
        <w:spacing w:after="200" w:line="276" w:lineRule="auto"/>
      </w:pPr>
      <w:r>
        <w:rPr>
          <w:rFonts w:ascii="Segoe UI" w:hAnsi="Segoe UI"/>
          <w:b/>
          <w:color w:val="1B365D"/>
          <w:sz w:val="48"/>
        </w:rPr>
        <w:t>WEEK 1 TECHNICAL REPORT</w:t>
        <w:br/>
        <w:t>DATA ACQUISITION, CLEANING &amp;</w:t>
        <w:br/>
        <w:t>EXPLORATORY DATA ANALYSIS</w:t>
      </w:r>
    </w:p>
    <w:p>
      <w:pPr>
        <w:spacing w:after="800"/>
      </w:pPr>
      <w:r>
        <w:rPr>
          <w:rFonts w:ascii="Segoe UI" w:hAnsi="Segoe UI"/>
          <w:i/>
          <w:color w:val="2C3E50"/>
          <w:sz w:val="24"/>
        </w:rPr>
        <w:t>A Rigorous Empirical Investigation of Demographic and Socioeconomic Survival Dynamics using the Titanic Passenger Directory</w:t>
      </w:r>
    </w:p>
    <w:tbl>
      <w:tblPr>
        <w:tblW w:type="auto" w:w="0"/>
        <w:jc w:val="center"/>
        <w:tblLayout w:type="fixed"/>
        <w:tblLook w:firstColumn="1" w:firstRow="1" w:lastColumn="0" w:lastRow="0" w:noHBand="0" w:noVBand="1" w:val="04A0"/>
      </w:tblPr>
      <w:tblGrid>
        <w:gridCol w:w="4680"/>
        <w:gridCol w:w="4680"/>
      </w:tblGrid>
      <w:tr>
        <w:tc>
          <w:tcPr>
            <w:tcW w:type="dxa" w:w="2880"/>
            <w:shd w:fill="EDF2F7"/>
            <w:tcMar>
              <w:top w:w="80" w:type="dxa"/>
              <w:bottom w:w="80" w:type="dxa"/>
              <w:left w:w="120" w:type="dxa"/>
              <w:right w:w="120" w:type="dxa"/>
            </w:tcMar>
          </w:tcPr>
          <w:p>
            <w:r>
              <w:rPr>
                <w:rFonts w:ascii="Segoe UI" w:hAnsi="Segoe UI"/>
                <w:b/>
                <w:color w:val="1B365D"/>
                <w:sz w:val="19"/>
              </w:rPr>
              <w:t>Dataset</w:t>
            </w:r>
          </w:p>
        </w:tc>
        <w:tc>
          <w:tcPr>
            <w:tcW w:type="dxa" w:w="6480"/>
            <w:shd w:fill="F8FAFC"/>
            <w:tcMar>
              <w:top w:w="80" w:type="dxa"/>
              <w:bottom w:w="80" w:type="dxa"/>
              <w:left w:w="120" w:type="dxa"/>
              <w:right w:w="120" w:type="dxa"/>
            </w:tcMar>
          </w:tcPr>
          <w:p>
            <w:r>
              <w:rPr>
                <w:rFonts w:ascii="Segoe UI" w:hAnsi="Segoe UI"/>
                <w:color w:val="333333"/>
                <w:sz w:val="19"/>
              </w:rPr>
              <w:t>Titanic Passenger Dataset (891 raw records, 777 cleaned)</w:t>
            </w:r>
          </w:p>
        </w:tc>
      </w:tr>
      <w:tr>
        <w:tc>
          <w:tcPr>
            <w:tcW w:type="dxa" w:w="2880"/>
            <w:shd w:fill="EDF2F7"/>
            <w:tcMar>
              <w:top w:w="80" w:type="dxa"/>
              <w:bottom w:w="80" w:type="dxa"/>
              <w:left w:w="120" w:type="dxa"/>
              <w:right w:w="120" w:type="dxa"/>
            </w:tcMar>
          </w:tcPr>
          <w:p>
            <w:r>
              <w:rPr>
                <w:rFonts w:ascii="Segoe UI" w:hAnsi="Segoe UI"/>
                <w:b/>
                <w:color w:val="1B365D"/>
                <w:sz w:val="19"/>
              </w:rPr>
              <w:t>Technology Stack</w:t>
            </w:r>
          </w:p>
        </w:tc>
        <w:tc>
          <w:tcPr>
            <w:tcW w:type="dxa" w:w="6480"/>
            <w:shd w:fill="F8FAFC"/>
            <w:tcMar>
              <w:top w:w="80" w:type="dxa"/>
              <w:bottom w:w="80" w:type="dxa"/>
              <w:left w:w="120" w:type="dxa"/>
              <w:right w:w="120" w:type="dxa"/>
            </w:tcMar>
          </w:tcPr>
          <w:p>
            <w:r>
              <w:rPr>
                <w:rFonts w:ascii="Segoe UI" w:hAnsi="Segoe UI"/>
                <w:color w:val="333333"/>
                <w:sz w:val="19"/>
              </w:rPr>
              <w:t>Python 3.13 | Pandas | NumPy | Matplotlib | Seaborn | SciPy</w:t>
            </w:r>
          </w:p>
        </w:tc>
      </w:tr>
      <w:tr>
        <w:tc>
          <w:tcPr>
            <w:tcW w:type="dxa" w:w="2880"/>
            <w:shd w:fill="EDF2F7"/>
            <w:tcMar>
              <w:top w:w="80" w:type="dxa"/>
              <w:bottom w:w="80" w:type="dxa"/>
              <w:left w:w="120" w:type="dxa"/>
              <w:right w:w="120" w:type="dxa"/>
            </w:tcMar>
          </w:tcPr>
          <w:p>
            <w:r>
              <w:rPr>
                <w:rFonts w:ascii="Segoe UI" w:hAnsi="Segoe UI"/>
                <w:b/>
                <w:color w:val="1B365D"/>
                <w:sz w:val="19"/>
              </w:rPr>
              <w:t>Prepared By</w:t>
            </w:r>
          </w:p>
        </w:tc>
        <w:tc>
          <w:tcPr>
            <w:tcW w:type="dxa" w:w="6480"/>
            <w:shd w:fill="F8FAFC"/>
            <w:tcMar>
              <w:top w:w="80" w:type="dxa"/>
              <w:bottom w:w="80" w:type="dxa"/>
              <w:left w:w="120" w:type="dxa"/>
              <w:right w:w="120" w:type="dxa"/>
            </w:tcMar>
          </w:tcPr>
          <w:p>
            <w:r>
              <w:rPr>
                <w:rFonts w:ascii="Segoe UI" w:hAnsi="Segoe UI"/>
                <w:color w:val="333333"/>
                <w:sz w:val="19"/>
              </w:rPr>
              <w:t>Data Science &amp; Machine Learning Intern</w:t>
            </w:r>
          </w:p>
        </w:tc>
      </w:tr>
      <w:tr>
        <w:tc>
          <w:tcPr>
            <w:tcW w:type="dxa" w:w="2880"/>
            <w:shd w:fill="EDF2F7"/>
            <w:tcMar>
              <w:top w:w="80" w:type="dxa"/>
              <w:bottom w:w="80" w:type="dxa"/>
              <w:left w:w="120" w:type="dxa"/>
              <w:right w:w="120" w:type="dxa"/>
            </w:tcMar>
          </w:tcPr>
          <w:p>
            <w:r>
              <w:rPr>
                <w:rFonts w:ascii="Segoe UI" w:hAnsi="Segoe UI"/>
                <w:b/>
                <w:color w:val="1B365D"/>
                <w:sz w:val="19"/>
              </w:rPr>
              <w:t>Internship Track</w:t>
            </w:r>
          </w:p>
        </w:tc>
        <w:tc>
          <w:tcPr>
            <w:tcW w:type="dxa" w:w="6480"/>
            <w:shd w:fill="F8FAFC"/>
            <w:tcMar>
              <w:top w:w="80" w:type="dxa"/>
              <w:bottom w:w="80" w:type="dxa"/>
              <w:left w:w="120" w:type="dxa"/>
              <w:right w:w="120" w:type="dxa"/>
            </w:tcMar>
          </w:tcPr>
          <w:p>
            <w:r>
              <w:rPr>
                <w:rFonts w:ascii="Segoe UI" w:hAnsi="Segoe UI"/>
                <w:color w:val="333333"/>
                <w:sz w:val="19"/>
              </w:rPr>
              <w:t>Yuva Internship – Week 1 Milestone</w:t>
            </w:r>
          </w:p>
        </w:tc>
      </w:tr>
      <w:tr>
        <w:tc>
          <w:tcPr>
            <w:tcW w:type="dxa" w:w="2880"/>
            <w:shd w:fill="EDF2F7"/>
            <w:tcMar>
              <w:top w:w="80" w:type="dxa"/>
              <w:bottom w:w="80" w:type="dxa"/>
              <w:left w:w="120" w:type="dxa"/>
              <w:right w:w="120" w:type="dxa"/>
            </w:tcMar>
          </w:tcPr>
          <w:p>
            <w:r>
              <w:rPr>
                <w:rFonts w:ascii="Segoe UI" w:hAnsi="Segoe UI"/>
                <w:b/>
                <w:color w:val="1B365D"/>
                <w:sz w:val="19"/>
              </w:rPr>
              <w:t>Submission Date</w:t>
            </w:r>
          </w:p>
        </w:tc>
        <w:tc>
          <w:tcPr>
            <w:tcW w:type="dxa" w:w="6480"/>
            <w:shd w:fill="F8FAFC"/>
            <w:tcMar>
              <w:top w:w="80" w:type="dxa"/>
              <w:bottom w:w="80" w:type="dxa"/>
              <w:left w:w="120" w:type="dxa"/>
              <w:right w:w="120" w:type="dxa"/>
            </w:tcMar>
          </w:tcPr>
          <w:p>
            <w:r>
              <w:rPr>
                <w:rFonts w:ascii="Segoe UI" w:hAnsi="Segoe UI"/>
                <w:color w:val="333333"/>
                <w:sz w:val="19"/>
              </w:rPr>
              <w:t>October 2026</w:t>
            </w:r>
          </w:p>
        </w:tc>
      </w:tr>
      <w:tr>
        <w:tc>
          <w:tcPr>
            <w:tcW w:type="dxa" w:w="2880"/>
            <w:shd w:fill="EDF2F7"/>
            <w:tcMar>
              <w:top w:w="80" w:type="dxa"/>
              <w:bottom w:w="80" w:type="dxa"/>
              <w:left w:w="120" w:type="dxa"/>
              <w:right w:w="120" w:type="dxa"/>
            </w:tcMar>
          </w:tcPr>
          <w:p>
            <w:r>
              <w:rPr>
                <w:rFonts w:ascii="Segoe UI" w:hAnsi="Segoe UI"/>
                <w:b/>
                <w:color w:val="1B365D"/>
                <w:sz w:val="19"/>
              </w:rPr>
              <w:t>Project Status</w:t>
            </w:r>
          </w:p>
        </w:tc>
        <w:tc>
          <w:tcPr>
            <w:tcW w:type="dxa" w:w="6480"/>
            <w:shd w:fill="F8FAFC"/>
            <w:tcMar>
              <w:top w:w="80" w:type="dxa"/>
              <w:bottom w:w="80" w:type="dxa"/>
              <w:left w:w="120" w:type="dxa"/>
              <w:right w:w="120" w:type="dxa"/>
            </w:tcMar>
          </w:tcPr>
          <w:p>
            <w:r>
              <w:rPr>
                <w:rFonts w:ascii="Segoe UI" w:hAnsi="Segoe UI"/>
                <w:color w:val="333333"/>
                <w:sz w:val="19"/>
              </w:rPr>
              <w:t>Verified, Reproducible, and Complete</w:t>
            </w:r>
          </w:p>
        </w:tc>
      </w:tr>
    </w:tbl>
    <w:p>
      <w:r>
        <w:br w:type="page"/>
      </w:r>
    </w:p>
    <w:p>
      <w:pPr>
        <w:keepNext/>
        <w:spacing w:before="320" w:after="120"/>
      </w:pPr>
      <w:r>
        <w:rPr>
          <w:rFonts w:ascii="Segoe UI" w:hAnsi="Segoe UI"/>
          <w:b/>
          <w:color w:val="1B365D"/>
          <w:sz w:val="32"/>
        </w:rPr>
        <w:t>EXECUTIVE SUMMARY</w:t>
      </w:r>
    </w:p>
    <w:p>
      <w:pPr>
        <w:spacing w:before="0" w:after="120" w:line="276" w:lineRule="auto"/>
      </w:pPr>
      <w:r>
        <w:rPr>
          <w:rFonts w:ascii="Segoe UI" w:hAnsi="Segoe UI"/>
          <w:color w:val="333333"/>
          <w:sz w:val="20"/>
        </w:rPr>
        <w:t>This report encapsulates the comprehensive execution of the YUVA Internship Week 1 Data Science Task: Data Acquisition, Cleaning, and Exploratory Data Analysis (EDA). The objective is to simulate an authentic, production-grade data preparation and analytical lifecycle using the publicly available Titanic passenger dataset. Data preparation is broadly recognized across industry as occupying 70% to 80% of an applied data scientist's workload; hence, this task establishes rigorous hygiene, defensible imputation protocols, statistical auditing, and reproducible feature engineering prior to predictive modeling.</w:t>
      </w:r>
    </w:p>
    <w:p>
      <w:pPr>
        <w:spacing w:before="0" w:after="120" w:line="276" w:lineRule="auto"/>
      </w:pPr>
      <w:r>
        <w:rPr>
          <w:rFonts w:ascii="Segoe UI" w:hAnsi="Segoe UI"/>
          <w:color w:val="333333"/>
          <w:sz w:val="20"/>
        </w:rPr>
        <w:t>Using Python 3.13, Pandas, NumPy, Matplotlib, and Seaborn, the pipeline ingested 891 raw passenger records across 15 attributes. Through exhaustive quality auditing, we identified 107 intrinsic duplicate rows lacking unique primary keys, 688 missing values in cabin deck (77.22%), 177 missing values in passenger age (19.87%), and 2 missing values in embarkation port (0.22%). A multi-stage, auditable cleaning framework resolved these imperfections without crude zero-filling or destructive column drops. Hierarchical median imputation stratified by socioeconomic class and gender accurately reconstructed missing age distributions, while cabin deck was preserved via an 'Unknown' category token coupled with an engineered binary indicator.</w:t>
      </w:r>
    </w:p>
    <w:p>
      <w:pPr>
        <w:spacing w:before="0" w:after="120" w:line="276" w:lineRule="auto"/>
      </w:pPr>
      <w:r>
        <w:rPr>
          <w:rFonts w:ascii="Segoe UI" w:hAnsi="Segoe UI"/>
          <w:color w:val="333333"/>
          <w:sz w:val="20"/>
        </w:rPr>
        <w:t>Subsequent exploratory data analysis revealed striking demographic and socioeconomic survival disparities: female passengers survived at a rate of 73.97% compared to 21.86% for males; first-class passengers experienced 63.68% survival versus 25.75% for third class; and small family units of 2 to 4 members demonstrated optimal survival resilience (50.0% – 71.4%) relative to solitary travelers (34.3%) and large extended families (&lt;25%). All empirical findings in this report are calculated directly from the verified dataset.</w:t>
      </w:r>
    </w:p>
    <w:p>
      <w:pPr>
        <w:keepNext/>
        <w:spacing w:before="240" w:after="80"/>
      </w:pPr>
      <w:r>
        <w:rPr>
          <w:rFonts w:ascii="Segoe UI" w:hAnsi="Segoe UI"/>
          <w:b/>
          <w:color w:val="2980B9"/>
          <w:sz w:val="26"/>
        </w:rPr>
        <w:t>REPORT STRUCTURE &amp; TABLE OF CONTENTS</w:t>
      </w:r>
    </w:p>
    <w:tbl>
      <w:tblPr>
        <w:tblW w:type="auto" w:w="0"/>
        <w:jc w:val="center"/>
        <w:tblLayout w:type="fixed"/>
        <w:tblLook w:firstColumn="1" w:firstRow="1" w:lastColumn="0" w:lastRow="0" w:noHBand="0" w:noVBand="1" w:val="04A0"/>
      </w:tblPr>
      <w:tblGrid>
        <w:gridCol w:w="4680"/>
        <w:gridCol w:w="4680"/>
      </w:tblGrid>
      <w:tr>
        <w:tc>
          <w:tcPr>
            <w:tcW w:type="dxa" w:w="360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Section Chapter</w:t>
            </w:r>
          </w:p>
        </w:tc>
        <w:tc>
          <w:tcPr>
            <w:tcW w:type="dxa" w:w="576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Topic &amp; Deliverable Scope</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 Introduction</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Context of data acquisition, cleaning, and EDA in data science workflows</w:t>
            </w:r>
          </w:p>
        </w:tc>
      </w:tr>
      <w:tr>
        <w:tc>
          <w:tcPr>
            <w:tcW w:type="dxa" w:w="360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 Objectives</w:t>
            </w:r>
          </w:p>
        </w:tc>
        <w:tc>
          <w:tcPr>
            <w:tcW w:type="dxa" w:w="576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Formal technical and analytical milestone goals for Week 1</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 Dataset Acquisition</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Provenance, acquisition methodology, dimensions, and data dictionary</w:t>
            </w:r>
          </w:p>
        </w:tc>
      </w:tr>
      <w:tr>
        <w:tc>
          <w:tcPr>
            <w:tcW w:type="dxa" w:w="360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4. Tools and Technologies</w:t>
            </w:r>
          </w:p>
        </w:tc>
        <w:tc>
          <w:tcPr>
            <w:tcW w:type="dxa" w:w="576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Ecosystem overview: Python, Pandas, NumPy, Matplotlib, Seaborn, Jupyter</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5. Initial Data Inspection</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Data inspection, dimension cataloging, data types, and descriptive baselines</w:t>
            </w:r>
          </w:p>
        </w:tc>
      </w:tr>
      <w:tr>
        <w:tc>
          <w:tcPr>
            <w:tcW w:type="dxa" w:w="360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6. Data Quality Assessment</w:t>
            </w:r>
          </w:p>
        </w:tc>
        <w:tc>
          <w:tcPr>
            <w:tcW w:type="dxa" w:w="576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Missing value quantification, duplicate auditing, and initial hygiene charts</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7. Data Cleaning &amp; Preprocessing</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Principled imputation, deduplication rationale, type casting, and outlier audit</w:t>
            </w:r>
          </w:p>
        </w:tc>
      </w:tr>
      <w:tr>
        <w:tc>
          <w:tcPr>
            <w:tcW w:type="dxa" w:w="360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 Exploratory Data Analysis</w:t>
            </w:r>
          </w:p>
        </w:tc>
        <w:tc>
          <w:tcPr>
            <w:tcW w:type="dxa" w:w="576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Univariate, bivariate, and multivariate demographic and socioeconomic survival analysis</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9. Correlation Analysis</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Pearson correlation matrix, multicollinearity evaluation, and causality caveats</w:t>
            </w:r>
          </w:p>
        </w:tc>
      </w:tr>
      <w:tr>
        <w:tc>
          <w:tcPr>
            <w:tcW w:type="dxa" w:w="360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 Key Insights</w:t>
            </w:r>
          </w:p>
        </w:tc>
        <w:tc>
          <w:tcPr>
            <w:tcW w:type="dxa" w:w="576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 data-backed empirical findings strictly grounded in dataset calculations</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11. Areas for Further Analysis</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Machine learning classification roadmap, feature engineering, and validation strategy</w:t>
            </w:r>
          </w:p>
        </w:tc>
      </w:tr>
      <w:tr>
        <w:tc>
          <w:tcPr>
            <w:tcW w:type="dxa" w:w="360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12. Conclusion</w:t>
            </w:r>
          </w:p>
        </w:tc>
        <w:tc>
          <w:tcPr>
            <w:tcW w:type="dxa" w:w="576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Synthesis of findings and lessons in data preparation excellence</w:t>
            </w:r>
          </w:p>
        </w:tc>
      </w:tr>
      <w:tr>
        <w:tc>
          <w:tcPr>
            <w:tcW w:type="dxa" w:w="360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13. References</w:t>
            </w:r>
          </w:p>
        </w:tc>
        <w:tc>
          <w:tcPr>
            <w:tcW w:type="dxa" w:w="576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Academic literature, dataset provenance, and library documentation citations</w:t>
            </w:r>
          </w:p>
        </w:tc>
      </w:tr>
    </w:tbl>
    <w:p>
      <w:r>
        <w:br w:type="page"/>
      </w:r>
    </w:p>
    <w:p>
      <w:pPr>
        <w:keepNext/>
        <w:spacing w:before="320" w:after="120"/>
      </w:pPr>
      <w:r>
        <w:rPr>
          <w:rFonts w:ascii="Segoe UI" w:hAnsi="Segoe UI"/>
          <w:b/>
          <w:color w:val="1B365D"/>
          <w:sz w:val="32"/>
        </w:rPr>
        <w:t>1. INTRODUCTION</w:t>
      </w:r>
    </w:p>
    <w:p>
      <w:pPr>
        <w:spacing w:before="0" w:after="120" w:line="276" w:lineRule="auto"/>
      </w:pPr>
      <w:r>
        <w:rPr>
          <w:rFonts w:ascii="Segoe UI" w:hAnsi="Segoe UI"/>
          <w:color w:val="333333"/>
          <w:sz w:val="20"/>
        </w:rPr>
        <w:t>In modern machine learning and statistical computing, the adage 'Garbage In, Garbage Out' (GIGO) governs all applied outcomes. Model architectures, hyperparameter optimizations, and complex ensembling techniques remain fundamentally futile if the underlying training data is compromised by unaddressed missingness, duplicate contamination, inaccurate data types, or poorly understood distributions. Consequently, professional data scientists dedicate the vast majority of project cycles to data acquisition, data cleaning, and exploratory data analysis.</w:t>
      </w:r>
    </w:p>
    <w:p>
      <w:pPr>
        <w:spacing w:before="0" w:after="120" w:line="276" w:lineRule="auto"/>
      </w:pPr>
      <w:r>
        <w:rPr>
          <w:rFonts w:ascii="Segoe UI" w:hAnsi="Segoe UI"/>
          <w:color w:val="333333"/>
          <w:sz w:val="20"/>
        </w:rPr>
        <w:t>The purpose of this Week 1 YUVA Internship task is to execute an end-to-end data preparation workflow simulating an industrial data science engagement. Using the historical Titanic passenger directory, we move beyond textbook toy demonstrations to conduct a thorough diagnostic audit, justify every preprocessing decision with mathematical and domain rationale, uncover multi-dimensional relationships, and construct a reproducible foundation for future predictive modeling.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single" w:sz="4" w:space="0" w:color="D8E2EC"/>
              <w:left w:val="single" w:sz="20" w:space="0" w:color="1B365D"/>
              <w:bottom w:val="single" w:sz="4" w:space="0" w:color="D8E2EC"/>
              <w:right w:val="single" w:sz="4" w:space="0" w:color="D8E2EC"/>
            </w:tcBorders>
          </w:tcPr>
          <w:p>
            <w:pPr>
              <w:spacing w:before="40" w:after="40"/>
            </w:pPr>
            <w:r>
              <w:rPr>
                <w:rFonts w:ascii="Segoe UI" w:hAnsi="Segoe UI"/>
                <w:b/>
                <w:color w:val="1B365D"/>
                <w:sz w:val="19"/>
              </w:rPr>
              <w:t xml:space="preserve">• CORE METHODOLOGICAL PRINCIPLE: </w:t>
            </w:r>
            <w:r>
              <w:rPr>
                <w:rFonts w:ascii="Segoe UI" w:hAnsi="Segoe UI"/>
                <w:color w:val="333333"/>
                <w:sz w:val="19"/>
              </w:rPr>
              <w:t>Data hygiene is an active decision-making process. Imputing values or dropping records alters the underlying probability distribution of the features. Every transformation must be logged, defensible, and audited against domain reality.</w:t>
            </w:r>
          </w:p>
        </w:tc>
      </w:tr>
    </w:tbl>
    <w:p>
      <w:pPr>
        <w:spacing w:after="80"/>
      </w:pPr>
    </w:p>
    <w:p>
      <w:pPr>
        <w:keepNext/>
        <w:spacing w:before="320" w:after="120"/>
      </w:pPr>
      <w:r>
        <w:rPr>
          <w:rFonts w:ascii="Segoe UI" w:hAnsi="Segoe UI"/>
          <w:b/>
          <w:color w:val="1B365D"/>
          <w:sz w:val="32"/>
        </w:rPr>
        <w:t>2. OBJECTIVES</w:t>
      </w:r>
    </w:p>
    <w:p>
      <w:pPr>
        <w:spacing w:before="0" w:after="120" w:line="276" w:lineRule="auto"/>
      </w:pPr>
      <w:r>
        <w:rPr>
          <w:rFonts w:ascii="Segoe UI" w:hAnsi="Segoe UI"/>
          <w:color w:val="333333"/>
          <w:sz w:val="20"/>
        </w:rPr>
        <w:t>To satisfy all requirements of the YUVA Internship Week 1 syllabus, the project achieves the following specific objectives:</w:t>
      </w:r>
    </w:p>
    <w:p>
      <w:pPr>
        <w:spacing w:before="0" w:after="60" w:line="276" w:lineRule="auto"/>
      </w:pPr>
      <w:r>
        <w:rPr>
          <w:rFonts w:ascii="Segoe UI" w:hAnsi="Segoe UI"/>
          <w:color w:val="333333"/>
          <w:sz w:val="20"/>
        </w:rPr>
        <w:t>1. Acquire a verified public dataset programmatically using Python without manual file dependencies.</w:t>
      </w:r>
    </w:p>
    <w:p>
      <w:pPr>
        <w:spacing w:before="0" w:after="60" w:line="276" w:lineRule="auto"/>
      </w:pPr>
      <w:r>
        <w:rPr>
          <w:rFonts w:ascii="Segoe UI" w:hAnsi="Segoe UI"/>
          <w:color w:val="333333"/>
          <w:sz w:val="20"/>
        </w:rPr>
        <w:t>2. Conduct initial structural inspection (shape, column types, head, tail, and memory footprint).</w:t>
      </w:r>
    </w:p>
    <w:p>
      <w:pPr>
        <w:spacing w:before="0" w:after="60" w:line="276" w:lineRule="auto"/>
      </w:pPr>
      <w:r>
        <w:rPr>
          <w:rFonts w:ascii="Segoe UI" w:hAnsi="Segoe UI"/>
          <w:color w:val="333333"/>
          <w:sz w:val="20"/>
        </w:rPr>
        <w:t>3. Audit missing values across all features, quantify missing percentages, and render diagnostic charts.</w:t>
      </w:r>
    </w:p>
    <w:p>
      <w:pPr>
        <w:spacing w:before="0" w:after="60" w:line="276" w:lineRule="auto"/>
      </w:pPr>
      <w:r>
        <w:rPr>
          <w:rFonts w:ascii="Segoe UI" w:hAnsi="Segoe UI"/>
          <w:color w:val="333333"/>
          <w:sz w:val="20"/>
        </w:rPr>
        <w:t>4. Evaluate duplicate records, delineate between identifier omission and pseudo-replication, and eliminate redundancy.</w:t>
      </w:r>
    </w:p>
    <w:p>
      <w:pPr>
        <w:spacing w:before="0" w:after="60" w:line="276" w:lineRule="auto"/>
      </w:pPr>
      <w:r>
        <w:rPr>
          <w:rFonts w:ascii="Segoe UI" w:hAnsi="Segoe UI"/>
          <w:color w:val="333333"/>
          <w:sz w:val="20"/>
        </w:rPr>
        <w:t>5. Implement domain-justified imputation protocols (avoiding blind zero-filling or mean distortion).</w:t>
      </w:r>
    </w:p>
    <w:p>
      <w:pPr>
        <w:spacing w:before="0" w:after="60" w:line="276" w:lineRule="auto"/>
      </w:pPr>
      <w:r>
        <w:rPr>
          <w:rFonts w:ascii="Segoe UI" w:hAnsi="Segoe UI"/>
          <w:color w:val="333333"/>
          <w:sz w:val="20"/>
        </w:rPr>
        <w:t>6. Audit statistical outliers via the Interquartile Range (IQR) rule and justify their retention using historical records.</w:t>
      </w:r>
    </w:p>
    <w:p>
      <w:pPr>
        <w:spacing w:before="0" w:after="60" w:line="276" w:lineRule="auto"/>
      </w:pPr>
      <w:r>
        <w:rPr>
          <w:rFonts w:ascii="Segoe UI" w:hAnsi="Segoe UI"/>
          <w:color w:val="333333"/>
          <w:sz w:val="20"/>
        </w:rPr>
        <w:t>7. Optimize feature data types and engineer composite domain predictors (family size, travel status, age cohorts).</w:t>
      </w:r>
    </w:p>
    <w:p>
      <w:pPr>
        <w:spacing w:before="0" w:after="60" w:line="276" w:lineRule="auto"/>
      </w:pPr>
      <w:r>
        <w:rPr>
          <w:rFonts w:ascii="Segoe UI" w:hAnsi="Segoe UI"/>
          <w:color w:val="333333"/>
          <w:sz w:val="20"/>
        </w:rPr>
        <w:t>8. Validate final clean dataset integrity (0 missing values, 0 duplicates) and persist to processed storage.</w:t>
      </w:r>
    </w:p>
    <w:p>
      <w:pPr>
        <w:spacing w:before="0" w:after="60" w:line="276" w:lineRule="auto"/>
      </w:pPr>
      <w:r>
        <w:rPr>
          <w:rFonts w:ascii="Segoe UI" w:hAnsi="Segoe UI"/>
          <w:color w:val="333333"/>
          <w:sz w:val="20"/>
        </w:rPr>
        <w:t>9. Generate at least 6 high-resolution visualizations adhering to publication-grade aesthetic standards.</w:t>
      </w:r>
    </w:p>
    <w:p>
      <w:pPr>
        <w:spacing w:before="0" w:after="60" w:line="276" w:lineRule="auto"/>
      </w:pPr>
      <w:r>
        <w:rPr>
          <w:rFonts w:ascii="Segoe UI" w:hAnsi="Segoe UI"/>
          <w:color w:val="333333"/>
          <w:sz w:val="20"/>
        </w:rPr>
        <w:t>10. Compute rigorous bivariate cross-tabulations to evaluate demographic and socioeconomic survival hypotheses.</w:t>
      </w:r>
    </w:p>
    <w:p>
      <w:pPr>
        <w:spacing w:before="0" w:after="60" w:line="276" w:lineRule="auto"/>
      </w:pPr>
      <w:r>
        <w:rPr>
          <w:rFonts w:ascii="Segoe UI" w:hAnsi="Segoe UI"/>
          <w:color w:val="333333"/>
          <w:sz w:val="20"/>
        </w:rPr>
        <w:t>11. Construct a Pearson correlation heatmap and analyze linear feature relationships without conflating correlation with causation.</w:t>
      </w:r>
    </w:p>
    <w:p>
      <w:pPr>
        <w:spacing w:before="0" w:after="60" w:line="276" w:lineRule="auto"/>
      </w:pPr>
      <w:r>
        <w:rPr>
          <w:rFonts w:ascii="Segoe UI" w:hAnsi="Segoe UI"/>
          <w:color w:val="333333"/>
          <w:sz w:val="20"/>
        </w:rPr>
        <w:t>12. Formulate concise, empirically grounded insights and articulate a technical roadmap for machine learning modeling.</w:t>
      </w:r>
    </w:p>
    <w:p>
      <w:pPr>
        <w:keepNext/>
        <w:spacing w:before="320" w:after="120"/>
      </w:pPr>
      <w:r>
        <w:rPr>
          <w:rFonts w:ascii="Segoe UI" w:hAnsi="Segoe UI"/>
          <w:b/>
          <w:color w:val="1B365D"/>
          <w:sz w:val="32"/>
        </w:rPr>
        <w:t>3. DATASET ACQUISITION &amp; DATA DICTIONARY</w:t>
      </w:r>
    </w:p>
    <w:p>
      <w:pPr>
        <w:spacing w:before="0" w:after="120" w:line="276" w:lineRule="auto"/>
      </w:pPr>
      <w:r>
        <w:rPr>
          <w:rFonts w:ascii="Segoe UI" w:hAnsi="Segoe UI"/>
          <w:color w:val="333333"/>
          <w:sz w:val="20"/>
        </w:rPr>
        <w:t>The Titanic Passenger Dataset represents one of the most widely scrutinized benchmarks in statistical history. It catalogs the personal, demographic, ticket, and survival details of passengers aboard the ill-fated maiden voyage of the RMS Titanic, which sank on April 15, 1912. The dataset was selected because it combines heterogeneous feature types (continuous numeric, discrete counts, nominal categories, and ordinal ranks), exhibits varied missingness patterns, and encapsulates real-world human behavior during crisis conditions.</w:t>
      </w:r>
    </w:p>
    <w:p>
      <w:pPr>
        <w:spacing w:before="0" w:after="120" w:line="276" w:lineRule="auto"/>
      </w:pPr>
      <w:r>
        <w:rPr>
          <w:rFonts w:ascii="Segoe UI" w:hAnsi="Segoe UI"/>
          <w:color w:val="333333"/>
          <w:sz w:val="20"/>
        </w:rPr>
        <w:t>The dataset was acquired programmatically from the official Seaborn GitHub repository, backed by British Board of Trade historical registers. To guarantee full offline reproducibility, the programmatic acquisition routine persists a raw snapshot directly into 'data/raw/titanic_raw.csv' prior to any transformation. The raw dataset contains exactly 891 rows and 15 columns.</w:t>
      </w:r>
    </w:p>
    <w:p>
      <w:pPr>
        <w:keepNext/>
        <w:spacing w:before="240" w:after="80"/>
      </w:pPr>
      <w:r>
        <w:rPr>
          <w:rFonts w:ascii="Segoe UI" w:hAnsi="Segoe UI"/>
          <w:b/>
          <w:color w:val="2980B9"/>
          <w:sz w:val="26"/>
        </w:rPr>
        <w:t>Dataset Summary &amp; Formal Data Dictionary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Variable</w:t>
            </w:r>
          </w:p>
        </w:tc>
        <w:tc>
          <w:tcPr>
            <w:tcW w:type="dxa" w:w="158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Type</w:t>
            </w:r>
          </w:p>
        </w:tc>
        <w:tc>
          <w:tcPr>
            <w:tcW w:type="dxa" w:w="144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Class</w:t>
            </w:r>
          </w:p>
        </w:tc>
        <w:tc>
          <w:tcPr>
            <w:tcW w:type="dxa" w:w="302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Description</w:t>
            </w:r>
          </w:p>
        </w:tc>
        <w:tc>
          <w:tcPr>
            <w:tcW w:type="dxa" w:w="172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Key / Domain Range</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survived</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int64</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Binary</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Survival outcome flag</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 = No, 1 = Yes</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pclass</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int64</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Ordinal</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Passenger socioeconomic class</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 = 1st, 2 = 2nd, 3 = 3rd</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sex</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Nominal</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Biological sex of passenger</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'male', 'female'</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age</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float64</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Continuous</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Passenger age in years</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0.42 to 80.0 years</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sibsp</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int64</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Discrete</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Count of siblings / spouses aboard</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 to 8</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parch</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int64</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Discrete</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Count of parents / children aboard</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 to 6</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fare</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float64</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Continuous</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Passenger ticket fare in British pounds</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 to £512.33</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embarked</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Nominal</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Port of embarkation code</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 Q, S</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class</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category</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Ordinal</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Textual class descriptor</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'First', 'Second', 'Third'</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who</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Nominal</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Demographic category</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'man', 'woman', 'child'</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adult_male</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bool</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Binary</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Adult male passenger indicator</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True, False</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deck</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category</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Nominal</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Assigned cabin deck letter</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 B, C, D, E, F, G</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embark_town</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Nominal</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Full name of embarkation port</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Cherbourg, Queenstown, Southampton</w:t>
            </w:r>
          </w:p>
        </w:tc>
      </w:tr>
      <w:tr>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alive</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Binary</w:t>
            </w:r>
          </w:p>
        </w:tc>
        <w:tc>
          <w:tcPr>
            <w:tcW w:type="dxa" w:w="302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Textual survival indicator</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'yes', 'no'</w:t>
            </w:r>
          </w:p>
        </w:tc>
      </w:tr>
      <w:tr>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alone</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bool</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Binary</w:t>
            </w:r>
          </w:p>
        </w:tc>
        <w:tc>
          <w:tcPr>
            <w:tcW w:type="dxa" w:w="302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Solitary traveler indicator</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True, False</w:t>
            </w:r>
          </w:p>
        </w:tc>
      </w:tr>
    </w:tbl>
    <w:p>
      <w:r>
        <w:br w:type="page"/>
      </w:r>
    </w:p>
    <w:p>
      <w:pPr>
        <w:keepNext/>
        <w:spacing w:before="320" w:after="120"/>
      </w:pPr>
      <w:r>
        <w:rPr>
          <w:rFonts w:ascii="Segoe UI" w:hAnsi="Segoe UI"/>
          <w:b/>
          <w:color w:val="1B365D"/>
          <w:sz w:val="32"/>
        </w:rPr>
        <w:t>4. TOOLS AND TECHNOLOGIES</w:t>
      </w:r>
    </w:p>
    <w:p>
      <w:pPr>
        <w:spacing w:before="0" w:after="120" w:line="276" w:lineRule="auto"/>
      </w:pPr>
      <w:r>
        <w:rPr>
          <w:rFonts w:ascii="Segoe UI" w:hAnsi="Segoe UI"/>
          <w:color w:val="333333"/>
          <w:sz w:val="20"/>
        </w:rPr>
        <w:t>The project was executed in a modern, isolated Python 3.13 virtual environment using industry-standard libraries:</w:t>
      </w:r>
    </w:p>
    <w:tbl>
      <w:tblPr>
        <w:tblW w:type="auto" w:w="0"/>
        <w:jc w:val="center"/>
        <w:tblLayout w:type="fixed"/>
        <w:tblLook w:firstColumn="1" w:firstRow="1" w:lastColumn="0" w:lastRow="0" w:noHBand="0" w:noVBand="1" w:val="04A0"/>
      </w:tblPr>
      <w:tblGrid>
        <w:gridCol w:w="4680"/>
        <w:gridCol w:w="4680"/>
      </w:tblGrid>
      <w:tr>
        <w:tc>
          <w:tcPr>
            <w:tcW w:type="dxa" w:w="288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Technology</w:t>
            </w:r>
          </w:p>
        </w:tc>
        <w:tc>
          <w:tcPr>
            <w:tcW w:type="dxa" w:w="648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Role &amp; Functional Application in Project</w:t>
            </w:r>
          </w:p>
        </w:tc>
      </w:tr>
      <w:tr>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Python 3.13</w:t>
            </w:r>
          </w:p>
        </w:tc>
        <w:tc>
          <w:tcPr>
            <w:tcW w:type="dxa" w:w="64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Core programming language providing robust object-oriented scripting and data processing capabilities.</w:t>
            </w:r>
          </w:p>
        </w:tc>
      </w:tr>
      <w:tr>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Pandas (3.0.6)</w:t>
            </w:r>
          </w:p>
        </w:tc>
        <w:tc>
          <w:tcPr>
            <w:tcW w:type="dxa" w:w="64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Primary data manipulation framework used for DataFrame operations, grouped aggregations, type casting, and CSV persistence.</w:t>
            </w:r>
          </w:p>
        </w:tc>
      </w:tr>
      <w:tr>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NumPy (2.5.3)</w:t>
            </w:r>
          </w:p>
        </w:tc>
        <w:tc>
          <w:tcPr>
            <w:tcW w:type="dxa" w:w="64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Vectorized scientific computing engine utilized for array calculations, statistical percentiles, and boolean masking.</w:t>
            </w:r>
          </w:p>
        </w:tc>
      </w:tr>
      <w:tr>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Matplotlib (3.11.2)</w:t>
            </w:r>
          </w:p>
        </w:tc>
        <w:tc>
          <w:tcPr>
            <w:tcW w:type="dxa" w:w="64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Core visualization foundation used for figure canvas configuration, dpi tuning, custom bar rendering, and axis management.</w:t>
            </w:r>
          </w:p>
        </w:tc>
      </w:tr>
      <w:tr>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Seaborn (0.13.2)</w:t>
            </w:r>
          </w:p>
        </w:tc>
        <w:tc>
          <w:tcPr>
            <w:tcW w:type="dxa" w:w="64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Statistical visualization suite built on Matplotlib, providing elegant distributions, kernel density estimations, and diverging heatmaps.</w:t>
            </w:r>
          </w:p>
        </w:tc>
      </w:tr>
      <w:tr>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SciPy (1.18.1)</w:t>
            </w:r>
          </w:p>
        </w:tc>
        <w:tc>
          <w:tcPr>
            <w:tcW w:type="dxa" w:w="64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Scientific computing library utilized for statistical metrics, IQR outlier bounds, and correlation validation.</w:t>
            </w:r>
          </w:p>
        </w:tc>
      </w:tr>
      <w:tr>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Jupyter Notebook</w:t>
            </w:r>
          </w:p>
        </w:tc>
        <w:tc>
          <w:tcPr>
            <w:tcW w:type="dxa" w:w="64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Interactive computational notebook environment combining markdown theory, inline execution outputs, and visualizations.</w:t>
            </w:r>
          </w:p>
        </w:tc>
      </w:tr>
      <w:tr>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python-docx (1.2.0)</w:t>
            </w:r>
          </w:p>
        </w:tc>
        <w:tc>
          <w:tcPr>
            <w:tcW w:type="dxa" w:w="64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Programmatic document generation engine used to compile this professional, audit-ready technical report.</w:t>
            </w:r>
          </w:p>
        </w:tc>
      </w:tr>
    </w:tbl>
    <w:p>
      <w:pPr>
        <w:keepNext/>
        <w:spacing w:before="320" w:after="120"/>
      </w:pPr>
      <w:r>
        <w:rPr>
          <w:rFonts w:ascii="Segoe UI" w:hAnsi="Segoe UI"/>
          <w:b/>
          <w:color w:val="1B365D"/>
          <w:sz w:val="32"/>
        </w:rPr>
        <w:t>5. INITIAL DATA INSPECTION</w:t>
      </w:r>
    </w:p>
    <w:p>
      <w:pPr>
        <w:spacing w:before="0" w:after="120" w:line="276" w:lineRule="auto"/>
      </w:pPr>
      <w:r>
        <w:rPr>
          <w:rFonts w:ascii="Segoe UI" w:hAnsi="Segoe UI"/>
          <w:color w:val="333333"/>
          <w:sz w:val="20"/>
        </w:rPr>
        <w:t>Initial data inspection verifies the baseline properties of the raw dataset immediately following acquisition. We inspect dimensional shape, sample observations, non-null counts, data types, and summary metrics.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E2E8F0"/>
              <w:left w:val="single" w:sz="16" w:space="0" w:color="1B365D"/>
              <w:bottom w:val="single" w:sz="4" w:space="0" w:color="E2E8F0"/>
              <w:right w:val="single" w:sz="4" w:space="0" w:color="E2E8F0"/>
            </w:tcBorders>
          </w:tcPr>
          <w:p>
            <w:pPr>
              <w:spacing w:before="40" w:after="40" w:line="276" w:lineRule="auto"/>
            </w:pPr>
            <w:r>
              <w:rPr>
                <w:rFonts w:ascii="Consolas" w:hAnsi="Consolas"/>
                <w:b/>
                <w:color w:val="2980B9"/>
                <w:sz w:val="17"/>
              </w:rPr>
              <w:t>[PYTHON DATA INSPECTION]</w:t>
              <w:br/>
            </w:r>
            <w:r>
              <w:rPr>
                <w:rFonts w:ascii="Consolas" w:hAnsi="Consolas"/>
                <w:color w:val="2C3E50"/>
                <w:sz w:val="18"/>
              </w:rPr>
              <w:t>import pandas as pd</w:t>
              <w:br/>
              <w:t>import seaborn as sns</w:t>
              <w:br/>
              <w:br/>
              <w:t># Programmatic acquisition and baseline inspection</w:t>
              <w:br/>
              <w:t>df_raw = sns.load_dataset('titanic')</w:t>
              <w:br/>
              <w:t>print(f"Dataset Shape: {df_raw.shape}")</w:t>
              <w:br/>
              <w:t>print(df_raw.info())</w:t>
              <w:br/>
              <w:t>display(df_raw.head(3))</w:t>
              <w:br/>
              <w:t>display(df_raw.describe())</w:t>
            </w:r>
          </w:p>
        </w:tc>
      </w:tr>
    </w:tbl>
    <w:p>
      <w:pPr>
        <w:spacing w:after="80"/>
      </w:pPr>
    </w:p>
    <w:p>
      <w:pPr>
        <w:spacing w:before="0" w:after="120" w:line="276" w:lineRule="auto"/>
      </w:pPr>
      <w:r>
        <w:rPr>
          <w:rFonts w:ascii="Segoe UI" w:hAnsi="Segoe UI"/>
          <w:color w:val="333333"/>
          <w:sz w:val="20"/>
        </w:rPr>
        <w:t>The raw dataset consists of 891 rows (individual passenger records) and 15 columns. Preliminary execution of df.info() reveals substantial missingness across three features ('deck', 'age', 'embarked') and flags several redundant columns ('alive' duplicates 'survived'; 'class' duplicates 'pclass'; 'embark_town' duplicates 'embarked').</w:t>
      </w:r>
    </w:p>
    <w:p>
      <w:pPr>
        <w:keepNext/>
        <w:spacing w:before="240" w:after="80"/>
      </w:pPr>
      <w:r>
        <w:rPr>
          <w:rFonts w:ascii="Segoe UI" w:hAnsi="Segoe UI"/>
          <w:b/>
          <w:color w:val="2980B9"/>
          <w:sz w:val="26"/>
        </w:rPr>
        <w:t>Raw Numerical Feature Baseline Statistics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44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Variable</w:t>
            </w:r>
          </w:p>
        </w:tc>
        <w:tc>
          <w:tcPr>
            <w:tcW w:type="dxa" w:w="86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Count</w:t>
            </w:r>
          </w:p>
        </w:tc>
        <w:tc>
          <w:tcPr>
            <w:tcW w:type="dxa" w:w="100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Mean</w:t>
            </w:r>
          </w:p>
        </w:tc>
        <w:tc>
          <w:tcPr>
            <w:tcW w:type="dxa" w:w="100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Std Dev</w:t>
            </w:r>
          </w:p>
        </w:tc>
        <w:tc>
          <w:tcPr>
            <w:tcW w:type="dxa" w:w="86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Min</w:t>
            </w:r>
          </w:p>
        </w:tc>
        <w:tc>
          <w:tcPr>
            <w:tcW w:type="dxa" w:w="86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25%</w:t>
            </w:r>
          </w:p>
        </w:tc>
        <w:tc>
          <w:tcPr>
            <w:tcW w:type="dxa" w:w="100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Median</w:t>
            </w:r>
          </w:p>
        </w:tc>
        <w:tc>
          <w:tcPr>
            <w:tcW w:type="dxa" w:w="100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75%</w:t>
            </w:r>
          </w:p>
        </w:tc>
        <w:tc>
          <w:tcPr>
            <w:tcW w:type="dxa" w:w="129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Max</w:t>
            </w:r>
          </w:p>
        </w:tc>
      </w:tr>
      <w:tr>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survived</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0.384</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0.487</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129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r>
      <w:tr>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pclass</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2.309</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0.836</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2.00</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3.00</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3.00</w:t>
            </w:r>
          </w:p>
        </w:tc>
        <w:tc>
          <w:tcPr>
            <w:tcW w:type="dxa" w:w="129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3.00</w:t>
            </w:r>
          </w:p>
        </w:tc>
      </w:tr>
      <w:tr>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age</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714</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29.70</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14.53</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0.42</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20.12</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28.00</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38.00</w:t>
            </w:r>
          </w:p>
        </w:tc>
        <w:tc>
          <w:tcPr>
            <w:tcW w:type="dxa" w:w="129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80.00</w:t>
            </w:r>
          </w:p>
        </w:tc>
      </w:tr>
      <w:tr>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sibsp</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0.523</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1.103</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129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8.00</w:t>
            </w:r>
          </w:p>
        </w:tc>
      </w:tr>
      <w:tr>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parch</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0.382</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0.806</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86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00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29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6.00</w:t>
            </w:r>
          </w:p>
        </w:tc>
      </w:tr>
      <w:tr>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fare</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£32.20</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£49.69</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86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£7.91</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£14.45</w:t>
            </w:r>
          </w:p>
        </w:tc>
        <w:tc>
          <w:tcPr>
            <w:tcW w:type="dxa" w:w="100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£31.00</w:t>
            </w:r>
          </w:p>
        </w:tc>
        <w:tc>
          <w:tcPr>
            <w:tcW w:type="dxa" w:w="129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£512.33</w:t>
            </w:r>
          </w:p>
        </w:tc>
      </w:tr>
    </w:tbl>
    <w:p>
      <w:pPr>
        <w:spacing w:before="0" w:after="120" w:line="276" w:lineRule="auto"/>
      </w:pPr>
      <w:r>
        <w:rPr>
          <w:rFonts w:ascii="Segoe UI" w:hAnsi="Segoe UI"/>
          <w:color w:val="333333"/>
          <w:sz w:val="20"/>
        </w:rPr>
        <w:t>Initial observations from the numerical baseline: average passenger survival rate was 38.38%; average age was approximately 29.7 years; and fares exhibited severe right-skewness, spanning from free passage (£0.00) to £512.33 with a median of £14.45.</w:t>
      </w:r>
    </w:p>
    <w:p>
      <w:pPr>
        <w:keepNext/>
        <w:spacing w:before="320" w:after="120"/>
      </w:pPr>
      <w:r>
        <w:rPr>
          <w:rFonts w:ascii="Segoe UI" w:hAnsi="Segoe UI"/>
          <w:b/>
          <w:color w:val="1B365D"/>
          <w:sz w:val="32"/>
        </w:rPr>
        <w:t>6. DATA QUALITY ASSESSMENT</w:t>
      </w:r>
    </w:p>
    <w:p>
      <w:pPr>
        <w:spacing w:before="0" w:after="120" w:line="276" w:lineRule="auto"/>
      </w:pPr>
      <w:r>
        <w:rPr>
          <w:rFonts w:ascii="Segoe UI" w:hAnsi="Segoe UI"/>
          <w:color w:val="333333"/>
          <w:sz w:val="20"/>
        </w:rPr>
        <w:t>A rigorous data quality assessment was conducted to evaluate four potential hygiene defects: missing values, duplicate records, data type anomalies, and extreme outliers.</w:t>
      </w:r>
    </w:p>
    <w:p>
      <w:pPr>
        <w:keepNext/>
        <w:spacing w:before="240" w:after="80"/>
      </w:pPr>
      <w:r>
        <w:rPr>
          <w:rFonts w:ascii="Segoe UI" w:hAnsi="Segoe UI"/>
          <w:b/>
          <w:color w:val="2980B9"/>
          <w:sz w:val="26"/>
        </w:rPr>
        <w:t>Missing Value Quantification</w:t>
      </w:r>
    </w:p>
    <w:p>
      <w:pPr>
        <w:spacing w:before="0" w:after="120" w:line="276" w:lineRule="auto"/>
      </w:pPr>
      <w:r>
        <w:rPr>
          <w:rFonts w:ascii="Segoe UI" w:hAnsi="Segoe UI"/>
          <w:color w:val="333333"/>
          <w:sz w:val="20"/>
        </w:rPr>
        <w:t>We computed exact missing value counts and relative percentages across all 15 columns. Three features contain missing data: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Feature</w:t>
            </w:r>
          </w:p>
        </w:tc>
        <w:tc>
          <w:tcPr>
            <w:tcW w:type="dxa" w:w="144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Data Type</w:t>
            </w:r>
          </w:p>
        </w:tc>
        <w:tc>
          <w:tcPr>
            <w:tcW w:type="dxa" w:w="144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Total Records</w:t>
            </w:r>
          </w:p>
        </w:tc>
        <w:tc>
          <w:tcPr>
            <w:tcW w:type="dxa" w:w="144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Missing Count</w:t>
            </w:r>
          </w:p>
        </w:tc>
        <w:tc>
          <w:tcPr>
            <w:tcW w:type="dxa" w:w="1584"/>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Missing Percentage</w:t>
            </w:r>
          </w:p>
        </w:tc>
        <w:tc>
          <w:tcPr>
            <w:tcW w:type="dxa" w:w="172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Hygiene Severity</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deck</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category</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688</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77.22%</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Critical (&gt;70%)</w:t>
            </w:r>
          </w:p>
        </w:tc>
      </w:tr>
      <w:tr>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age</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float64</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177</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19.87%</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Moderate (~20%)</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embarked</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0.22%</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Minor (&lt;0.5%)</w:t>
            </w:r>
          </w:p>
        </w:tc>
      </w:tr>
      <w:tr>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embark_town</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object</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44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2</w:t>
            </w:r>
          </w:p>
        </w:tc>
        <w:tc>
          <w:tcPr>
            <w:tcW w:type="dxa" w:w="1584"/>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0.22%</w:t>
            </w:r>
          </w:p>
        </w:tc>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Minor (&lt;0.5%)</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Other (11 cols)</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Various</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891</w:t>
            </w:r>
          </w:p>
        </w:tc>
        <w:tc>
          <w:tcPr>
            <w:tcW w:type="dxa" w:w="144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w:t>
            </w:r>
          </w:p>
        </w:tc>
        <w:tc>
          <w:tcPr>
            <w:tcW w:type="dxa" w:w="1584"/>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0.00%</w:t>
            </w:r>
          </w:p>
        </w:tc>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Complete (0%)</w:t>
            </w:r>
          </w:p>
        </w:tc>
      </w:tr>
    </w:tbl>
    <w:p>
      <w:pPr>
        <w:keepNext/>
        <w:spacing w:before="160" w:after="60"/>
        <w:jc w:val="center"/>
      </w:pPr>
      <w:r>
        <w:drawing>
          <wp:inline xmlns:a="http://schemas.openxmlformats.org/drawingml/2006/main" xmlns:pic="http://schemas.openxmlformats.org/drawingml/2006/picture">
            <wp:extent cx="5303520" cy="2621965"/>
            <wp:docPr id="1" name="Picture 1"/>
            <wp:cNvGraphicFramePr>
              <a:graphicFrameLocks noChangeAspect="1"/>
            </wp:cNvGraphicFramePr>
            <a:graphic>
              <a:graphicData uri="http://schemas.openxmlformats.org/drawingml/2006/picture">
                <pic:pic>
                  <pic:nvPicPr>
                    <pic:cNvPr id="0" name="missing_values.png"/>
                    <pic:cNvPicPr/>
                  </pic:nvPicPr>
                  <pic:blipFill>
                    <a:blip r:embed="rId11"/>
                    <a:stretch>
                      <a:fillRect/>
                    </a:stretch>
                  </pic:blipFill>
                  <pic:spPr>
                    <a:xfrm>
                      <a:off x="0" y="0"/>
                      <a:ext cx="5303520" cy="2621965"/>
                    </a:xfrm>
                    <a:prstGeom prst="rect"/>
                  </pic:spPr>
                </pic:pic>
              </a:graphicData>
            </a:graphic>
          </wp:inline>
        </w:drawing>
      </w:r>
    </w:p>
    <w:p>
      <w:pPr>
        <w:keepNext/>
        <w:spacing w:before="40" w:after="120"/>
        <w:jc w:val="center"/>
      </w:pPr>
      <w:r>
        <w:rPr>
          <w:rFonts w:ascii="Segoe UI" w:hAnsi="Segoe UI"/>
          <w:b/>
          <w:color w:val="1B365D"/>
          <w:sz w:val="19"/>
        </w:rPr>
        <w:t xml:space="preserve">Figure 1: </w:t>
      </w:r>
      <w:r>
        <w:rPr>
          <w:rFonts w:ascii="Segoe UI" w:hAnsi="Segoe UI"/>
          <w:i/>
          <w:color w:val="2C3E50"/>
          <w:sz w:val="19"/>
        </w:rPr>
        <w:t>Column-Wise Missing Value Audit of Raw Titanic Dataset</w:t>
      </w:r>
    </w:p>
    <w:p>
      <w:pPr>
        <w:spacing w:before="40" w:after="80" w:line="276" w:lineRule="auto"/>
      </w:pPr>
      <w:r>
        <w:rPr>
          <w:rFonts w:ascii="Segoe UI" w:hAnsi="Segoe UI"/>
          <w:b/>
          <w:color w:val="2C3E50"/>
          <w:sz w:val="19"/>
        </w:rPr>
        <w:t xml:space="preserve">Observation: </w:t>
      </w:r>
      <w:r>
        <w:rPr>
          <w:rFonts w:ascii="Segoe UI" w:hAnsi="Segoe UI"/>
          <w:color w:val="333333"/>
          <w:sz w:val="19"/>
        </w:rPr>
        <w:t>Cabin deck exhibits severe missingness (77.22%), age displays moderate missingness (19.87%), and embarkation port has only 2 missing values (0.22%). The remaining 11 columns are fully populated.</w:t>
      </w:r>
    </w:p>
    <w:p>
      <w:pPr>
        <w:spacing w:before="0" w:after="160" w:line="276" w:lineRule="auto"/>
      </w:pPr>
      <w:r>
        <w:rPr>
          <w:rFonts w:ascii="Segoe UI" w:hAnsi="Segoe UI"/>
          <w:b/>
          <w:color w:val="2980B9"/>
          <w:sz w:val="19"/>
        </w:rPr>
        <w:t xml:space="preserve">Interpretation: </w:t>
      </w:r>
      <w:r>
        <w:rPr>
          <w:rFonts w:ascii="Segoe UI" w:hAnsi="Segoe UI"/>
          <w:color w:val="333333"/>
          <w:sz w:val="19"/>
        </w:rPr>
        <w:t>Missingness in 'deck' is structural—only luxury first-class suites consistently recorded cabin assignments. 'Age' missingness requires demographic context-aware imputation rather than naive mean-filling to preserve cohort variance.</w:t>
      </w:r>
    </w:p>
    <w:p>
      <w:pPr>
        <w:keepNext/>
        <w:spacing w:before="240" w:after="80"/>
      </w:pPr>
      <w:r>
        <w:rPr>
          <w:rFonts w:ascii="Segoe UI" w:hAnsi="Segoe UI"/>
          <w:b/>
          <w:color w:val="2980B9"/>
          <w:sz w:val="26"/>
        </w:rPr>
        <w:t>Duplicate Record Diagnostics</w:t>
      </w:r>
    </w:p>
    <w:p>
      <w:pPr>
        <w:spacing w:before="0" w:after="120" w:line="276" w:lineRule="auto"/>
      </w:pPr>
      <w:r>
        <w:rPr>
          <w:rFonts w:ascii="Segoe UI" w:hAnsi="Segoe UI"/>
          <w:color w:val="333333"/>
          <w:sz w:val="20"/>
        </w:rPr>
        <w:t>Executing df.duplicated().sum() on the raw dataset revealed exactly 107 duplicate rows (12.01% of the raw data). Because Seaborn's dataset omits unique identifiers (PassengerId, Name, Ticket), multiple passengers sharing identical class, age, sex, family size, fare, and embarkation values are registered as duplicate records. Retaining these records would cause pseudo-replication and artificially weight specific demographic clusters. Removing these 107 rows reduced the raw sample to 784 distinct observations.</w:t>
      </w:r>
    </w:p>
    <w:p>
      <w:r>
        <w:br w:type="page"/>
      </w:r>
    </w:p>
    <w:p>
      <w:pPr>
        <w:keepNext/>
        <w:spacing w:before="320" w:after="120"/>
      </w:pPr>
      <w:r>
        <w:rPr>
          <w:rFonts w:ascii="Segoe UI" w:hAnsi="Segoe UI"/>
          <w:b/>
          <w:color w:val="1B365D"/>
          <w:sz w:val="32"/>
        </w:rPr>
        <w:t>7. DATA CLEANING AND PREPROCESSING</w:t>
      </w:r>
    </w:p>
    <w:p>
      <w:pPr>
        <w:spacing w:before="0" w:after="120" w:line="276" w:lineRule="auto"/>
      </w:pPr>
      <w:r>
        <w:rPr>
          <w:rFonts w:ascii="Segoe UI" w:hAnsi="Segoe UI"/>
          <w:color w:val="333333"/>
          <w:sz w:val="20"/>
        </w:rPr>
        <w:t>Every data cleaning operation was governed by strict domain logic and statistical defensibility. Blind zero-filling or arbitrary column deletion was explicitly avoided. The table below presents the formal cleaning audit trail: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Problem Identified</w:t>
            </w:r>
          </w:p>
        </w:tc>
        <w:tc>
          <w:tcPr>
            <w:tcW w:type="dxa" w:w="201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Cleaning Method Applied</w:t>
            </w:r>
          </w:p>
        </w:tc>
        <w:tc>
          <w:tcPr>
            <w:tcW w:type="dxa" w:w="288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Mathematical / Domain Rationale</w:t>
            </w:r>
          </w:p>
        </w:tc>
        <w:tc>
          <w:tcPr>
            <w:tcW w:type="dxa" w:w="2592"/>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Empirical Result</w:t>
            </w:r>
          </w:p>
        </w:tc>
      </w:tr>
      <w:tr>
        <w:tc>
          <w:tcPr>
            <w:tcW w:type="dxa" w:w="187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107 Intrinsic Duplicate Records</w:t>
            </w:r>
          </w:p>
        </w:tc>
        <w:tc>
          <w:tcPr>
            <w:tcW w:type="dxa" w:w="201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drop_duplicates() on raw records</w:t>
            </w:r>
          </w:p>
        </w:tc>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Seaborn dataset lacks primary keys; identical profiles cause pseudo-replication and cluster weighting bias.</w:t>
            </w:r>
          </w:p>
        </w:tc>
        <w:tc>
          <w:tcPr>
            <w:tcW w:type="dxa" w:w="259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Pruned raw dataset from 891 to 784 distinct observations.</w:t>
            </w:r>
          </w:p>
        </w:tc>
      </w:tr>
      <w:tr>
        <w:tc>
          <w:tcPr>
            <w:tcW w:type="dxa" w:w="1872"/>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Missing Embarkation (2 records)</w:t>
            </w:r>
          </w:p>
        </w:tc>
        <w:tc>
          <w:tcPr>
            <w:tcW w:type="dxa" w:w="201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Categorical Mode Imputation ('S' / 'Southampton')</w:t>
            </w:r>
          </w:p>
        </w:tc>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Over 72% of all passengers embarked at Southampton; mode imputation resolves negligible missingness without distortion.</w:t>
            </w:r>
          </w:p>
        </w:tc>
        <w:tc>
          <w:tcPr>
            <w:tcW w:type="dxa" w:w="2592"/>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Zero missing values in 'embarked' and 'embark_town'.</w:t>
            </w:r>
          </w:p>
        </w:tc>
      </w:tr>
      <w:tr>
        <w:tc>
          <w:tcPr>
            <w:tcW w:type="dxa" w:w="187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Missing Age (106 records in dedup)</w:t>
            </w:r>
          </w:p>
        </w:tc>
        <w:tc>
          <w:tcPr>
            <w:tcW w:type="dxa" w:w="201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Grouped Median Imputation by (pclass, sex)</w:t>
            </w:r>
          </w:p>
        </w:tc>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Age varies systematically across class and sex. Median is robust to skewness and extreme values compared to mean.</w:t>
            </w:r>
          </w:p>
        </w:tc>
        <w:tc>
          <w:tcPr>
            <w:tcW w:type="dxa" w:w="259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Imputed all missing ages using cohort medians (Class 1 Female: 35.0, Class 3 Male: 25.0).</w:t>
            </w:r>
          </w:p>
        </w:tc>
      </w:tr>
      <w:tr>
        <w:tc>
          <w:tcPr>
            <w:tcW w:type="dxa" w:w="1872"/>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Missing Deck (582 records in dedup)</w:t>
            </w:r>
          </w:p>
        </w:tc>
        <w:tc>
          <w:tcPr>
            <w:tcW w:type="dxa" w:w="201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Preserved as 'Unknown' Token + 'has_deck' Flag</w:t>
            </w:r>
          </w:p>
        </w:tc>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Cabin allocation was heavily concentrated in upper classes. Deleting loses signal; imputing mode/mean is fabricated.</w:t>
            </w:r>
          </w:p>
        </w:tc>
        <w:tc>
          <w:tcPr>
            <w:tcW w:type="dxa" w:w="2592"/>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Retained deck feature; engineered binary 'has_deck' indicator (25.8% positive).</w:t>
            </w:r>
          </w:p>
        </w:tc>
      </w:tr>
      <w:tr>
        <w:tc>
          <w:tcPr>
            <w:tcW w:type="dxa" w:w="187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7 Post-Imputation Collisions</w:t>
            </w:r>
          </w:p>
        </w:tc>
        <w:tc>
          <w:tcPr>
            <w:tcW w:type="dxa" w:w="201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Secondary drop_duplicates() pass</w:t>
            </w:r>
          </w:p>
        </w:tc>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Imputing constant cohort medians created identical profiles among records sharing identical class, sex, and fare.</w:t>
            </w:r>
          </w:p>
        </w:tc>
        <w:tc>
          <w:tcPr>
            <w:tcW w:type="dxa" w:w="259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Pruned dataset from 784 to 777 guaranteed unique feature profiles.</w:t>
            </w:r>
          </w:p>
        </w:tc>
      </w:tr>
      <w:tr>
        <w:tc>
          <w:tcPr>
            <w:tcW w:type="dxa" w:w="1872"/>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Inappropriate Data Types</w:t>
            </w:r>
          </w:p>
        </w:tc>
        <w:tc>
          <w:tcPr>
            <w:tcW w:type="dxa" w:w="201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Explicit Type Casting (category, bool, float)</w:t>
            </w:r>
          </w:p>
        </w:tc>
        <w:tc>
          <w:tcPr>
            <w:tcW w:type="dxa" w:w="28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Integer pclass lacks ordinal semantics; string categories waste memory and hinder modeling.</w:t>
            </w:r>
          </w:p>
        </w:tc>
        <w:tc>
          <w:tcPr>
            <w:tcW w:type="dxa" w:w="2592"/>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Optimized memory footprint; established ordered category for pclass (1 &lt; 2 &lt; 3).</w:t>
            </w:r>
          </w:p>
        </w:tc>
      </w:tr>
      <w:tr>
        <w:tc>
          <w:tcPr>
            <w:tcW w:type="dxa" w:w="187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Statistical Outliers in Fare &amp; Age</w:t>
            </w:r>
          </w:p>
        </w:tc>
        <w:tc>
          <w:tcPr>
            <w:tcW w:type="dxa" w:w="201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IQR Rule Auditing + Full Retention</w:t>
            </w:r>
          </w:p>
        </w:tc>
        <w:tc>
          <w:tcPr>
            <w:tcW w:type="dxa" w:w="28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Fares up to £512.33 represent historical luxury parlour suites; age up to 80 represents genuine elderly travelers.</w:t>
            </w:r>
          </w:p>
        </w:tc>
        <w:tc>
          <w:tcPr>
            <w:tcW w:type="dxa" w:w="2592"/>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Preserved 100% of authentic historical passenger records without artificial data suppression.</w:t>
            </w:r>
          </w:p>
        </w:tc>
      </w:tr>
    </w:tbl>
    <w:p>
      <w:pPr>
        <w:keepNext/>
        <w:spacing w:before="240" w:after="80"/>
      </w:pPr>
      <w:r>
        <w:rPr>
          <w:rFonts w:ascii="Segoe UI" w:hAnsi="Segoe UI"/>
          <w:b/>
          <w:color w:val="2980B9"/>
          <w:sz w:val="26"/>
        </w:rPr>
        <w:t>Data Cleaning Code Implementation</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E2E8F0"/>
              <w:left w:val="single" w:sz="16" w:space="0" w:color="1B365D"/>
              <w:bottom w:val="single" w:sz="4" w:space="0" w:color="E2E8F0"/>
              <w:right w:val="single" w:sz="4" w:space="0" w:color="E2E8F0"/>
            </w:tcBorders>
          </w:tcPr>
          <w:p>
            <w:pPr>
              <w:spacing w:before="40" w:after="40" w:line="276" w:lineRule="auto"/>
            </w:pPr>
            <w:r>
              <w:rPr>
                <w:rFonts w:ascii="Consolas" w:hAnsi="Consolas"/>
                <w:b/>
                <w:color w:val="2980B9"/>
                <w:sz w:val="17"/>
              </w:rPr>
              <w:t>[PYTHON CLEANING PIPELINE]</w:t>
              <w:br/>
            </w:r>
            <w:r>
              <w:rPr>
                <w:rFonts w:ascii="Consolas" w:hAnsi="Consolas"/>
                <w:color w:val="2C3E50"/>
                <w:sz w:val="18"/>
              </w:rPr>
              <w:t># Principled Imputation &amp; Deduplication Routine</w:t>
              <w:br/>
              <w:t>df_clean = df_raw.drop_duplicates().reset_index(drop=True)</w:t>
              <w:br/>
              <w:br/>
              <w:t># Mode imputation for embarkation</w:t>
              <w:br/>
              <w:t>df_clean['embarked'] = df_clean['embarked'].fillna(df_clean['embarked'].mode()[0])</w:t>
              <w:br/>
              <w:t>df_clean['embark_town'] = df_clean['embark_town'].fillna(df_clean['embark_town'].mode()[0])</w:t>
              <w:br/>
              <w:br/>
              <w:t># Hierarchical grouped median imputation for age</w:t>
              <w:br/>
              <w:t>age_medians = df_clean.groupby(['pclass', 'sex'], observed=False)['age'].transform('median')</w:t>
              <w:br/>
              <w:t>df_clean['age'] = df_clean['age'].fillna(age_medians)</w:t>
              <w:br/>
              <w:br/>
              <w:t># Cabin deck 'Unknown' preservation and indicator feature</w:t>
              <w:br/>
              <w:t>df_clean['deck'] = df_clean['deck'].cat.add_categories(['Unknown']).fillna('Unknown')</w:t>
              <w:br/>
              <w:t>df_clean['has_deck'] = (df_clean['deck'] != 'Unknown').astype(int)</w:t>
              <w:br/>
              <w:br/>
              <w:t># Post-imputation collision resolution</w:t>
              <w:br/>
              <w:t>df_clean = df_clean.drop_duplicates().reset_index(drop=True)</w:t>
              <w:br/>
              <w:t>print(f"Cleaned Dataset Dimensions: {df_clean.shape}")</w:t>
            </w:r>
          </w:p>
        </w:tc>
      </w:tr>
    </w:tbl>
    <w:p>
      <w:pPr>
        <w:spacing w:after="80"/>
      </w:pPr>
    </w:p>
    <w:p>
      <w:pPr>
        <w:keepNext/>
        <w:spacing w:before="240" w:after="80"/>
      </w:pPr>
      <w:r>
        <w:rPr>
          <w:rFonts w:ascii="Segoe UI" w:hAnsi="Segoe UI"/>
          <w:b/>
          <w:color w:val="2980B9"/>
          <w:sz w:val="26"/>
        </w:rPr>
        <w:t>Statistical Outlier Analysis (IQR Method)</w:t>
      </w:r>
    </w:p>
    <w:p>
      <w:pPr>
        <w:spacing w:before="0" w:after="120" w:line="276" w:lineRule="auto"/>
      </w:pPr>
      <w:r>
        <w:rPr>
          <w:rFonts w:ascii="Segoe UI" w:hAnsi="Segoe UI"/>
          <w:color w:val="333333"/>
          <w:sz w:val="20"/>
        </w:rPr>
        <w:t>We evaluated continuous variables using the Interquartile Range (IQR) rule, defining outliers as values falling outside [Q1 - 1.5*IQR, Q3 + 1.5*IQR]. For ticket fare, Q1 = £8.05, Q3 = £34.38, giving an IQR of £26.32 and an upper boundary of £73.86. A total of 97 observations exceeded this threshold. Historical archives confirm these correspond to genuine multi-room parlour suites (e.g. Cardeza suite £512.33) and group bookings. For age, 13 passengers exceeded the upper boundary of 63.5 years, with the maximum at 80.0 years (Algernon Barkworth, a documented survivor). Because all extreme values represent authentic historical phenomena rather than telemetry or recording errors, they were retained in full.</w:t>
      </w:r>
    </w:p>
    <w:p>
      <w:pPr>
        <w:keepNext/>
        <w:spacing w:before="240" w:after="80"/>
      </w:pPr>
      <w:r>
        <w:rPr>
          <w:rFonts w:ascii="Segoe UI" w:hAnsi="Segoe UI"/>
          <w:b/>
          <w:color w:val="2980B9"/>
          <w:sz w:val="26"/>
        </w:rPr>
        <w:t>Engineered Features</w:t>
      </w:r>
    </w:p>
    <w:p>
      <w:pPr>
        <w:spacing w:before="0" w:after="120" w:line="276" w:lineRule="auto"/>
      </w:pPr>
      <w:r>
        <w:rPr>
          <w:rFonts w:ascii="Segoe UI" w:hAnsi="Segoe UI"/>
          <w:color w:val="333333"/>
          <w:sz w:val="20"/>
        </w:rPr>
        <w:t>To maximize analytical depth and predictive leverage, four derived features were engineered:</w:t>
      </w:r>
    </w:p>
    <w:p>
      <w:pPr>
        <w:spacing w:before="0" w:after="60" w:line="276" w:lineRule="auto"/>
      </w:pPr>
      <w:r>
        <w:rPr>
          <w:rFonts w:ascii="Segoe UI" w:hAnsi="Segoe UI"/>
          <w:color w:val="333333"/>
          <w:sz w:val="20"/>
        </w:rPr>
        <w:t>• family_size: sibsp + parch + 1: Total traveling party size including the passenger.</w:t>
      </w:r>
    </w:p>
    <w:p>
      <w:pPr>
        <w:spacing w:before="0" w:after="60" w:line="276" w:lineRule="auto"/>
      </w:pPr>
      <w:r>
        <w:rPr>
          <w:rFonts w:ascii="Segoe UI" w:hAnsi="Segoe UI"/>
          <w:color w:val="333333"/>
          <w:sz w:val="20"/>
        </w:rPr>
        <w:t>• is_alone: Binary flag (1 if family_size == 1, else 0) isolating solitary travelers.</w:t>
      </w:r>
    </w:p>
    <w:p>
      <w:pPr>
        <w:spacing w:before="0" w:after="60" w:line="276" w:lineRule="auto"/>
      </w:pPr>
      <w:r>
        <w:rPr>
          <w:rFonts w:ascii="Segoe UI" w:hAnsi="Segoe UI"/>
          <w:color w:val="333333"/>
          <w:sz w:val="20"/>
        </w:rPr>
        <w:t>• age_group: Categorical life-stage cohort: Child (0–12), Teen (13–19), Adult (20–59), Senior (60+).</w:t>
      </w:r>
    </w:p>
    <w:p>
      <w:pPr>
        <w:spacing w:before="0" w:after="60" w:line="276" w:lineRule="auto"/>
      </w:pPr>
      <w:r>
        <w:rPr>
          <w:rFonts w:ascii="Segoe UI" w:hAnsi="Segoe UI"/>
          <w:color w:val="333333"/>
          <w:sz w:val="20"/>
        </w:rPr>
        <w:t>• fare_category: Socioeconomic expenditure tiers: Low (£0–7.91), Mid-Low (£7.91–14.45), Mid-High (£14.45–31.00), Luxury (£31.00+).</w:t>
      </w:r>
    </w:p>
    <w:p>
      <w:pPr>
        <w:spacing w:before="0" w:after="120" w:line="276" w:lineRule="auto"/>
      </w:pPr>
      <w:r>
        <w:rPr>
          <w:rFonts w:ascii="Segoe UI" w:hAnsi="Segoe UI"/>
          <w:color w:val="333333"/>
          <w:sz w:val="20"/>
        </w:rPr>
        <w:t>The finalized cleaned dataset contains 777 unique observations and 20 features, with exactly 0 missing values across all variables and 0 duplicate records. It was persisted to 'data/processed/titanic_cleaned.csv'.</w:t>
      </w:r>
    </w:p>
    <w:p>
      <w:r>
        <w:br w:type="page"/>
      </w:r>
    </w:p>
    <w:p>
      <w:pPr>
        <w:keepNext/>
        <w:spacing w:before="320" w:after="120"/>
      </w:pPr>
      <w:r>
        <w:rPr>
          <w:rFonts w:ascii="Segoe UI" w:hAnsi="Segoe UI"/>
          <w:b/>
          <w:color w:val="1B365D"/>
          <w:sz w:val="32"/>
        </w:rPr>
        <w:t>8. EXPLORATORY DATA ANALYSIS</w:t>
      </w:r>
    </w:p>
    <w:p>
      <w:pPr>
        <w:spacing w:before="0" w:after="120" w:line="276" w:lineRule="auto"/>
      </w:pPr>
      <w:r>
        <w:rPr>
          <w:rFonts w:ascii="Segoe UI" w:hAnsi="Segoe UI"/>
          <w:color w:val="333333"/>
          <w:sz w:val="20"/>
        </w:rPr>
        <w:t>Exploratory Data Analysis (EDA) was performed on the cleaned dataset (n=777) to uncover the fundamental determinants of survival aboard the Titanic. Six primary visualizations and two supplementary figures were generated to evaluate demographic, socioeconomic, and relational dynamics.</w:t>
      </w:r>
    </w:p>
    <w:p>
      <w:pPr>
        <w:keepNext/>
        <w:spacing w:before="160" w:after="60"/>
        <w:jc w:val="center"/>
      </w:pPr>
      <w:r>
        <w:drawing>
          <wp:inline xmlns:a="http://schemas.openxmlformats.org/drawingml/2006/main" xmlns:pic="http://schemas.openxmlformats.org/drawingml/2006/picture">
            <wp:extent cx="5303520" cy="3289525"/>
            <wp:docPr id="2" name="Picture 2"/>
            <wp:cNvGraphicFramePr>
              <a:graphicFrameLocks noChangeAspect="1"/>
            </wp:cNvGraphicFramePr>
            <a:graphic>
              <a:graphicData uri="http://schemas.openxmlformats.org/drawingml/2006/picture">
                <pic:pic>
                  <pic:nvPicPr>
                    <pic:cNvPr id="0" name="survival_distribution.png"/>
                    <pic:cNvPicPr/>
                  </pic:nvPicPr>
                  <pic:blipFill>
                    <a:blip r:embed="rId12"/>
                    <a:stretch>
                      <a:fillRect/>
                    </a:stretch>
                  </pic:blipFill>
                  <pic:spPr>
                    <a:xfrm>
                      <a:off x="0" y="0"/>
                      <a:ext cx="5303520" cy="3289525"/>
                    </a:xfrm>
                    <a:prstGeom prst="rect"/>
                  </pic:spPr>
                </pic:pic>
              </a:graphicData>
            </a:graphic>
          </wp:inline>
        </w:drawing>
      </w:r>
    </w:p>
    <w:p>
      <w:pPr>
        <w:keepNext/>
        <w:spacing w:before="40" w:after="120"/>
        <w:jc w:val="center"/>
      </w:pPr>
      <w:r>
        <w:rPr>
          <w:rFonts w:ascii="Segoe UI" w:hAnsi="Segoe UI"/>
          <w:b/>
          <w:color w:val="1B365D"/>
          <w:sz w:val="19"/>
        </w:rPr>
        <w:t xml:space="preserve">Figure 2: </w:t>
      </w:r>
      <w:r>
        <w:rPr>
          <w:rFonts w:ascii="Segoe UI" w:hAnsi="Segoe UI"/>
          <w:i/>
          <w:color w:val="2C3E50"/>
          <w:sz w:val="19"/>
        </w:rPr>
        <w:t>Overall Passenger Survival Distribution in Cleaned Dataset</w:t>
      </w:r>
    </w:p>
    <w:p>
      <w:pPr>
        <w:spacing w:before="40" w:after="80" w:line="276" w:lineRule="auto"/>
      </w:pPr>
      <w:r>
        <w:rPr>
          <w:rFonts w:ascii="Segoe UI" w:hAnsi="Segoe UI"/>
          <w:b/>
          <w:color w:val="2C3E50"/>
          <w:sz w:val="19"/>
        </w:rPr>
        <w:t xml:space="preserve">Observation: </w:t>
      </w:r>
      <w:r>
        <w:rPr>
          <w:rFonts w:ascii="Segoe UI" w:hAnsi="Segoe UI"/>
          <w:color w:val="333333"/>
          <w:sz w:val="19"/>
        </w:rPr>
        <w:t>Of the 777 unique passengers analyzed, 455 perished (58.56%) and 322 survived (41.44%). The dataset reflects an overall mortality rate approaching 60%.</w:t>
      </w:r>
    </w:p>
    <w:p>
      <w:pPr>
        <w:spacing w:before="0" w:after="160" w:line="276" w:lineRule="auto"/>
      </w:pPr>
      <w:r>
        <w:rPr>
          <w:rFonts w:ascii="Segoe UI" w:hAnsi="Segoe UI"/>
          <w:b/>
          <w:color w:val="2980B9"/>
          <w:sz w:val="19"/>
        </w:rPr>
        <w:t xml:space="preserve">Interpretation: </w:t>
      </w:r>
      <w:r>
        <w:rPr>
          <w:rFonts w:ascii="Segoe UI" w:hAnsi="Segoe UI"/>
          <w:color w:val="333333"/>
          <w:sz w:val="19"/>
        </w:rPr>
        <w:t>Survival represents a minority outcome, underscoring the severe lifeboat deficit aboard the vessel. Any machine learning model will need to account for this class distribution (approx. 59:41 ratio).</w:t>
      </w:r>
    </w:p>
    <w:p>
      <w:pPr>
        <w:keepNext/>
        <w:spacing w:before="160" w:after="60"/>
        <w:jc w:val="center"/>
      </w:pPr>
      <w:r>
        <w:drawing>
          <wp:inline xmlns:a="http://schemas.openxmlformats.org/drawingml/2006/main" xmlns:pic="http://schemas.openxmlformats.org/drawingml/2006/picture">
            <wp:extent cx="5303520" cy="2919916"/>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3"/>
                    <a:stretch>
                      <a:fillRect/>
                    </a:stretch>
                  </pic:blipFill>
                  <pic:spPr>
                    <a:xfrm>
                      <a:off x="0" y="0"/>
                      <a:ext cx="5303520" cy="2919916"/>
                    </a:xfrm>
                    <a:prstGeom prst="rect"/>
                  </pic:spPr>
                </pic:pic>
              </a:graphicData>
            </a:graphic>
          </wp:inline>
        </w:drawing>
      </w:r>
    </w:p>
    <w:p>
      <w:pPr>
        <w:keepNext/>
        <w:spacing w:before="40" w:after="120"/>
        <w:jc w:val="center"/>
      </w:pPr>
      <w:r>
        <w:rPr>
          <w:rFonts w:ascii="Segoe UI" w:hAnsi="Segoe UI"/>
          <w:b/>
          <w:color w:val="1B365D"/>
          <w:sz w:val="19"/>
        </w:rPr>
        <w:t xml:space="preserve">Figure 3: </w:t>
      </w:r>
      <w:r>
        <w:rPr>
          <w:rFonts w:ascii="Segoe UI" w:hAnsi="Segoe UI"/>
          <w:i/>
          <w:color w:val="2C3E50"/>
          <w:sz w:val="19"/>
        </w:rPr>
        <w:t>Age Distribution and Kernel Density Stratified by Survival Status</w:t>
      </w:r>
    </w:p>
    <w:p>
      <w:pPr>
        <w:spacing w:before="40" w:after="80" w:line="276" w:lineRule="auto"/>
      </w:pPr>
      <w:r>
        <w:rPr>
          <w:rFonts w:ascii="Segoe UI" w:hAnsi="Segoe UI"/>
          <w:b/>
          <w:color w:val="2C3E50"/>
          <w:sz w:val="19"/>
        </w:rPr>
        <w:t xml:space="preserve">Observation: </w:t>
      </w:r>
      <w:r>
        <w:rPr>
          <w:rFonts w:ascii="Segoe UI" w:hAnsi="Segoe UI"/>
          <w:color w:val="333333"/>
          <w:sz w:val="19"/>
        </w:rPr>
        <w:t>The age distribution is unimodal and right-skewed with a peak in the 20–35 age bracket. A distinct survival spike is visible for young children under 10 years of age.</w:t>
      </w:r>
    </w:p>
    <w:p>
      <w:pPr>
        <w:spacing w:before="0" w:after="160" w:line="276" w:lineRule="auto"/>
      </w:pPr>
      <w:r>
        <w:rPr>
          <w:rFonts w:ascii="Segoe UI" w:hAnsi="Segoe UI"/>
          <w:b/>
          <w:color w:val="2980B9"/>
          <w:sz w:val="19"/>
        </w:rPr>
        <w:t xml:space="preserve">Interpretation: </w:t>
      </w:r>
      <w:r>
        <w:rPr>
          <w:rFonts w:ascii="Segoe UI" w:hAnsi="Segoe UI"/>
          <w:color w:val="333333"/>
          <w:sz w:val="19"/>
        </w:rPr>
        <w:t>While young adults (ages 18–35) constituted the bulk of casualties, infants and children experienced significantly higher survival probability, demonstrating that evacuation protocol explicitly prioritized early childhood rescue.</w:t>
      </w:r>
    </w:p>
    <w:p>
      <w:pPr>
        <w:keepNext/>
        <w:spacing w:before="160" w:after="60"/>
        <w:jc w:val="center"/>
      </w:pPr>
      <w:r>
        <w:drawing>
          <wp:inline xmlns:a="http://schemas.openxmlformats.org/drawingml/2006/main" xmlns:pic="http://schemas.openxmlformats.org/drawingml/2006/picture">
            <wp:extent cx="5303520" cy="3511790"/>
            <wp:docPr id="4" name="Picture 4"/>
            <wp:cNvGraphicFramePr>
              <a:graphicFrameLocks noChangeAspect="1"/>
            </wp:cNvGraphicFramePr>
            <a:graphic>
              <a:graphicData uri="http://schemas.openxmlformats.org/drawingml/2006/picture">
                <pic:pic>
                  <pic:nvPicPr>
                    <pic:cNvPr id="0" name="gender_survival.png"/>
                    <pic:cNvPicPr/>
                  </pic:nvPicPr>
                  <pic:blipFill>
                    <a:blip r:embed="rId14"/>
                    <a:stretch>
                      <a:fillRect/>
                    </a:stretch>
                  </pic:blipFill>
                  <pic:spPr>
                    <a:xfrm>
                      <a:off x="0" y="0"/>
                      <a:ext cx="5303520" cy="3511790"/>
                    </a:xfrm>
                    <a:prstGeom prst="rect"/>
                  </pic:spPr>
                </pic:pic>
              </a:graphicData>
            </a:graphic>
          </wp:inline>
        </w:drawing>
      </w:r>
    </w:p>
    <w:p>
      <w:pPr>
        <w:keepNext/>
        <w:spacing w:before="40" w:after="120"/>
        <w:jc w:val="center"/>
      </w:pPr>
      <w:r>
        <w:rPr>
          <w:rFonts w:ascii="Segoe UI" w:hAnsi="Segoe UI"/>
          <w:b/>
          <w:color w:val="1B365D"/>
          <w:sz w:val="19"/>
        </w:rPr>
        <w:t xml:space="preserve">Figure 4: </w:t>
      </w:r>
      <w:r>
        <w:rPr>
          <w:rFonts w:ascii="Segoe UI" w:hAnsi="Segoe UI"/>
          <w:i/>
          <w:color w:val="2C3E50"/>
          <w:sz w:val="19"/>
        </w:rPr>
        <w:t>Survival Disparity by Biological Sex ('Women and Children First')</w:t>
      </w:r>
    </w:p>
    <w:p>
      <w:pPr>
        <w:spacing w:before="40" w:after="80" w:line="276" w:lineRule="auto"/>
      </w:pPr>
      <w:r>
        <w:rPr>
          <w:rFonts w:ascii="Segoe UI" w:hAnsi="Segoe UI"/>
          <w:b/>
          <w:color w:val="2C3E50"/>
          <w:sz w:val="19"/>
        </w:rPr>
        <w:t xml:space="preserve">Observation: </w:t>
      </w:r>
      <w:r>
        <w:rPr>
          <w:rFonts w:ascii="Segoe UI" w:hAnsi="Segoe UI"/>
          <w:color w:val="333333"/>
          <w:sz w:val="19"/>
        </w:rPr>
        <w:t>Female passengers achieved an overwhelming survival rate of 73.97% (216 survivors out of 292), whereas male passengers suffered an acute mortality rate with only 21.86% surviving (106 out of 485).</w:t>
      </w:r>
    </w:p>
    <w:p>
      <w:pPr>
        <w:spacing w:before="0" w:after="160" w:line="276" w:lineRule="auto"/>
      </w:pPr>
      <w:r>
        <w:rPr>
          <w:rFonts w:ascii="Segoe UI" w:hAnsi="Segoe UI"/>
          <w:b/>
          <w:color w:val="2980B9"/>
          <w:sz w:val="19"/>
        </w:rPr>
        <w:t xml:space="preserve">Interpretation: </w:t>
      </w:r>
      <w:r>
        <w:rPr>
          <w:rFonts w:ascii="Segoe UI" w:hAnsi="Segoe UI"/>
          <w:color w:val="333333"/>
          <w:sz w:val="19"/>
        </w:rPr>
        <w:t>Gender represents the single most decisive individual predictor of survival on the Titanic. The 52.1 percentage point disparity provides empirical proof of the enforcement of the Birkenhead Drill protocol.</w:t>
      </w:r>
    </w:p>
    <w:p>
      <w:pPr>
        <w:keepNext/>
        <w:spacing w:before="160" w:after="60"/>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class_survival.png"/>
                    <pic:cNvPicPr/>
                  </pic:nvPicPr>
                  <pic:blipFill>
                    <a:blip r:embed="rId15"/>
                    <a:stretch>
                      <a:fillRect/>
                    </a:stretch>
                  </pic:blipFill>
                  <pic:spPr>
                    <a:xfrm>
                      <a:off x="0" y="0"/>
                      <a:ext cx="5303520" cy="3093720"/>
                    </a:xfrm>
                    <a:prstGeom prst="rect"/>
                  </pic:spPr>
                </pic:pic>
              </a:graphicData>
            </a:graphic>
          </wp:inline>
        </w:drawing>
      </w:r>
    </w:p>
    <w:p>
      <w:pPr>
        <w:keepNext/>
        <w:spacing w:before="40" w:after="120"/>
        <w:jc w:val="center"/>
      </w:pPr>
      <w:r>
        <w:rPr>
          <w:rFonts w:ascii="Segoe UI" w:hAnsi="Segoe UI"/>
          <w:b/>
          <w:color w:val="1B365D"/>
          <w:sz w:val="19"/>
        </w:rPr>
        <w:t xml:space="preserve">Figure 5: </w:t>
      </w:r>
      <w:r>
        <w:rPr>
          <w:rFonts w:ascii="Segoe UI" w:hAnsi="Segoe UI"/>
          <w:i/>
          <w:color w:val="2C3E50"/>
          <w:sz w:val="19"/>
        </w:rPr>
        <w:t>Socioeconomic Survival Gradient Stratified by Passenger Class &amp; Sex</w:t>
      </w:r>
    </w:p>
    <w:p>
      <w:pPr>
        <w:spacing w:before="40" w:after="80" w:line="276" w:lineRule="auto"/>
      </w:pPr>
      <w:r>
        <w:rPr>
          <w:rFonts w:ascii="Segoe UI" w:hAnsi="Segoe UI"/>
          <w:b/>
          <w:color w:val="2C3E50"/>
          <w:sz w:val="19"/>
        </w:rPr>
        <w:t xml:space="preserve">Observation: </w:t>
      </w:r>
      <w:r>
        <w:rPr>
          <w:rFonts w:ascii="Segoe UI" w:hAnsi="Segoe UI"/>
          <w:color w:val="333333"/>
          <w:sz w:val="19"/>
        </w:rPr>
        <w:t>First-class passengers achieved 63.68% survival (135/212), second-class passengers achieved 50.91% (84/165), and third-class passengers achieved only 25.75% (103/400). First-class females had a 96.7% survival rate, while third-class males survived at only 13.5%.</w:t>
      </w:r>
    </w:p>
    <w:p>
      <w:pPr>
        <w:spacing w:before="0" w:after="160" w:line="276" w:lineRule="auto"/>
      </w:pPr>
      <w:r>
        <w:rPr>
          <w:rFonts w:ascii="Segoe UI" w:hAnsi="Segoe UI"/>
          <w:b/>
          <w:color w:val="2980B9"/>
          <w:sz w:val="19"/>
        </w:rPr>
        <w:t xml:space="preserve">Interpretation: </w:t>
      </w:r>
      <w:r>
        <w:rPr>
          <w:rFonts w:ascii="Segoe UI" w:hAnsi="Segoe UI"/>
          <w:color w:val="333333"/>
          <w:sz w:val="19"/>
        </w:rPr>
        <w:t>Socioeconomic status acted as a powerful structural filter. Proximity to the boat deck, physical gate barriers, and ticket class privileges compounded gender advantages to create extreme survival divergence.</w:t>
      </w:r>
    </w:p>
    <w:p>
      <w:pPr>
        <w:keepNext/>
        <w:spacing w:before="160" w:after="60"/>
        <w:jc w:val="center"/>
      </w:pPr>
      <w:r>
        <w:drawing>
          <wp:inline xmlns:a="http://schemas.openxmlformats.org/drawingml/2006/main" xmlns:pic="http://schemas.openxmlformats.org/drawingml/2006/picture">
            <wp:extent cx="5303520" cy="3093720"/>
            <wp:docPr id="6" name="Picture 6"/>
            <wp:cNvGraphicFramePr>
              <a:graphicFrameLocks noChangeAspect="1"/>
            </wp:cNvGraphicFramePr>
            <a:graphic>
              <a:graphicData uri="http://schemas.openxmlformats.org/drawingml/2006/picture">
                <pic:pic>
                  <pic:nvPicPr>
                    <pic:cNvPr id="0" name="fare_distribution.png"/>
                    <pic:cNvPicPr/>
                  </pic:nvPicPr>
                  <pic:blipFill>
                    <a:blip r:embed="rId16"/>
                    <a:stretch>
                      <a:fillRect/>
                    </a:stretch>
                  </pic:blipFill>
                  <pic:spPr>
                    <a:xfrm>
                      <a:off x="0" y="0"/>
                      <a:ext cx="5303520" cy="3093720"/>
                    </a:xfrm>
                    <a:prstGeom prst="rect"/>
                  </pic:spPr>
                </pic:pic>
              </a:graphicData>
            </a:graphic>
          </wp:inline>
        </w:drawing>
      </w:r>
    </w:p>
    <w:p>
      <w:pPr>
        <w:keepNext/>
        <w:spacing w:before="40" w:after="120"/>
        <w:jc w:val="center"/>
      </w:pPr>
      <w:r>
        <w:rPr>
          <w:rFonts w:ascii="Segoe UI" w:hAnsi="Segoe UI"/>
          <w:b/>
          <w:color w:val="1B365D"/>
          <w:sz w:val="19"/>
        </w:rPr>
        <w:t xml:space="preserve">Figure 6: </w:t>
      </w:r>
      <w:r>
        <w:rPr>
          <w:rFonts w:ascii="Segoe UI" w:hAnsi="Segoe UI"/>
          <w:i/>
          <w:color w:val="2C3E50"/>
          <w:sz w:val="19"/>
        </w:rPr>
        <w:t>Ticket Fare Dispersion and Outliers Stratified by Passenger Class</w:t>
      </w:r>
    </w:p>
    <w:p>
      <w:pPr>
        <w:spacing w:before="40" w:after="80" w:line="276" w:lineRule="auto"/>
      </w:pPr>
      <w:r>
        <w:rPr>
          <w:rFonts w:ascii="Segoe UI" w:hAnsi="Segoe UI"/>
          <w:b/>
          <w:color w:val="2C3E50"/>
          <w:sz w:val="19"/>
        </w:rPr>
        <w:t xml:space="preserve">Observation: </w:t>
      </w:r>
      <w:r>
        <w:rPr>
          <w:rFonts w:ascii="Segoe UI" w:hAnsi="Segoe UI"/>
          <w:color w:val="333333"/>
          <w:sz w:val="19"/>
        </w:rPr>
        <w:t>First-class fares exhibit extreme variance and right-skewness (median £52.00, mean £83.25, max £512.33). Second-class fares are clustered around £13.00, and third-class fares are concentrated tightly between £7.22 and £15.50.</w:t>
      </w:r>
    </w:p>
    <w:p>
      <w:pPr>
        <w:spacing w:before="0" w:after="160" w:line="276" w:lineRule="auto"/>
      </w:pPr>
      <w:r>
        <w:rPr>
          <w:rFonts w:ascii="Segoe UI" w:hAnsi="Segoe UI"/>
          <w:b/>
          <w:color w:val="2980B9"/>
          <w:sz w:val="19"/>
        </w:rPr>
        <w:t xml:space="preserve">Interpretation: </w:t>
      </w:r>
      <w:r>
        <w:rPr>
          <w:rFonts w:ascii="Segoe UI" w:hAnsi="Segoe UI"/>
          <w:color w:val="333333"/>
          <w:sz w:val="19"/>
        </w:rPr>
        <w:t>Fare strongly proxies socioeconomic standing. The upper outliers in first class represent ultra-wealthy passengers who enjoyed direct access to upper-deck staterooms and immediate lifeboat access.</w:t>
      </w:r>
    </w:p>
    <w:p>
      <w:pPr>
        <w:keepNext/>
        <w:spacing w:before="160" w:after="60"/>
        <w:jc w:val="center"/>
      </w:pPr>
      <w:r>
        <w:drawing>
          <wp:inline xmlns:a="http://schemas.openxmlformats.org/drawingml/2006/main" xmlns:pic="http://schemas.openxmlformats.org/drawingml/2006/picture">
            <wp:extent cx="5303520" cy="3093720"/>
            <wp:docPr id="7" name="Picture 7"/>
            <wp:cNvGraphicFramePr>
              <a:graphicFrameLocks noChangeAspect="1"/>
            </wp:cNvGraphicFramePr>
            <a:graphic>
              <a:graphicData uri="http://schemas.openxmlformats.org/drawingml/2006/picture">
                <pic:pic>
                  <pic:nvPicPr>
                    <pic:cNvPr id="0" name="family_survival.png"/>
                    <pic:cNvPicPr/>
                  </pic:nvPicPr>
                  <pic:blipFill>
                    <a:blip r:embed="rId17"/>
                    <a:stretch>
                      <a:fillRect/>
                    </a:stretch>
                  </pic:blipFill>
                  <pic:spPr>
                    <a:xfrm>
                      <a:off x="0" y="0"/>
                      <a:ext cx="5303520" cy="3093720"/>
                    </a:xfrm>
                    <a:prstGeom prst="rect"/>
                  </pic:spPr>
                </pic:pic>
              </a:graphicData>
            </a:graphic>
          </wp:inline>
        </w:drawing>
      </w:r>
    </w:p>
    <w:p>
      <w:pPr>
        <w:keepNext/>
        <w:spacing w:before="40" w:after="120"/>
        <w:jc w:val="center"/>
      </w:pPr>
      <w:r>
        <w:rPr>
          <w:rFonts w:ascii="Segoe UI" w:hAnsi="Segoe UI"/>
          <w:b/>
          <w:color w:val="1B365D"/>
          <w:sz w:val="19"/>
        </w:rPr>
        <w:t xml:space="preserve">Figure 7: </w:t>
      </w:r>
      <w:r>
        <w:rPr>
          <w:rFonts w:ascii="Segoe UI" w:hAnsi="Segoe UI"/>
          <w:i/>
          <w:color w:val="2C3E50"/>
          <w:sz w:val="19"/>
        </w:rPr>
        <w:t>Impact of Total Family Traveling Unit Size on Survival Probability</w:t>
      </w:r>
    </w:p>
    <w:p>
      <w:pPr>
        <w:spacing w:before="40" w:after="80" w:line="276" w:lineRule="auto"/>
      </w:pPr>
      <w:r>
        <w:rPr>
          <w:rFonts w:ascii="Segoe UI" w:hAnsi="Segoe UI"/>
          <w:b/>
          <w:color w:val="2C3E50"/>
          <w:sz w:val="19"/>
        </w:rPr>
        <w:t xml:space="preserve">Observation: </w:t>
      </w:r>
      <w:r>
        <w:rPr>
          <w:rFonts w:ascii="Segoe UI" w:hAnsi="Segoe UI"/>
          <w:color w:val="333333"/>
          <w:sz w:val="19"/>
        </w:rPr>
        <w:t>Solitary travelers (family_size=1) had a survival rate of 34.3%. Survival increases sharply for small family units: 2 members (54.5%), 3 members (64.3%), and 4 members (71.4%). For large families of 5 or more members, survival collapses below 25%.</w:t>
      </w:r>
    </w:p>
    <w:p>
      <w:pPr>
        <w:spacing w:before="0" w:after="160" w:line="276" w:lineRule="auto"/>
      </w:pPr>
      <w:r>
        <w:rPr>
          <w:rFonts w:ascii="Segoe UI" w:hAnsi="Segoe UI"/>
          <w:b/>
          <w:color w:val="2980B9"/>
          <w:sz w:val="19"/>
        </w:rPr>
        <w:t xml:space="preserve">Interpretation: </w:t>
      </w:r>
      <w:r>
        <w:rPr>
          <w:rFonts w:ascii="Segoe UI" w:hAnsi="Segoe UI"/>
          <w:color w:val="333333"/>
          <w:sz w:val="19"/>
        </w:rPr>
        <w:t>A clear non-linear 'sweet spot' exists for small family units (2–4 members) who assisted each other during evacuation. Large families faced catastrophic coordination challenges and unwillingness to separate, resulting in severe mortality.</w:t>
      </w:r>
    </w:p>
    <w:p>
      <w:r>
        <w:br w:type="page"/>
      </w:r>
    </w:p>
    <w:p>
      <w:pPr>
        <w:keepNext/>
        <w:spacing w:before="320" w:after="120"/>
      </w:pPr>
      <w:r>
        <w:rPr>
          <w:rFonts w:ascii="Segoe UI" w:hAnsi="Segoe UI"/>
          <w:b/>
          <w:color w:val="1B365D"/>
          <w:sz w:val="32"/>
        </w:rPr>
        <w:t>9. CORRELATION ANALYSIS</w:t>
      </w:r>
    </w:p>
    <w:p>
      <w:pPr>
        <w:spacing w:before="0" w:after="120" w:line="276" w:lineRule="auto"/>
      </w:pPr>
      <w:r>
        <w:rPr>
          <w:rFonts w:ascii="Segoe UI" w:hAnsi="Segoe UI"/>
          <w:color w:val="333333"/>
          <w:sz w:val="20"/>
        </w:rPr>
        <w:t>To evaluate linear interrelationships among numerical variables, we computed the Pearson correlation coefficient matrix. The analysis includes continuous features, discrete family counts, and binary indicator variables.</w:t>
      </w:r>
    </w:p>
    <w:p>
      <w:pPr>
        <w:keepNext/>
        <w:spacing w:before="160" w:after="60"/>
        <w:jc w:val="center"/>
      </w:pPr>
      <w:r>
        <w:drawing>
          <wp:inline xmlns:a="http://schemas.openxmlformats.org/drawingml/2006/main" xmlns:pic="http://schemas.openxmlformats.org/drawingml/2006/picture">
            <wp:extent cx="5303520" cy="4588895"/>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8"/>
                    <a:stretch>
                      <a:fillRect/>
                    </a:stretch>
                  </pic:blipFill>
                  <pic:spPr>
                    <a:xfrm>
                      <a:off x="0" y="0"/>
                      <a:ext cx="5303520" cy="4588895"/>
                    </a:xfrm>
                    <a:prstGeom prst="rect"/>
                  </pic:spPr>
                </pic:pic>
              </a:graphicData>
            </a:graphic>
          </wp:inline>
        </w:drawing>
      </w:r>
    </w:p>
    <w:p>
      <w:pPr>
        <w:keepNext/>
        <w:spacing w:before="40" w:after="120"/>
        <w:jc w:val="center"/>
      </w:pPr>
      <w:r>
        <w:rPr>
          <w:rFonts w:ascii="Segoe UI" w:hAnsi="Segoe UI"/>
          <w:b/>
          <w:color w:val="1B365D"/>
          <w:sz w:val="19"/>
        </w:rPr>
        <w:t xml:space="preserve">Figure 8: </w:t>
      </w:r>
      <w:r>
        <w:rPr>
          <w:rFonts w:ascii="Segoe UI" w:hAnsi="Segoe UI"/>
          <w:i/>
          <w:color w:val="2C3E50"/>
          <w:sz w:val="19"/>
        </w:rPr>
        <w:t>Pearson Correlation Heatmap of Numerical Features</w:t>
      </w:r>
    </w:p>
    <w:p>
      <w:pPr>
        <w:spacing w:before="40" w:after="80" w:line="276" w:lineRule="auto"/>
      </w:pPr>
      <w:r>
        <w:rPr>
          <w:rFonts w:ascii="Segoe UI" w:hAnsi="Segoe UI"/>
          <w:b/>
          <w:color w:val="2C3E50"/>
          <w:sz w:val="19"/>
        </w:rPr>
        <w:t xml:space="preserve">Observation: </w:t>
      </w:r>
      <w:r>
        <w:rPr>
          <w:rFonts w:ascii="Segoe UI" w:hAnsi="Segoe UI"/>
          <w:color w:val="333333"/>
          <w:sz w:val="19"/>
        </w:rPr>
        <w:t>Strongest positive correlations emerge between 'family_size' and its constituents ('sibsp' r=0.88, 'parch' r=0.79), and between 'fare' and 'has_deck' (r=0.48). Strongest negative correlations occur between 'is_alone' and 'family_size' (r=-0.69). 'Fare' correlates positively with survival (r=0.26), while 'is_alone' correlates negatively (r=-0.19).</w:t>
      </w:r>
    </w:p>
    <w:p>
      <w:pPr>
        <w:spacing w:before="0" w:after="160" w:line="276" w:lineRule="auto"/>
      </w:pPr>
      <w:r>
        <w:rPr>
          <w:rFonts w:ascii="Segoe UI" w:hAnsi="Segoe UI"/>
          <w:b/>
          <w:color w:val="2980B9"/>
          <w:sz w:val="19"/>
        </w:rPr>
        <w:t xml:space="preserve">Interpretation: </w:t>
      </w:r>
      <w:r>
        <w:rPr>
          <w:rFonts w:ascii="Segoe UI" w:hAnsi="Segoe UI"/>
          <w:color w:val="333333"/>
          <w:sz w:val="19"/>
        </w:rPr>
        <w:t>Linear correlations confirm that economic standing and family structure significantly correlate with survival outcome. However, linear metrics mask strong non-linear relationships, such as the child survival spike and the inverted-U family size curve.</w:t>
      </w:r>
    </w:p>
    <w:p>
      <w:pPr>
        <w:keepNext/>
        <w:spacing w:before="240" w:after="80"/>
      </w:pPr>
      <w:r>
        <w:rPr>
          <w:rFonts w:ascii="Segoe UI" w:hAnsi="Segoe UI"/>
          <w:b/>
          <w:color w:val="2980B9"/>
          <w:sz w:val="26"/>
        </w:rPr>
        <w:t>Correlation vs. Causation Warning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single" w:sz="4" w:space="0" w:color="D8E2EC"/>
              <w:left w:val="single" w:sz="20" w:space="0" w:color="C0392B"/>
              <w:bottom w:val="single" w:sz="4" w:space="0" w:color="D8E2EC"/>
              <w:right w:val="single" w:sz="4" w:space="0" w:color="D8E2EC"/>
            </w:tcBorders>
          </w:tcPr>
          <w:p>
            <w:pPr>
              <w:spacing w:before="40" w:after="40"/>
            </w:pPr>
            <w:r>
              <w:rPr>
                <w:rFonts w:ascii="Segoe UI" w:hAnsi="Segoe UI"/>
                <w:b/>
                <w:color w:val="1B365D"/>
                <w:sz w:val="19"/>
              </w:rPr>
              <w:t xml:space="preserve">• CRITICAL STATISTICAL REMINDER: </w:t>
            </w:r>
            <w:r>
              <w:rPr>
                <w:rFonts w:ascii="Segoe UI" w:hAnsi="Segoe UI"/>
                <w:color w:val="333333"/>
                <w:sz w:val="19"/>
              </w:rPr>
              <w:t>Correlation measures linear co-movement between two variables, NOT causal efficacy. For example, paying a higher fare did not mechanically cause survival; rather, higher fare purchased staterooms on top decks immediately adjacent to lifeboats, conferring physical and informational advantages during the evacuation. Treating correlation as causation leads to severe modeling errors.</w:t>
            </w:r>
          </w:p>
        </w:tc>
      </w:tr>
    </w:tbl>
    <w:p>
      <w:pPr>
        <w:spacing w:after="80"/>
      </w:pP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728"/>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Feature</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survived</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age</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sibsp</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parch</w:t>
            </w:r>
          </w:p>
        </w:tc>
        <w:tc>
          <w:tcPr>
            <w:tcW w:type="dxa" w:w="1080"/>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family_size</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fare</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is_alone</w:t>
            </w:r>
          </w:p>
        </w:tc>
        <w:tc>
          <w:tcPr>
            <w:tcW w:type="dxa" w:w="936"/>
            <w:shd w:fill="1B365D"/>
            <w:tcMar>
              <w:top w:w="120" w:type="dxa"/>
              <w:bottom w:w="120" w:type="dxa"/>
              <w:left w:w="140" w:type="dxa"/>
              <w:right w:w="140" w:type="dxa"/>
            </w:tcMar>
            <w:tcBorders>
              <w:top w:val="single" w:sz="4" w:space="0" w:color="1B365D"/>
              <w:left w:val="single" w:sz="4" w:space="0" w:color="1B365D"/>
              <w:bottom w:val="single" w:sz="12" w:space="0" w:color="0F2C59"/>
              <w:right w:val="single" w:sz="4" w:space="0" w:color="1B365D"/>
            </w:tcBorders>
          </w:tcPr>
          <w:p>
            <w:pPr>
              <w:spacing w:before="40" w:after="40"/>
              <w:jc w:val="left"/>
            </w:pPr>
            <w:r>
              <w:rPr>
                <w:rFonts w:ascii="Segoe UI" w:hAnsi="Segoe UI"/>
                <w:b/>
                <w:color w:val="FFFFFF"/>
                <w:sz w:val="19"/>
              </w:rPr>
              <w:t>has_deck</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survived</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-0.07</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-0.03</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+0.10</w:t>
            </w:r>
          </w:p>
        </w:tc>
        <w:tc>
          <w:tcPr>
            <w:tcW w:type="dxa" w:w="10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+0.03</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+0.26</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-0.19</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+0.31</w:t>
            </w:r>
          </w:p>
        </w:tc>
      </w:tr>
      <w:tr>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age</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-0.07</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-0.28</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-0.19</w:t>
            </w:r>
          </w:p>
        </w:tc>
        <w:tc>
          <w:tcPr>
            <w:tcW w:type="dxa" w:w="10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-0.28</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+0.10</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+0.17</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+0.24</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sibsp</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-0.03</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-0.28</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+0.38</w:t>
            </w:r>
          </w:p>
        </w:tc>
        <w:tc>
          <w:tcPr>
            <w:tcW w:type="dxa" w:w="10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+0.88</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+0.13</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-0.62</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-0.03</w:t>
            </w:r>
          </w:p>
        </w:tc>
      </w:tr>
      <w:tr>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parch</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+0.10</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-0.19</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+0.38</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10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+0.79</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+0.19</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-0.56</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+0.07</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family_size</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+0.03</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-0.28</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+0.88</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+0.79</w:t>
            </w:r>
          </w:p>
        </w:tc>
        <w:tc>
          <w:tcPr>
            <w:tcW w:type="dxa" w:w="10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+0.18</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-0.69</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+0.01</w:t>
            </w:r>
          </w:p>
        </w:tc>
      </w:tr>
      <w:tr>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fare</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+0.26</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+0.10</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+0.13</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+0.19</w:t>
            </w:r>
          </w:p>
        </w:tc>
        <w:tc>
          <w:tcPr>
            <w:tcW w:type="dxa" w:w="10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+0.18</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-0.26</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+0.48</w:t>
            </w:r>
          </w:p>
        </w:tc>
      </w:tr>
      <w:tr>
        <w:tc>
          <w:tcPr>
            <w:tcW w:type="dxa" w:w="1728"/>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is_alone</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-0.19</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+0.17</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-0.62</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-0.56</w:t>
            </w:r>
          </w:p>
        </w:tc>
        <w:tc>
          <w:tcPr>
            <w:tcW w:type="dxa" w:w="1080"/>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-0.69</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-0.26</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c>
          <w:tcPr>
            <w:tcW w:type="dxa" w:w="936"/>
            <w:shd w:fill="FFFFFF"/>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-0.11</w:t>
            </w:r>
          </w:p>
        </w:tc>
      </w:tr>
      <w:tr>
        <w:tc>
          <w:tcPr>
            <w:tcW w:type="dxa" w:w="1728"/>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has_deck</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+0.31</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+0.24</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-0.03</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+0.07</w:t>
            </w:r>
          </w:p>
        </w:tc>
        <w:tc>
          <w:tcPr>
            <w:tcW w:type="dxa" w:w="1080"/>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+0.01</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+0.48</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-0.11</w:t>
            </w:r>
          </w:p>
        </w:tc>
        <w:tc>
          <w:tcPr>
            <w:tcW w:type="dxa" w:w="936"/>
            <w:shd w:fill="F8F9FA"/>
            <w:tcMar>
              <w:top w:w="90" w:type="dxa"/>
              <w:bottom w:w="90" w:type="dxa"/>
              <w:left w:w="140" w:type="dxa"/>
              <w:right w:w="140" w:type="dxa"/>
            </w:tcMar>
            <w:tcBorders>
              <w:top w:val="single" w:sz="4" w:space="0" w:color="D1D5DB"/>
              <w:left w:val="single" w:sz="4" w:space="0" w:color="D1D5DB"/>
              <w:bottom w:val="single" w:sz="4" w:space="0" w:color="D1D5DB"/>
              <w:right w:val="single" w:sz="4" w:space="0" w:color="D1D5DB"/>
            </w:tcBorders>
          </w:tcPr>
          <w:p>
            <w:pPr>
              <w:spacing w:before="20" w:after="20"/>
              <w:jc w:val="left"/>
            </w:pPr>
            <w:r>
              <w:rPr>
                <w:rFonts w:ascii="Segoe UI" w:hAnsi="Segoe UI"/>
                <w:color w:val="333333"/>
                <w:sz w:val="18"/>
              </w:rPr>
              <w:t>1.00</w:t>
            </w:r>
          </w:p>
        </w:tc>
      </w:tr>
    </w:tbl>
    <w:p>
      <w:r>
        <w:br w:type="page"/>
      </w:r>
    </w:p>
    <w:p>
      <w:pPr>
        <w:keepNext/>
        <w:spacing w:before="320" w:after="120"/>
      </w:pPr>
      <w:r>
        <w:rPr>
          <w:rFonts w:ascii="Segoe UI" w:hAnsi="Segoe UI"/>
          <w:b/>
          <w:color w:val="1B365D"/>
          <w:sz w:val="32"/>
        </w:rPr>
        <w:t>10. KEY DATA-BACKED INSIGHTS</w:t>
      </w:r>
    </w:p>
    <w:p>
      <w:pPr>
        <w:spacing w:before="0" w:after="120" w:line="276" w:lineRule="auto"/>
      </w:pPr>
      <w:r>
        <w:rPr>
          <w:rFonts w:ascii="Segoe UI" w:hAnsi="Segoe UI"/>
          <w:color w:val="333333"/>
          <w:sz w:val="20"/>
        </w:rPr>
        <w:t>Every finding presented below is strictly calculated from the verified cleaned dataset (n=777) and represents an authentic empirical reality:</w:t>
      </w:r>
    </w:p>
    <w:p>
      <w:pPr>
        <w:spacing w:before="60" w:after="80" w:line="276" w:lineRule="auto"/>
      </w:pPr>
      <w:r>
        <w:rPr>
          <w:rFonts w:ascii="Segoe UI" w:hAnsi="Segoe UI"/>
          <w:b/>
          <w:color w:val="1B365D"/>
          <w:sz w:val="20"/>
        </w:rPr>
        <w:t xml:space="preserve">1. Primary Gender Divergence: </w:t>
      </w:r>
      <w:r>
        <w:rPr>
          <w:rFonts w:ascii="Segoe UI" w:hAnsi="Segoe UI"/>
          <w:color w:val="333333"/>
          <w:sz w:val="20"/>
        </w:rPr>
        <w:t>Biological sex was the single most dominant determinant of survival. Females achieved a 73.97% survival rate (216 / 292), whereas males achieved only 21.86% (106 / 485)—a massive net advantage of 52.11 percentage points for females.</w:t>
      </w:r>
    </w:p>
    <w:p>
      <w:pPr>
        <w:spacing w:before="60" w:after="80" w:line="276" w:lineRule="auto"/>
      </w:pPr>
      <w:r>
        <w:rPr>
          <w:rFonts w:ascii="Segoe UI" w:hAnsi="Segoe UI"/>
          <w:b/>
          <w:color w:val="1B365D"/>
          <w:sz w:val="20"/>
        </w:rPr>
        <w:t xml:space="preserve">2. Socioeconomic Gradient Hierarchy: </w:t>
      </w:r>
      <w:r>
        <w:rPr>
          <w:rFonts w:ascii="Segoe UI" w:hAnsi="Segoe UI"/>
          <w:color w:val="333333"/>
          <w:sz w:val="20"/>
        </w:rPr>
        <w:t>Survival probability declined monotonically with ticket class: First Class (63.68%, 135/212), Second Class (50.91%, 84/165), and Third Class (25.75%, 103/400). A first-class passenger was nearly 2.5 times more likely to survive than a steerage passenger.</w:t>
      </w:r>
    </w:p>
    <w:p>
      <w:pPr>
        <w:spacing w:before="60" w:after="80" w:line="276" w:lineRule="auto"/>
      </w:pPr>
      <w:r>
        <w:rPr>
          <w:rFonts w:ascii="Segoe UI" w:hAnsi="Segoe UI"/>
          <w:b/>
          <w:color w:val="1B365D"/>
          <w:sz w:val="20"/>
        </w:rPr>
        <w:t xml:space="preserve">3. The 'Double Privilege' Intersection: </w:t>
      </w:r>
      <w:r>
        <w:rPr>
          <w:rFonts w:ascii="Segoe UI" w:hAnsi="Segoe UI"/>
          <w:color w:val="333333"/>
          <w:sz w:val="20"/>
        </w:rPr>
        <w:t>The combination of gender and socioeconomic status produced stark survival disparities: First-class females experienced near-universal survival at 96.7% (89/92), while third-class males suffered catastrophic mortality with only 13.5% surviving (35/259).</w:t>
      </w:r>
    </w:p>
    <w:p>
      <w:pPr>
        <w:spacing w:before="60" w:after="80" w:line="276" w:lineRule="auto"/>
      </w:pPr>
      <w:r>
        <w:rPr>
          <w:rFonts w:ascii="Segoe UI" w:hAnsi="Segoe UI"/>
          <w:b/>
          <w:color w:val="1B365D"/>
          <w:sz w:val="20"/>
        </w:rPr>
        <w:t xml:space="preserve">4. Preferential Child Rescue: </w:t>
      </w:r>
      <w:r>
        <w:rPr>
          <w:rFonts w:ascii="Segoe UI" w:hAnsi="Segoe UI"/>
          <w:color w:val="333333"/>
          <w:sz w:val="20"/>
        </w:rPr>
        <w:t>Children under 10 years of age achieved approximately 60% survival across all passenger classes, confirming that crew members strictly adhered to the 'children first' directive regardless of ticket cost.</w:t>
      </w:r>
    </w:p>
    <w:p>
      <w:pPr>
        <w:spacing w:before="60" w:after="80" w:line="276" w:lineRule="auto"/>
      </w:pPr>
      <w:r>
        <w:rPr>
          <w:rFonts w:ascii="Segoe UI" w:hAnsi="Segoe UI"/>
          <w:b/>
          <w:color w:val="1B365D"/>
          <w:sz w:val="20"/>
        </w:rPr>
        <w:t xml:space="preserve">5. The Family Unit 'Sweet Spot': </w:t>
      </w:r>
      <w:r>
        <w:rPr>
          <w:rFonts w:ascii="Segoe UI" w:hAnsi="Segoe UI"/>
          <w:color w:val="333333"/>
          <w:sz w:val="20"/>
        </w:rPr>
        <w:t>Survival was non-linearly related to traveling unit size: small families of 2 to 4 members achieved the highest survival rates (54.5% to 71.4%), outperforming solitary passengers (34.3%) and large extended families of 5+ members (&lt;25%).</w:t>
      </w:r>
    </w:p>
    <w:p>
      <w:pPr>
        <w:spacing w:before="60" w:after="80" w:line="276" w:lineRule="auto"/>
      </w:pPr>
      <w:r>
        <w:rPr>
          <w:rFonts w:ascii="Segoe UI" w:hAnsi="Segoe UI"/>
          <w:b/>
          <w:color w:val="1B365D"/>
          <w:sz w:val="20"/>
        </w:rPr>
        <w:t xml:space="preserve">6. Structural Cabin Proximity Proxy: </w:t>
      </w:r>
      <w:r>
        <w:rPr>
          <w:rFonts w:ascii="Segoe UI" w:hAnsi="Segoe UI"/>
          <w:color w:val="333333"/>
          <w:sz w:val="20"/>
        </w:rPr>
        <w:t>Passengers with documented cabin decks (25.8% of the cohort) achieved a 67.2% survival rate compared to 32.5% for those without. Having a recorded cabin served as an effective physical proxy for upper-deck proximity and rapid lifeboat access.</w:t>
      </w:r>
    </w:p>
    <w:p>
      <w:pPr>
        <w:spacing w:before="60" w:after="80" w:line="276" w:lineRule="auto"/>
      </w:pPr>
      <w:r>
        <w:rPr>
          <w:rFonts w:ascii="Segoe UI" w:hAnsi="Segoe UI"/>
          <w:b/>
          <w:color w:val="1B365D"/>
          <w:sz w:val="20"/>
        </w:rPr>
        <w:t xml:space="preserve">7. Embarkation Port Disparities: </w:t>
      </w:r>
      <w:r>
        <w:rPr>
          <w:rFonts w:ascii="Segoe UI" w:hAnsi="Segoe UI"/>
          <w:color w:val="333333"/>
          <w:sz w:val="20"/>
        </w:rPr>
        <w:t>Passengers boarding at Cherbourg had a 56.4% survival rate, significantly higher than Queenstown (39.0%) and Southampton (37.7%). This was driven by passenger composition: over 50% of Cherbourg boarders were wealthy first-class travelers.</w:t>
      </w:r>
    </w:p>
    <w:p>
      <w:pPr>
        <w:spacing w:before="60" w:after="80" w:line="276" w:lineRule="auto"/>
      </w:pPr>
      <w:r>
        <w:rPr>
          <w:rFonts w:ascii="Segoe UI" w:hAnsi="Segoe UI"/>
          <w:b/>
          <w:color w:val="1B365D"/>
          <w:sz w:val="20"/>
        </w:rPr>
        <w:t xml:space="preserve">8. Extreme Economic Dispersion: </w:t>
      </w:r>
      <w:r>
        <w:rPr>
          <w:rFonts w:ascii="Segoe UI" w:hAnsi="Segoe UI"/>
          <w:color w:val="333333"/>
          <w:sz w:val="20"/>
        </w:rPr>
        <w:t>Ticket fares displayed extreme right-skewness (median £15.90 vs mean £34.87, standard deviation £52.70). High-fare outliers (up to £512.33) were preserved as genuine luxury accommodations that directly correlated with upper-deck stateroom placement.</w:t>
      </w:r>
    </w:p>
    <w:p>
      <w:pPr>
        <w:keepNext/>
        <w:spacing w:before="320" w:after="120"/>
      </w:pPr>
      <w:r>
        <w:rPr>
          <w:rFonts w:ascii="Segoe UI" w:hAnsi="Segoe UI"/>
          <w:b/>
          <w:color w:val="1B365D"/>
          <w:sz w:val="32"/>
        </w:rPr>
        <w:t>11. POTENTIAL AREAS FOR FURTHER ANALYSIS</w:t>
      </w:r>
    </w:p>
    <w:p>
      <w:pPr>
        <w:spacing w:before="0" w:after="120" w:line="276" w:lineRule="auto"/>
      </w:pPr>
      <w:r>
        <w:rPr>
          <w:rFonts w:ascii="Segoe UI" w:hAnsi="Segoe UI"/>
          <w:color w:val="333333"/>
          <w:sz w:val="20"/>
        </w:rPr>
        <w:t>Exploratory Data Analysis is the essential preparatory stage before machine learning. The insights and engineered features developed in this task provide a roadmap for predictive modeling:</w:t>
      </w:r>
    </w:p>
    <w:p>
      <w:pPr>
        <w:spacing w:before="0" w:after="120" w:line="276" w:lineRule="auto"/>
      </w:pPr>
      <w:r>
        <w:rPr>
          <w:rFonts w:ascii="Segoe UI" w:hAnsi="Segoe UI"/>
          <w:color w:val="333333"/>
          <w:sz w:val="20"/>
        </w:rPr>
        <w:t>1. Supervised Classification Modeling: Formulate binary survival prediction using supervised classification models. Benchmark a baseline Logistic Regression model with L1/L2 regularization against non-linear ensemble algorithms, including Random Forest, Extra Trees, and Gradient Boosted Decision Trees (XGBoost, LightGBM, CatBoost).</w:t>
      </w:r>
    </w:p>
    <w:p>
      <w:pPr>
        <w:spacing w:before="0" w:after="120" w:line="276" w:lineRule="auto"/>
      </w:pPr>
      <w:r>
        <w:rPr>
          <w:rFonts w:ascii="Segoe UI" w:hAnsi="Segoe UI"/>
          <w:color w:val="333333"/>
          <w:sz w:val="20"/>
        </w:rPr>
        <w:t>2. Feature Engineering &amp; Multi-way Interactions: Incorporate explicit interaction terms, such as 'sex * pclass', 'age * pclass', and normalized fare per person (total fare divided by traveling party size). Map cabin deck letters (A through G) to physical vertical and horizontal distances from lifeboat launching stations.</w:t>
      </w:r>
    </w:p>
    <w:p>
      <w:pPr>
        <w:spacing w:before="0" w:after="120" w:line="276" w:lineRule="auto"/>
      </w:pPr>
      <w:r>
        <w:rPr>
          <w:rFonts w:ascii="Segoe UI" w:hAnsi="Segoe UI"/>
          <w:color w:val="333333"/>
          <w:sz w:val="20"/>
        </w:rPr>
        <w:t>3. Cross-Validation and Evaluation Metrics: Implement a Stratified 5-Fold Cross-Validation scheme to ensure class balance (41.4% survival rate) across all folds. Evaluate models using Area Under the ROC Curve (ROC-AUC), Precision-Recall AUC, and Brier score rather than simple classification accuracy.</w:t>
      </w:r>
    </w:p>
    <w:p>
      <w:pPr>
        <w:spacing w:before="0" w:after="120" w:line="276" w:lineRule="auto"/>
      </w:pPr>
      <w:r>
        <w:rPr>
          <w:rFonts w:ascii="Segoe UI" w:hAnsi="Segoe UI"/>
          <w:color w:val="333333"/>
          <w:sz w:val="20"/>
        </w:rPr>
        <w:t>4. Explainable AI (XAI) &amp; Fairness Auditing: Apply SHAP (SHapley Additive exPlanations) values to compute local and global feature attributions. Perform fairness auditing across gender and class subgroups to identify potential model biases.</w:t>
      </w:r>
    </w:p>
    <w:p>
      <w:pPr>
        <w:keepNext/>
        <w:spacing w:before="320" w:after="120"/>
      </w:pPr>
      <w:r>
        <w:rPr>
          <w:rFonts w:ascii="Segoe UI" w:hAnsi="Segoe UI"/>
          <w:b/>
          <w:color w:val="1B365D"/>
          <w:sz w:val="32"/>
        </w:rPr>
        <w:t>12. CONCLUSION</w:t>
      </w:r>
    </w:p>
    <w:p>
      <w:pPr>
        <w:spacing w:before="0" w:after="120" w:line="276" w:lineRule="auto"/>
      </w:pPr>
      <w:r>
        <w:rPr>
          <w:rFonts w:ascii="Segoe UI" w:hAnsi="Segoe UI"/>
          <w:color w:val="333333"/>
          <w:sz w:val="20"/>
        </w:rPr>
        <w:t>This Week 1 YUVA Internship task successfully accomplished an end-to-end data acquisition, hygiene audit, principled cleaning, and exploratory analysis workflow on the Titanic passenger dataset. By adhering to rigorous data science principles, the project demonstrated that data preparation is not a mechanical chore, but a foundational analytical discipline.</w:t>
      </w:r>
    </w:p>
    <w:p>
      <w:pPr>
        <w:spacing w:before="0" w:after="120" w:line="276" w:lineRule="auto"/>
      </w:pPr>
      <w:r>
        <w:rPr>
          <w:rFonts w:ascii="Segoe UI" w:hAnsi="Segoe UI"/>
          <w:color w:val="333333"/>
          <w:sz w:val="20"/>
        </w:rPr>
        <w:t>Starting with 891 raw records, we audited missingness, identified and removed 107 intrinsic duplicates and 7 post-imputation collisions, imputed missing values using demographic cohort medians and category preservation, and validated a clean, uncompromised dataset of 777 unique observations. Eight high-resolution visualizations and cross-tabulations uncovered the primary survival determinants: female sex, upper-class socioeconomic standing, early childhood, small family units, and upper-deck cabin proximity.</w:t>
      </w:r>
    </w:p>
    <w:p>
      <w:pPr>
        <w:spacing w:before="0" w:after="120" w:line="276" w:lineRule="auto"/>
      </w:pPr>
      <w:r>
        <w:rPr>
          <w:rFonts w:ascii="Segoe UI" w:hAnsi="Segoe UI"/>
          <w:color w:val="333333"/>
          <w:sz w:val="20"/>
        </w:rPr>
        <w:t>The resulting artifacts—including modular Python scripts, an executed 19-section Jupyter Notebook, clean CSV exports, high-resolution charts, and this technical report—provide an auditable, reproducible foundation for subsequent machine learning and statistical inference.</w:t>
      </w:r>
    </w:p>
    <w:p>
      <w:pPr>
        <w:keepNext/>
        <w:spacing w:before="320" w:after="120"/>
      </w:pPr>
      <w:r>
        <w:rPr>
          <w:rFonts w:ascii="Segoe UI" w:hAnsi="Segoe UI"/>
          <w:b/>
          <w:color w:val="1B365D"/>
          <w:sz w:val="32"/>
        </w:rPr>
        <w:t>13. REFERENCES</w:t>
      </w:r>
    </w:p>
    <w:p>
      <w:pPr>
        <w:spacing w:before="0" w:after="60" w:line="276" w:lineRule="auto"/>
      </w:pPr>
      <w:r>
        <w:rPr>
          <w:rFonts w:ascii="Segoe UI" w:hAnsi="Segoe UI"/>
          <w:color w:val="333333"/>
          <w:sz w:val="20"/>
        </w:rPr>
        <w:t>1. British Board of Trade. (1912). Formal Investigation into the Loss of the S.S. Titanic. Parliamentary Papers, Cmd. 6352, London.</w:t>
      </w:r>
    </w:p>
    <w:p>
      <w:pPr>
        <w:spacing w:before="0" w:after="60" w:line="276" w:lineRule="auto"/>
      </w:pPr>
      <w:r>
        <w:rPr>
          <w:rFonts w:ascii="Segoe UI" w:hAnsi="Segoe UI"/>
          <w:color w:val="333333"/>
          <w:sz w:val="20"/>
        </w:rPr>
        <w:t>2. Waskom, M. L. (2021). seaborn: statistical data visualization. Journal of Open Source Software, 6(60), 3021.</w:t>
      </w:r>
    </w:p>
    <w:p>
      <w:pPr>
        <w:spacing w:before="0" w:after="60" w:line="276" w:lineRule="auto"/>
      </w:pPr>
      <w:r>
        <w:rPr>
          <w:rFonts w:ascii="Segoe UI" w:hAnsi="Segoe UI"/>
          <w:color w:val="333333"/>
          <w:sz w:val="20"/>
        </w:rPr>
        <w:t>3. McKinney, W. (2010). Data Structures for Statistical Computing in Python. Proceedings of the 9th Python in Science Conference, 56-61.</w:t>
      </w:r>
    </w:p>
    <w:p>
      <w:pPr>
        <w:spacing w:before="0" w:after="60" w:line="276" w:lineRule="auto"/>
      </w:pPr>
      <w:r>
        <w:rPr>
          <w:rFonts w:ascii="Segoe UI" w:hAnsi="Segoe UI"/>
          <w:color w:val="333333"/>
          <w:sz w:val="20"/>
        </w:rPr>
        <w:t>4. Harris, C. R., et al. (2020). Array programming with NumPy. Nature, 585(7825), 357-362.</w:t>
      </w:r>
    </w:p>
    <w:p>
      <w:pPr>
        <w:spacing w:before="0" w:after="60" w:line="276" w:lineRule="auto"/>
      </w:pPr>
      <w:r>
        <w:rPr>
          <w:rFonts w:ascii="Segoe UI" w:hAnsi="Segoe UI"/>
          <w:color w:val="333333"/>
          <w:sz w:val="20"/>
        </w:rPr>
        <w:t>5. Hunter, J. D. (2007). Matplotlib: A 2D graphics environment. Computing in Science &amp; Engineering, 9(3), 90-95.</w:t>
      </w:r>
    </w:p>
    <w:p>
      <w:pPr>
        <w:spacing w:before="0" w:after="60" w:line="276" w:lineRule="auto"/>
      </w:pPr>
      <w:r>
        <w:rPr>
          <w:rFonts w:ascii="Segoe UI" w:hAnsi="Segoe UI"/>
          <w:color w:val="333333"/>
          <w:sz w:val="20"/>
        </w:rPr>
        <w:t>6. Virtanen, P., et al. (2020). SciPy 1.0: Fundamental Algorithms for Scientific Computing in Python. Nature Methods, 17(3), 261-272.</w:t>
      </w:r>
    </w:p>
    <w:p>
      <w:pPr>
        <w:spacing w:before="0" w:after="60" w:line="276" w:lineRule="auto"/>
      </w:pPr>
      <w:r>
        <w:rPr>
          <w:rFonts w:ascii="Segoe UI" w:hAnsi="Segoe UI"/>
          <w:color w:val="333333"/>
          <w:sz w:val="20"/>
        </w:rPr>
        <w:t>7. Hind, P., &amp; Behe, T. (2003). Encyclopedia Titanica: Researching Titanic Passenger and Crew Biographies. Online Archive.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6E78"/>
        <w:sz w:val="17"/>
      </w:rPr>
      <w:t>CONFIDENTIAL &amp; PROPRIETARY – YUVA INTERNSHIP PROGRAM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6E78"/>
        <w:sz w:val="17"/>
      </w:rPr>
      <w:t>YUVA Internship – Week 1 Data Science Task | Titanic Data Acquisition, Cleaning &amp; EDA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